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F000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1947E8F3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76C0678C" w14:textId="77777777" w:rsidR="00BF2F8A" w:rsidRPr="00690087" w:rsidRDefault="00332F08" w:rsidP="002442E0">
      <w:pPr>
        <w:pStyle w:val="Pta"/>
        <w:tabs>
          <w:tab w:val="clear" w:pos="4703"/>
          <w:tab w:val="center" w:pos="4536"/>
        </w:tabs>
        <w:spacing w:before="200"/>
        <w:rPr>
          <w:rFonts w:cs="Arial"/>
          <w:sz w:val="36"/>
          <w:szCs w:val="36"/>
          <w:lang w:val="sk-SK"/>
        </w:rPr>
      </w:pPr>
      <w:r w:rsidRPr="00690087">
        <w:rPr>
          <w:rFonts w:cs="Arial"/>
          <w:color w:val="002776"/>
          <w:sz w:val="60"/>
          <w:szCs w:val="60"/>
          <w:lang w:val="sk-SK"/>
        </w:rPr>
        <w:tab/>
      </w:r>
      <w:r w:rsidR="00032627" w:rsidRPr="00690087">
        <w:rPr>
          <w:rFonts w:cs="Arial"/>
          <w:sz w:val="36"/>
          <w:szCs w:val="36"/>
          <w:lang w:val="sk-SK"/>
        </w:rPr>
        <w:t xml:space="preserve">Smernica č. </w:t>
      </w:r>
      <w:r w:rsidR="00783D68" w:rsidRPr="00690087">
        <w:rPr>
          <w:rFonts w:cs="Arial"/>
          <w:sz w:val="36"/>
          <w:szCs w:val="36"/>
          <w:lang w:val="sk-SK"/>
        </w:rPr>
        <w:t>7</w:t>
      </w:r>
      <w:r w:rsidR="003729ED" w:rsidRPr="00690087">
        <w:rPr>
          <w:rFonts w:cs="Arial"/>
          <w:sz w:val="36"/>
          <w:szCs w:val="36"/>
          <w:lang w:val="sk-SK"/>
        </w:rPr>
        <w:t>/2016</w:t>
      </w:r>
      <w:r w:rsidR="00032627" w:rsidRPr="00690087">
        <w:rPr>
          <w:rFonts w:cs="Arial"/>
          <w:sz w:val="36"/>
          <w:szCs w:val="36"/>
          <w:lang w:val="sk-SK"/>
        </w:rPr>
        <w:t>, ktorou sa vydávajú</w:t>
      </w:r>
    </w:p>
    <w:p w14:paraId="4E516BAE" w14:textId="77777777" w:rsidR="00332F08" w:rsidRPr="00690087" w:rsidRDefault="00332F08" w:rsidP="003059BB">
      <w:pPr>
        <w:pStyle w:val="BodyText1"/>
        <w:tabs>
          <w:tab w:val="left" w:pos="8010"/>
        </w:tabs>
        <w:spacing w:line="288" w:lineRule="auto"/>
        <w:jc w:val="both"/>
        <w:rPr>
          <w:rFonts w:cs="Arial"/>
          <w:color w:val="002776"/>
          <w:sz w:val="60"/>
          <w:szCs w:val="60"/>
          <w:lang w:val="sk-SK"/>
        </w:rPr>
      </w:pPr>
    </w:p>
    <w:p w14:paraId="249CDBF0" w14:textId="77777777" w:rsidR="00290713" w:rsidRPr="00690087" w:rsidRDefault="003729ED" w:rsidP="00030A61">
      <w:pPr>
        <w:pStyle w:val="BodyText1"/>
        <w:spacing w:line="288" w:lineRule="auto"/>
        <w:jc w:val="center"/>
        <w:rPr>
          <w:rFonts w:cs="Arial"/>
          <w:color w:val="002776"/>
          <w:sz w:val="60"/>
          <w:szCs w:val="60"/>
          <w:lang w:val="sk-SK"/>
        </w:rPr>
      </w:pPr>
      <w:r w:rsidRPr="00690087">
        <w:rPr>
          <w:rFonts w:cs="Arial"/>
          <w:b/>
          <w:color w:val="002776"/>
          <w:sz w:val="72"/>
          <w:szCs w:val="72"/>
          <w:lang w:val="sk-SK"/>
        </w:rPr>
        <w:t>Postupy</w:t>
      </w:r>
      <w:r w:rsidR="00332F08" w:rsidRPr="00690087">
        <w:rPr>
          <w:rFonts w:cs="Arial"/>
          <w:color w:val="002776"/>
          <w:sz w:val="60"/>
          <w:szCs w:val="60"/>
          <w:lang w:val="sk-SK"/>
        </w:rPr>
        <w:t xml:space="preserve"> </w:t>
      </w:r>
    </w:p>
    <w:p w14:paraId="30AE44FB" w14:textId="77777777" w:rsidR="007D1C83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002776"/>
          <w:sz w:val="40"/>
          <w:szCs w:val="40"/>
          <w:lang w:val="sk-SK"/>
        </w:rPr>
      </w:pPr>
      <w:r w:rsidRPr="00690087">
        <w:rPr>
          <w:rFonts w:cs="Arial"/>
          <w:b/>
          <w:color w:val="002776"/>
          <w:sz w:val="40"/>
          <w:szCs w:val="40"/>
          <w:lang w:val="sk-SK"/>
        </w:rPr>
        <w:t xml:space="preserve">pre predkladanie a schvaľovanie projektov technickej pomoci </w:t>
      </w:r>
    </w:p>
    <w:p w14:paraId="28990CE7" w14:textId="77777777" w:rsidR="00332F08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Operačný program Integrovaná infraštruktúra</w:t>
      </w:r>
    </w:p>
    <w:p w14:paraId="1290CAD8" w14:textId="77777777" w:rsidR="00032627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2014 - 2020</w:t>
      </w:r>
    </w:p>
    <w:p w14:paraId="57C27A89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5AE3D134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70DDA642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0240212D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71455DBD" w14:textId="68F5FCA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Verzia: </w:t>
      </w:r>
      <w:r w:rsidR="00DC181C" w:rsidRPr="00690087">
        <w:rPr>
          <w:rFonts w:cs="Arial"/>
          <w:b/>
          <w:smallCaps/>
          <w:sz w:val="24"/>
          <w:lang w:val="sk-SK"/>
        </w:rPr>
        <w:t>1.</w:t>
      </w:r>
      <w:r w:rsidR="00575633" w:rsidRPr="00690087">
        <w:rPr>
          <w:rFonts w:cs="Arial"/>
          <w:b/>
          <w:smallCaps/>
          <w:sz w:val="24"/>
          <w:lang w:val="sk-SK"/>
        </w:rPr>
        <w:t>1</w:t>
      </w:r>
      <w:r w:rsidR="00575633">
        <w:rPr>
          <w:rFonts w:cs="Arial"/>
          <w:b/>
          <w:smallCaps/>
          <w:sz w:val="24"/>
          <w:lang w:val="sk-SK"/>
        </w:rPr>
        <w:t>2</w:t>
      </w:r>
    </w:p>
    <w:p w14:paraId="0D2A03D1" w14:textId="3FEA932C" w:rsidR="002B44AF" w:rsidRPr="00690087" w:rsidRDefault="002B44AF" w:rsidP="002B44AF">
      <w:pPr>
        <w:pStyle w:val="Pta"/>
        <w:tabs>
          <w:tab w:val="left" w:pos="708"/>
        </w:tabs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Dátum účinnosti od: </w:t>
      </w:r>
      <w:r w:rsidR="0010172E">
        <w:rPr>
          <w:rFonts w:cs="Arial"/>
          <w:b/>
          <w:smallCaps/>
          <w:sz w:val="24"/>
          <w:lang w:val="sk-SK"/>
        </w:rPr>
        <w:t>20</w:t>
      </w:r>
      <w:r w:rsidR="00E93C14">
        <w:rPr>
          <w:rFonts w:cs="Arial"/>
          <w:b/>
          <w:smallCaps/>
          <w:sz w:val="24"/>
          <w:lang w:val="sk-SK"/>
        </w:rPr>
        <w:t xml:space="preserve">. mája </w:t>
      </w:r>
      <w:r w:rsidR="00180DEA" w:rsidRPr="00690087">
        <w:rPr>
          <w:rFonts w:cs="Arial"/>
          <w:b/>
          <w:smallCaps/>
          <w:sz w:val="24"/>
          <w:lang w:val="sk-SK"/>
        </w:rPr>
        <w:t>202</w:t>
      </w:r>
      <w:r w:rsidR="00180DEA">
        <w:rPr>
          <w:rFonts w:cs="Arial"/>
          <w:b/>
          <w:smallCaps/>
          <w:sz w:val="24"/>
          <w:lang w:val="sk-SK"/>
        </w:rPr>
        <w:t>2</w:t>
      </w:r>
    </w:p>
    <w:p w14:paraId="1FE11F8D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1A8427A9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5AF24427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1B2D6A21" w14:textId="77777777" w:rsidR="00032627" w:rsidRPr="00690087" w:rsidRDefault="00032627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0767DE6F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36CD04CB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723DA99F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47988285" w14:textId="77777777" w:rsidR="00690087" w:rsidRPr="00ED105A" w:rsidRDefault="00690087" w:rsidP="00690087">
      <w:pPr>
        <w:pStyle w:val="Pta"/>
        <w:tabs>
          <w:tab w:val="left" w:pos="708"/>
        </w:tabs>
        <w:spacing w:line="360" w:lineRule="auto"/>
        <w:rPr>
          <w:rFonts w:cs="Arial"/>
          <w:smallCaps/>
          <w:sz w:val="22"/>
          <w:szCs w:val="22"/>
          <w:lang w:val="sk-SK"/>
        </w:rPr>
      </w:pPr>
      <w:r w:rsidRPr="00ED105A">
        <w:rPr>
          <w:rFonts w:cs="Arial"/>
          <w:smallCaps/>
          <w:sz w:val="22"/>
          <w:szCs w:val="22"/>
          <w:lang w:val="sk-SK"/>
        </w:rPr>
        <w:t>Schválila:</w:t>
      </w:r>
    </w:p>
    <w:p w14:paraId="40D4150A" w14:textId="251CC62B" w:rsidR="00690087" w:rsidRPr="00690087" w:rsidRDefault="00690087" w:rsidP="00690087">
      <w:pPr>
        <w:pStyle w:val="Pta"/>
        <w:tabs>
          <w:tab w:val="clear" w:pos="4703"/>
          <w:tab w:val="left" w:pos="708"/>
        </w:tabs>
        <w:ind w:left="4678" w:hanging="425"/>
        <w:rPr>
          <w:rFonts w:cs="Arial"/>
          <w:sz w:val="18"/>
          <w:szCs w:val="18"/>
        </w:rPr>
      </w:pPr>
      <w:r w:rsidRPr="00ED105A">
        <w:rPr>
          <w:rFonts w:cs="Arial"/>
          <w:smallCaps/>
          <w:sz w:val="22"/>
          <w:szCs w:val="22"/>
          <w:lang w:val="sk-SK"/>
        </w:rPr>
        <w:tab/>
      </w:r>
      <w:r w:rsidRPr="0010172E">
        <w:rPr>
          <w:rFonts w:cs="Arial"/>
          <w:sz w:val="18"/>
          <w:szCs w:val="18"/>
        </w:rPr>
        <w:t xml:space="preserve">                                   </w:t>
      </w:r>
      <w:r w:rsidR="00E93C14" w:rsidRPr="0010172E">
        <w:rPr>
          <w:rFonts w:cs="Arial"/>
          <w:sz w:val="18"/>
          <w:szCs w:val="18"/>
        </w:rPr>
        <w:t>1</w:t>
      </w:r>
      <w:r w:rsidR="0010172E">
        <w:rPr>
          <w:rFonts w:cs="Arial"/>
          <w:sz w:val="18"/>
          <w:szCs w:val="18"/>
        </w:rPr>
        <w:t>2</w:t>
      </w:r>
      <w:r w:rsidR="00E93C14" w:rsidRPr="0010172E">
        <w:rPr>
          <w:rFonts w:cs="Arial"/>
          <w:sz w:val="18"/>
          <w:szCs w:val="18"/>
        </w:rPr>
        <w:t>.5</w:t>
      </w:r>
      <w:r w:rsidR="00615281">
        <w:rPr>
          <w:rFonts w:cs="Arial"/>
          <w:sz w:val="18"/>
          <w:szCs w:val="18"/>
        </w:rPr>
        <w:t>.</w:t>
      </w:r>
      <w:r w:rsidR="00180DEA" w:rsidRPr="00690087">
        <w:rPr>
          <w:rFonts w:cs="Arial"/>
          <w:sz w:val="18"/>
          <w:szCs w:val="18"/>
        </w:rPr>
        <w:t>202</w:t>
      </w:r>
      <w:r w:rsidR="00180DEA">
        <w:rPr>
          <w:rFonts w:cs="Arial"/>
          <w:sz w:val="18"/>
          <w:szCs w:val="18"/>
        </w:rPr>
        <w:t>2</w:t>
      </w:r>
      <w:r w:rsidR="00180DEA" w:rsidRPr="00690087">
        <w:rPr>
          <w:rFonts w:cs="Arial"/>
          <w:sz w:val="18"/>
          <w:szCs w:val="18"/>
        </w:rPr>
        <w:t xml:space="preserve"> </w:t>
      </w:r>
    </w:p>
    <w:p w14:paraId="2337E99D" w14:textId="5BEB2886" w:rsidR="00690087" w:rsidRPr="00690087" w:rsidRDefault="00690087" w:rsidP="00690087">
      <w:pPr>
        <w:ind w:left="4678" w:hanging="283"/>
        <w:rPr>
          <w:rFonts w:cs="Arial"/>
          <w:sz w:val="18"/>
          <w:szCs w:val="18"/>
        </w:rPr>
      </w:pPr>
      <w:r w:rsidRPr="00690087">
        <w:rPr>
          <w:rFonts w:cs="Arial"/>
          <w:sz w:val="18"/>
          <w:szCs w:val="18"/>
        </w:rPr>
        <w:t xml:space="preserve">Emailom podpísané podľa IMP RO OPII, v. </w:t>
      </w:r>
      <w:r w:rsidR="00575633" w:rsidRPr="00690087">
        <w:rPr>
          <w:rFonts w:cs="Arial"/>
          <w:sz w:val="18"/>
          <w:szCs w:val="18"/>
        </w:rPr>
        <w:t>1</w:t>
      </w:r>
      <w:r w:rsidR="00575633">
        <w:rPr>
          <w:rFonts w:cs="Arial"/>
          <w:sz w:val="18"/>
          <w:szCs w:val="18"/>
        </w:rPr>
        <w:t>1</w:t>
      </w:r>
      <w:r w:rsidRPr="00690087">
        <w:rPr>
          <w:rFonts w:cs="Arial"/>
          <w:sz w:val="18"/>
          <w:szCs w:val="18"/>
        </w:rPr>
        <w:t>, časť 1.1.</w:t>
      </w:r>
    </w:p>
    <w:p w14:paraId="330A02BA" w14:textId="77777777" w:rsidR="00690087" w:rsidRPr="00ED105A" w:rsidRDefault="00690087" w:rsidP="00690087">
      <w:pPr>
        <w:ind w:left="5664"/>
        <w:rPr>
          <w:rFonts w:cs="Arial"/>
          <w:sz w:val="24"/>
        </w:rPr>
      </w:pPr>
      <w:r w:rsidRPr="00ED105A">
        <w:rPr>
          <w:rFonts w:cs="Arial"/>
          <w:sz w:val="24"/>
        </w:rPr>
        <w:t>..........................................</w:t>
      </w:r>
    </w:p>
    <w:p w14:paraId="2217797B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ED105A">
        <w:rPr>
          <w:rFonts w:cs="Arial"/>
          <w:sz w:val="24"/>
        </w:rPr>
        <w:t xml:space="preserve"> </w:t>
      </w:r>
      <w:r w:rsidRPr="00690087">
        <w:rPr>
          <w:rFonts w:cs="Arial"/>
          <w:sz w:val="22"/>
          <w:szCs w:val="22"/>
        </w:rPr>
        <w:t>Ing. Erna Dohnáliková</w:t>
      </w:r>
    </w:p>
    <w:p w14:paraId="799C2A56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    generálna riaditeľka </w:t>
      </w:r>
    </w:p>
    <w:p w14:paraId="39256DDB" w14:textId="77777777" w:rsidR="00690087" w:rsidRPr="00690087" w:rsidRDefault="00690087" w:rsidP="00D0463F">
      <w:pPr>
        <w:pStyle w:val="Pta"/>
        <w:ind w:left="6237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sekcie riadenia </w:t>
      </w:r>
    </w:p>
    <w:p w14:paraId="74F59200" w14:textId="1A792B06" w:rsidR="002B44AF" w:rsidRPr="0043733B" w:rsidRDefault="00690087" w:rsidP="00690087">
      <w:pPr>
        <w:pStyle w:val="Pta"/>
        <w:ind w:left="6521"/>
        <w:rPr>
          <w:rFonts w:ascii="Arial Narrow" w:hAnsi="Arial Narrow"/>
          <w:color w:val="1F497D"/>
          <w:sz w:val="32"/>
          <w:lang w:val="sk-SK"/>
        </w:rPr>
      </w:pPr>
      <w:r w:rsidRPr="00690087">
        <w:rPr>
          <w:rFonts w:cs="Arial"/>
          <w:sz w:val="22"/>
          <w:szCs w:val="22"/>
        </w:rPr>
        <w:t>projektov</w:t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D22C2A" w:rsidRPr="0043733B">
        <w:rPr>
          <w:rFonts w:cs="Calibri"/>
          <w:lang w:val="sk-SK"/>
        </w:rPr>
        <w:t xml:space="preserve"> </w:t>
      </w:r>
    </w:p>
    <w:p w14:paraId="0BEEFE5E" w14:textId="77777777" w:rsidR="002B44AF" w:rsidRPr="0043733B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60"/>
          <w:szCs w:val="60"/>
          <w:lang w:val="sk-SK"/>
        </w:rPr>
      </w:pPr>
    </w:p>
    <w:p w14:paraId="6AA11312" w14:textId="77777777" w:rsidR="00CF7B3D" w:rsidRPr="0043733B" w:rsidRDefault="00607B93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  <w:r>
        <w:rPr>
          <w:rFonts w:ascii="Calibri" w:hAnsi="Calibri"/>
          <w:noProof/>
          <w:lang w:val="sk-SK"/>
        </w:rPr>
        <w:pict w14:anchorId="65DA2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9" type="#_x0000_t75" alt="EU-EFRR-HORIZ-COLOR" style="position:absolute;left:0;text-align:left;margin-left:283.85pt;margin-top:672pt;width:207.3pt;height:44.25pt;z-index:-251658240;visibility:visible">
            <v:imagedata r:id="rId11" o:title="EU-EFRR-HORIZ-COLOR"/>
          </v:shape>
        </w:pict>
      </w:r>
      <w:r>
        <w:rPr>
          <w:rFonts w:ascii="Calibri" w:hAnsi="Calibri"/>
          <w:noProof/>
          <w:lang w:val="sk-SK"/>
        </w:rPr>
        <w:pict w14:anchorId="7CF24D88">
          <v:shape id="Picture 3" o:spid="_x0000_s1028" type="#_x0000_t75" alt="EU-EFRR-HORIZ-COLOR" style="position:absolute;left:0;text-align:left;margin-left:283.85pt;margin-top:672pt;width:207.3pt;height:44.25pt;z-index:-251659264;visibility:visible">
            <v:imagedata r:id="rId11" o:title="EU-EFRR-HORIZ-COLOR"/>
          </v:shape>
        </w:pict>
      </w:r>
    </w:p>
    <w:p w14:paraId="406578D9" w14:textId="77777777" w:rsidR="00CF7B3D" w:rsidRPr="0043733B" w:rsidRDefault="00CF7B3D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FD9F879" w14:textId="77777777" w:rsidR="00CC3C75" w:rsidRPr="0043733B" w:rsidRDefault="00CC3C75" w:rsidP="006E6851">
      <w:pPr>
        <w:pStyle w:val="Hlavikaobsahu"/>
        <w:spacing w:before="120"/>
        <w:rPr>
          <w:lang w:val="sk-SK"/>
        </w:rPr>
      </w:pPr>
      <w:r w:rsidRPr="0043733B">
        <w:rPr>
          <w:lang w:val="sk-SK"/>
        </w:rPr>
        <w:lastRenderedPageBreak/>
        <w:t>Obsah</w:t>
      </w:r>
    </w:p>
    <w:p w14:paraId="381DF30E" w14:textId="30E7F44B" w:rsidR="00AA0C78" w:rsidRPr="0043733B" w:rsidRDefault="003729ED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r w:rsidRPr="0043733B">
        <w:rPr>
          <w:lang w:val="sk-SK"/>
        </w:rPr>
        <w:fldChar w:fldCharType="begin"/>
      </w:r>
      <w:r w:rsidR="00CC3C75" w:rsidRPr="0043733B">
        <w:rPr>
          <w:lang w:val="sk-SK"/>
        </w:rPr>
        <w:instrText xml:space="preserve"> TOC \o "1-3" \h \z \u </w:instrText>
      </w:r>
      <w:r w:rsidRPr="0043733B">
        <w:rPr>
          <w:lang w:val="sk-SK"/>
        </w:rPr>
        <w:fldChar w:fldCharType="separate"/>
      </w:r>
      <w:hyperlink w:anchor="_Toc44528635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Podmienky oprávnenosti pre projekty technickej pomoci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002234B" w14:textId="4D93B9E3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prijímateľa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D10F1D4" w14:textId="374F0EBC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aktivít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E1A15FA" w14:textId="6EF510E5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výdavkov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9C9E7FF" w14:textId="4A960FC9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miesta realizácie projektu, pro rata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1D5E2C1" w14:textId="79E86FC0" w:rsidR="00AA0C78" w:rsidRPr="0043733B" w:rsidRDefault="00607B93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2" w:history="1">
        <w:r w:rsidR="00AA0C78" w:rsidRPr="0043733B">
          <w:rPr>
            <w:rStyle w:val="Hypertextovprepojenie"/>
            <w:rFonts w:ascii="Arial Narrow" w:hAnsi="Arial Narrow"/>
            <w:caps/>
            <w:noProof/>
            <w:lang w:val="sk-SK"/>
          </w:rPr>
          <w:t>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Príprava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568B3AB" w14:textId="651421DE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3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Vyzvanie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CC191BF" w14:textId="50642B12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Vypracovanie a predloženie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9011213" w14:textId="2DD5412F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Postup pri získaní prístupu žiadateľa do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91F1388" w14:textId="69327446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6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Predpoklady pre vytvorenie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83D1DD4" w14:textId="4FA39737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7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Vytvorenie ŽoNFP na verejnej časti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BAE042F" w14:textId="51ED0780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Proces vytvorenia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E38BCA" w14:textId="0D459045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Formulár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D76A304" w14:textId="40BC6794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Kontrola a odoslanie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B58BA1A" w14:textId="16DE81AB" w:rsidR="00AA0C78" w:rsidRPr="0043733B" w:rsidRDefault="00607B93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Úprava formulára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5E855C8" w14:textId="71213BFC" w:rsidR="00AA0C78" w:rsidRPr="0043733B" w:rsidRDefault="00607B93" w:rsidP="008F2023">
      <w:pPr>
        <w:pStyle w:val="Obsah1"/>
        <w:tabs>
          <w:tab w:val="left" w:pos="482"/>
          <w:tab w:val="right" w:leader="dot" w:pos="9060"/>
        </w:tabs>
        <w:spacing w:before="120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2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schvaľovanie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2FA76E" w14:textId="23071B99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3" w:history="1"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Administratívne overenie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083715A2" w14:textId="62BA8988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Odborné hodnotenie a vydávanie rozhodnutí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445A631" w14:textId="293B1527" w:rsidR="00AA0C78" w:rsidRPr="0043733B" w:rsidRDefault="00607B93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Opravné prostriedky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F058470" w14:textId="5AA73E7A" w:rsidR="00AA0C78" w:rsidRPr="0043733B" w:rsidRDefault="00607B93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6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Uzatvorenie zmluvy o poskytnutí 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1B67FF9" w14:textId="5D14A8D5" w:rsidR="00AA0C78" w:rsidRPr="0043733B" w:rsidRDefault="00607B93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Realizácia projektov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615851A4" w14:textId="7C9DDD66" w:rsidR="00AA0C78" w:rsidRPr="0043733B" w:rsidRDefault="00607B93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8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Prílohy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440E6C9" w14:textId="77777777" w:rsidR="00CC3C75" w:rsidRPr="0043733B" w:rsidRDefault="003729ED" w:rsidP="006E6851">
      <w:pPr>
        <w:spacing w:before="120"/>
        <w:rPr>
          <w:lang w:val="sk-SK"/>
        </w:rPr>
      </w:pPr>
      <w:r w:rsidRPr="0043733B">
        <w:rPr>
          <w:b/>
          <w:bCs/>
          <w:lang w:val="sk-SK"/>
        </w:rPr>
        <w:fldChar w:fldCharType="end"/>
      </w:r>
    </w:p>
    <w:p w14:paraId="18E25735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E3849D8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075C926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1B27CF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76FDDA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996262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4043917F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B31865B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5FC4D5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2B30CFD0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AA12F0A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4852C69" w14:textId="77777777" w:rsidR="00BF2F8A" w:rsidRPr="0043733B" w:rsidRDefault="003729ED" w:rsidP="002442E0">
      <w:pPr>
        <w:pStyle w:val="Nadpis1"/>
        <w:pageBreakBefore w:val="0"/>
        <w:spacing w:before="240" w:after="240"/>
        <w:ind w:left="431" w:hanging="431"/>
        <w:jc w:val="both"/>
        <w:rPr>
          <w:rFonts w:ascii="Arial Narrow" w:hAnsi="Arial Narrow"/>
          <w:b/>
          <w:caps/>
          <w:color w:val="1F497D"/>
          <w:sz w:val="32"/>
          <w:lang w:val="sk-SK"/>
        </w:rPr>
      </w:pPr>
      <w:bookmarkStart w:id="0" w:name="_Toc445286357"/>
      <w:r w:rsidRPr="0043733B">
        <w:rPr>
          <w:rFonts w:ascii="Arial Narrow" w:hAnsi="Arial Narrow"/>
          <w:b/>
          <w:caps/>
          <w:color w:val="1F497D"/>
          <w:sz w:val="32"/>
          <w:lang w:val="sk-SK"/>
        </w:rPr>
        <w:lastRenderedPageBreak/>
        <w:t>Podmienky oprávnenosti pre projekty technickej pomoci</w:t>
      </w:r>
      <w:bookmarkEnd w:id="0"/>
    </w:p>
    <w:p w14:paraId="3405A444" w14:textId="31575B7E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Riadiacim orgánom pre Operačný program Integrovaná infraštruktúra (ďalej aj „OPII“) je Ministerstvo dopravy</w:t>
      </w:r>
      <w:r w:rsidR="004F6CA1" w:rsidRPr="0043733B">
        <w:rPr>
          <w:rFonts w:ascii="Arial Narrow" w:hAnsi="Arial Narrow" w:cs="Calibri"/>
          <w:sz w:val="22"/>
          <w:szCs w:val="22"/>
        </w:rPr>
        <w:t xml:space="preserve"> </w:t>
      </w:r>
      <w:del w:id="1" w:author="MDSR" w:date="2023-05-25T08:15:00Z">
        <w:r w:rsidR="004F6CA1" w:rsidRPr="0043733B" w:rsidDel="00B86DB3">
          <w:rPr>
            <w:rFonts w:ascii="Arial Narrow" w:hAnsi="Arial Narrow" w:cs="Calibri"/>
            <w:sz w:val="22"/>
            <w:szCs w:val="22"/>
          </w:rPr>
          <w:delText>a</w:delText>
        </w:r>
        <w:r w:rsidRPr="0043733B" w:rsidDel="00B86DB3">
          <w:rPr>
            <w:rFonts w:ascii="Arial Narrow" w:hAnsi="Arial Narrow" w:cs="Calibri"/>
            <w:sz w:val="22"/>
            <w:szCs w:val="22"/>
          </w:rPr>
          <w:delText xml:space="preserve"> výstavby </w:delText>
        </w:r>
      </w:del>
      <w:r w:rsidRPr="0043733B">
        <w:rPr>
          <w:rFonts w:ascii="Arial Narrow" w:hAnsi="Arial Narrow" w:cs="Calibri"/>
          <w:sz w:val="22"/>
          <w:szCs w:val="22"/>
        </w:rPr>
        <w:t>SR (ďalej len „MD</w:t>
      </w:r>
      <w:del w:id="2" w:author="MDSR" w:date="2023-05-25T08:15:00Z">
        <w:r w:rsidRPr="0043733B" w:rsidDel="00B86DB3">
          <w:rPr>
            <w:rFonts w:ascii="Arial Narrow" w:hAnsi="Arial Narrow" w:cs="Calibri"/>
            <w:sz w:val="22"/>
            <w:szCs w:val="22"/>
          </w:rPr>
          <w:delText>V</w:delText>
        </w:r>
      </w:del>
      <w:r w:rsidRPr="0043733B">
        <w:rPr>
          <w:rFonts w:ascii="Arial Narrow" w:hAnsi="Arial Narrow" w:cs="Calibri"/>
          <w:sz w:val="22"/>
          <w:szCs w:val="22"/>
        </w:rPr>
        <w:t xml:space="preserve"> SR“). </w:t>
      </w:r>
    </w:p>
    <w:p w14:paraId="577BA2BD" w14:textId="0C8E3732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Funkciu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Riadiaceho orgánu pre Operačný program Integrovaná infraštruktúra (ďalej aj „RO OPII“ alebo „RO“) </w:t>
      </w:r>
      <w:r w:rsidRPr="0043733B">
        <w:rPr>
          <w:rFonts w:ascii="Arial Narrow" w:hAnsi="Arial Narrow" w:cs="Calibri"/>
          <w:sz w:val="22"/>
          <w:szCs w:val="22"/>
        </w:rPr>
        <w:t>pre projekty technickej pomoci vykonáva oddelenie riad</w:t>
      </w:r>
      <w:r w:rsidR="000C5AAD">
        <w:rPr>
          <w:rFonts w:ascii="Arial Narrow" w:hAnsi="Arial Narrow" w:cs="Calibri"/>
          <w:sz w:val="22"/>
          <w:szCs w:val="22"/>
        </w:rPr>
        <w:t>enia</w:t>
      </w:r>
      <w:r w:rsidRPr="0043733B">
        <w:rPr>
          <w:rFonts w:ascii="Arial Narrow" w:hAnsi="Arial Narrow" w:cs="Calibri"/>
          <w:sz w:val="22"/>
          <w:szCs w:val="22"/>
        </w:rPr>
        <w:t xml:space="preserve"> technickej pomoci (ďalej len “</w:t>
      </w:r>
      <w:r w:rsidR="000C5AAD">
        <w:rPr>
          <w:rFonts w:ascii="Arial Narrow" w:hAnsi="Arial Narrow" w:cs="Calibri"/>
          <w:sz w:val="22"/>
          <w:szCs w:val="22"/>
        </w:rPr>
        <w:t>ORTP</w:t>
      </w:r>
      <w:r w:rsidRPr="0043733B">
        <w:rPr>
          <w:rFonts w:ascii="Arial Narrow" w:hAnsi="Arial Narrow" w:cs="Calibri"/>
          <w:sz w:val="22"/>
          <w:szCs w:val="22"/>
        </w:rPr>
        <w:t>”).</w:t>
      </w:r>
    </w:p>
    <w:p w14:paraId="3D1F04ED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A0CD0E3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3" w:name="_Toc438561131"/>
      <w:bookmarkStart w:id="4" w:name="_Toc438561207"/>
      <w:bookmarkStart w:id="5" w:name="_Toc438561000"/>
      <w:bookmarkStart w:id="6" w:name="_Toc438561040"/>
      <w:bookmarkStart w:id="7" w:name="_Toc438561132"/>
      <w:bookmarkStart w:id="8" w:name="_Toc438561208"/>
      <w:bookmarkStart w:id="9" w:name="_Toc438560722"/>
      <w:bookmarkStart w:id="10" w:name="_Toc438560869"/>
      <w:bookmarkStart w:id="11" w:name="_Toc438561001"/>
      <w:bookmarkStart w:id="12" w:name="_Toc438561041"/>
      <w:bookmarkStart w:id="13" w:name="_Toc438561133"/>
      <w:bookmarkStart w:id="14" w:name="_Toc438561209"/>
      <w:bookmarkStart w:id="15" w:name="_Toc438560723"/>
      <w:bookmarkStart w:id="16" w:name="_Toc438560870"/>
      <w:bookmarkStart w:id="17" w:name="_Toc438561002"/>
      <w:bookmarkStart w:id="18" w:name="_Toc438561042"/>
      <w:bookmarkStart w:id="19" w:name="_Toc438561134"/>
      <w:bookmarkStart w:id="20" w:name="_Toc438561210"/>
      <w:bookmarkStart w:id="21" w:name="_Toc438560724"/>
      <w:bookmarkStart w:id="22" w:name="_Toc438560871"/>
      <w:bookmarkStart w:id="23" w:name="_Toc438561003"/>
      <w:bookmarkStart w:id="24" w:name="_Toc438561043"/>
      <w:bookmarkStart w:id="25" w:name="_Toc438561135"/>
      <w:bookmarkStart w:id="26" w:name="_Toc438561211"/>
      <w:bookmarkStart w:id="27" w:name="_Toc438560726"/>
      <w:bookmarkStart w:id="28" w:name="_Toc438560873"/>
      <w:bookmarkStart w:id="29" w:name="_Toc438561005"/>
      <w:bookmarkStart w:id="30" w:name="_Toc438561045"/>
      <w:bookmarkStart w:id="31" w:name="_Toc438561137"/>
      <w:bookmarkStart w:id="32" w:name="_Toc438561213"/>
      <w:bookmarkStart w:id="33" w:name="_Toc438560728"/>
      <w:bookmarkStart w:id="34" w:name="_Toc438560875"/>
      <w:bookmarkStart w:id="35" w:name="_Toc438561007"/>
      <w:bookmarkStart w:id="36" w:name="_Toc438561047"/>
      <w:bookmarkStart w:id="37" w:name="_Toc438561139"/>
      <w:bookmarkStart w:id="38" w:name="_Toc438561215"/>
      <w:bookmarkStart w:id="39" w:name="_Toc438560730"/>
      <w:bookmarkStart w:id="40" w:name="_Toc438560877"/>
      <w:bookmarkStart w:id="41" w:name="_Toc438561009"/>
      <w:bookmarkStart w:id="42" w:name="_Toc438561049"/>
      <w:bookmarkStart w:id="43" w:name="_Toc438561141"/>
      <w:bookmarkStart w:id="44" w:name="_Toc438561217"/>
      <w:bookmarkStart w:id="45" w:name="_Toc438560732"/>
      <w:bookmarkStart w:id="46" w:name="_Toc438560879"/>
      <w:bookmarkStart w:id="47" w:name="_Toc438561011"/>
      <w:bookmarkStart w:id="48" w:name="_Toc438561051"/>
      <w:bookmarkStart w:id="49" w:name="_Toc438561143"/>
      <w:bookmarkStart w:id="50" w:name="_Toc438561219"/>
      <w:bookmarkStart w:id="51" w:name="_Toc438560733"/>
      <w:bookmarkStart w:id="52" w:name="_Toc438560880"/>
      <w:bookmarkStart w:id="53" w:name="_Toc438561012"/>
      <w:bookmarkStart w:id="54" w:name="_Toc438561052"/>
      <w:bookmarkStart w:id="55" w:name="_Toc438561144"/>
      <w:bookmarkStart w:id="56" w:name="_Toc438561220"/>
      <w:bookmarkStart w:id="57" w:name="_Toc438560734"/>
      <w:bookmarkStart w:id="58" w:name="_Toc438560881"/>
      <w:bookmarkStart w:id="59" w:name="_Toc438561013"/>
      <w:bookmarkStart w:id="60" w:name="_Toc438561053"/>
      <w:bookmarkStart w:id="61" w:name="_Toc438561145"/>
      <w:bookmarkStart w:id="62" w:name="_Toc438561221"/>
      <w:bookmarkStart w:id="63" w:name="_Toc438560882"/>
      <w:bookmarkStart w:id="64" w:name="_Toc44528635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prijímateľa</w:t>
      </w:r>
      <w:bookmarkEnd w:id="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08B677AC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Oprávnenými prijímateľmi v rámci projektov technickej pomoci (ďalej aj „TP“) sú:</w:t>
      </w:r>
    </w:p>
    <w:p w14:paraId="5B19C7D7" w14:textId="277B9AE8" w:rsidR="00540CB8" w:rsidRPr="0043733B" w:rsidRDefault="003729ED" w:rsidP="002442E0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RO OPII, ktorým je </w:t>
      </w:r>
      <w:del w:id="65" w:author="MDSR" w:date="2023-05-25T08:15:00Z">
        <w:r w:rsidRPr="0043733B" w:rsidDel="00B86DB3">
          <w:rPr>
            <w:rFonts w:ascii="Arial Narrow" w:hAnsi="Arial Narrow" w:cs="Calibri"/>
            <w:sz w:val="22"/>
            <w:szCs w:val="22"/>
          </w:rPr>
          <w:delText>MDV</w:delText>
        </w:r>
      </w:del>
      <w:ins w:id="66" w:author="MDSR" w:date="2023-05-25T08:15:00Z">
        <w:r w:rsidR="00B86DB3">
          <w:rPr>
            <w:rFonts w:ascii="Arial Narrow" w:hAnsi="Arial Narrow" w:cs="Calibri"/>
            <w:sz w:val="22"/>
            <w:szCs w:val="22"/>
          </w:rPr>
          <w:t>MD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SR</w:t>
      </w:r>
      <w:r w:rsidR="000E3563" w:rsidRPr="0043733B">
        <w:rPr>
          <w:rFonts w:ascii="Arial Narrow" w:hAnsi="Arial Narrow" w:cs="Calibri"/>
          <w:sz w:val="22"/>
          <w:szCs w:val="22"/>
        </w:rPr>
        <w:t>,</w:t>
      </w:r>
    </w:p>
    <w:p w14:paraId="07147274" w14:textId="2274BB40" w:rsidR="00540CB8" w:rsidRPr="0043733B" w:rsidRDefault="003729ED" w:rsidP="00866CE6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Sprostredkovateľský orgán pre Operačný program Integrovaná infraštruktúra (ďalej aj „SO OPII“ alebo „SO“), ktorým je </w:t>
      </w:r>
      <w:r w:rsidR="00345E86" w:rsidRPr="0043733B">
        <w:rPr>
          <w:rFonts w:ascii="Arial Narrow" w:hAnsi="Arial Narrow" w:cs="Calibri"/>
          <w:sz w:val="22"/>
          <w:szCs w:val="22"/>
        </w:rPr>
        <w:t>Ministerstvo investícií, regionálneho rozvoja a informatizácie SR</w:t>
      </w:r>
      <w:r w:rsidR="00345E86" w:rsidRPr="0043733B" w:rsidDel="00345E86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(ďalej len „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Pr="0043733B">
        <w:rPr>
          <w:rFonts w:ascii="Arial Narrow" w:hAnsi="Arial Narrow" w:cs="Calibri"/>
          <w:sz w:val="22"/>
          <w:szCs w:val="22"/>
        </w:rPr>
        <w:t>“)</w:t>
      </w:r>
      <w:r w:rsidR="00540CB8" w:rsidRPr="0043733B">
        <w:rPr>
          <w:rStyle w:val="Odkaznapoznmkupodiarou"/>
          <w:rFonts w:cs="Calibri"/>
          <w:szCs w:val="22"/>
        </w:rPr>
        <w:footnoteReference w:id="2"/>
      </w:r>
      <w:r w:rsidR="00540CB8" w:rsidRPr="0043733B">
        <w:rPr>
          <w:rFonts w:ascii="Arial Narrow" w:hAnsi="Arial Narrow" w:cs="Calibri"/>
          <w:sz w:val="22"/>
          <w:szCs w:val="22"/>
        </w:rPr>
        <w:t>,</w:t>
      </w:r>
      <w:r w:rsidR="000E3563" w:rsidRPr="0043733B">
        <w:rPr>
          <w:rFonts w:ascii="Arial Narrow" w:hAnsi="Arial Narrow" w:cs="Calibri"/>
          <w:sz w:val="22"/>
          <w:szCs w:val="22"/>
        </w:rPr>
        <w:t xml:space="preserve"> </w:t>
      </w:r>
    </w:p>
    <w:p w14:paraId="36777C78" w14:textId="79BE4346" w:rsidR="00540CB8" w:rsidRPr="0043733B" w:rsidRDefault="00540CB8" w:rsidP="008F2023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Platobná jednotka Sprostredkovateľského orgánu pre Operačný program Integrovaná infraštruktúra (ďalej aj „PJSO OPII“ alebo „PJSO“),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ktorou </w:t>
      </w:r>
      <w:r w:rsidRPr="0043733B">
        <w:rPr>
          <w:rFonts w:ascii="Arial Narrow" w:hAnsi="Arial Narrow" w:cs="Calibri"/>
          <w:sz w:val="22"/>
          <w:szCs w:val="22"/>
        </w:rPr>
        <w:t>je M</w:t>
      </w:r>
      <w:r w:rsidR="00DE1FE0" w:rsidRPr="0043733B">
        <w:rPr>
          <w:rFonts w:ascii="Arial Narrow" w:hAnsi="Arial Narrow" w:cs="Calibri"/>
          <w:sz w:val="22"/>
          <w:szCs w:val="22"/>
        </w:rPr>
        <w:t>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</w:t>
      </w:r>
      <w:r w:rsidR="000E3563" w:rsidRPr="0043733B">
        <w:rPr>
          <w:rFonts w:ascii="Arial Narrow" w:hAnsi="Arial Narrow" w:cs="Calibri"/>
          <w:sz w:val="22"/>
          <w:szCs w:val="22"/>
        </w:rPr>
        <w:t>a</w:t>
      </w:r>
    </w:p>
    <w:p w14:paraId="20EEE781" w14:textId="1327BB29" w:rsidR="006B1C4D" w:rsidRPr="0043733B" w:rsidRDefault="003729ED" w:rsidP="00540CB8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color w:val="FF0000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Riadiaci orgán pre Operačný program Informatizácia spoločnosti (ďalej len „RO OPIS“), ktorým je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vertAlign w:val="superscript"/>
        </w:rPr>
        <w:footnoteReference w:id="3"/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8340686" w14:textId="46C36A68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Žiadateľ /prijímateľ TP z OPII za MD</w:t>
      </w:r>
      <w:del w:id="67" w:author="Čech, Gabriel" w:date="2023-05-26T10:37:00Z">
        <w:r w:rsidRPr="0043733B" w:rsidDel="00607B93">
          <w:rPr>
            <w:rFonts w:ascii="Arial Narrow" w:hAnsi="Arial Narrow" w:cs="Calibri"/>
            <w:sz w:val="22"/>
            <w:szCs w:val="22"/>
          </w:rPr>
          <w:delText>V</w:delText>
        </w:r>
      </w:del>
      <w:bookmarkStart w:id="68" w:name="_GoBack"/>
      <w:bookmarkEnd w:id="68"/>
      <w:r w:rsidRPr="0043733B">
        <w:rPr>
          <w:rFonts w:ascii="Arial Narrow" w:hAnsi="Arial Narrow" w:cs="Calibri"/>
          <w:sz w:val="22"/>
          <w:szCs w:val="22"/>
        </w:rPr>
        <w:t xml:space="preserve">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žiadateľ /prijímateľ TP z OPII za 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="00540CB8" w:rsidRPr="0043733B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sa ďalej označujú spoločným názvom „</w:t>
      </w:r>
      <w:r w:rsidRPr="0043733B">
        <w:rPr>
          <w:rFonts w:ascii="Arial Narrow" w:hAnsi="Arial Narrow" w:cs="Calibri"/>
          <w:b/>
          <w:sz w:val="22"/>
          <w:szCs w:val="22"/>
        </w:rPr>
        <w:t>Žiadateľ</w:t>
      </w:r>
      <w:r w:rsidRPr="0043733B">
        <w:rPr>
          <w:rFonts w:ascii="Arial Narrow" w:hAnsi="Arial Narrow" w:cs="Calibri"/>
          <w:sz w:val="22"/>
          <w:szCs w:val="22"/>
        </w:rPr>
        <w:t>“ alebo „</w:t>
      </w:r>
      <w:r w:rsidRPr="0043733B">
        <w:rPr>
          <w:rFonts w:ascii="Arial Narrow" w:hAnsi="Arial Narrow" w:cs="Calibri"/>
          <w:b/>
          <w:sz w:val="22"/>
          <w:szCs w:val="22"/>
        </w:rPr>
        <w:t>Prijímateľ</w:t>
      </w:r>
      <w:r w:rsidRPr="0043733B">
        <w:rPr>
          <w:rFonts w:ascii="Arial Narrow" w:hAnsi="Arial Narrow" w:cs="Calibri"/>
          <w:sz w:val="22"/>
          <w:szCs w:val="22"/>
        </w:rPr>
        <w:t xml:space="preserve">“. Pokiaľ je v niektorej časti </w:t>
      </w:r>
      <w:r w:rsidR="009B7429">
        <w:rPr>
          <w:rFonts w:ascii="Arial Narrow" w:hAnsi="Arial Narrow" w:cs="Calibri"/>
          <w:sz w:val="22"/>
          <w:szCs w:val="22"/>
        </w:rPr>
        <w:t>týchto postupov</w:t>
      </w:r>
      <w:r w:rsidRPr="0043733B">
        <w:rPr>
          <w:rFonts w:ascii="Arial Narrow" w:hAnsi="Arial Narrow" w:cs="Calibri"/>
          <w:sz w:val="22"/>
          <w:szCs w:val="22"/>
        </w:rPr>
        <w:t xml:space="preserve"> potrebné uviesť len niektorého prijímateľa, uvedie sa jeho presné označenie.</w:t>
      </w:r>
    </w:p>
    <w:p w14:paraId="4EEB012B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Príprava a implementácia projektov TP z pozície </w:t>
      </w:r>
      <w:r w:rsidR="000E3563" w:rsidRPr="0043733B">
        <w:rPr>
          <w:rFonts w:ascii="Arial Narrow" w:hAnsi="Arial Narrow" w:cs="Calibri"/>
          <w:sz w:val="22"/>
          <w:szCs w:val="22"/>
        </w:rPr>
        <w:t>P</w:t>
      </w:r>
      <w:r w:rsidRPr="0043733B">
        <w:rPr>
          <w:rFonts w:ascii="Arial Narrow" w:hAnsi="Arial Narrow" w:cs="Calibri"/>
          <w:sz w:val="22"/>
          <w:szCs w:val="22"/>
        </w:rPr>
        <w:t>rijímateľa je zabezpečovaná:</w:t>
      </w:r>
    </w:p>
    <w:p w14:paraId="2898BB32" w14:textId="5771039A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RO OPII: určeným organizačným útrvarom RO vykonávajúcim funkciu prijímateľa TP z OPII alebo iným organizačným útvarom </w:t>
      </w:r>
      <w:del w:id="69" w:author="MDSR" w:date="2023-05-25T08:15:00Z">
        <w:r w:rsidRPr="0043733B" w:rsidDel="00B86DB3">
          <w:rPr>
            <w:rFonts w:ascii="Arial Narrow" w:hAnsi="Arial Narrow" w:cs="Calibri"/>
            <w:sz w:val="22"/>
            <w:szCs w:val="22"/>
          </w:rPr>
          <w:delText>MDV</w:delText>
        </w:r>
      </w:del>
      <w:ins w:id="70" w:author="MDSR" w:date="2023-05-25T08:15:00Z">
        <w:r w:rsidR="00B86DB3">
          <w:rPr>
            <w:rFonts w:ascii="Arial Narrow" w:hAnsi="Arial Narrow" w:cs="Calibri"/>
            <w:sz w:val="22"/>
            <w:szCs w:val="22"/>
          </w:rPr>
          <w:t>MD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SR</w:t>
      </w:r>
      <w:r w:rsidR="00DE1FE0" w:rsidRPr="0043733B">
        <w:rPr>
          <w:rFonts w:ascii="Arial Narrow" w:hAnsi="Arial Narrow" w:cs="Calibri"/>
          <w:sz w:val="22"/>
          <w:szCs w:val="22"/>
        </w:rPr>
        <w:t>.</w:t>
      </w:r>
      <w:r w:rsidRPr="0043733B">
        <w:rPr>
          <w:rFonts w:ascii="Arial Narrow" w:hAnsi="Arial Narrow" w:cs="Calibri"/>
          <w:sz w:val="22"/>
          <w:szCs w:val="22"/>
        </w:rPr>
        <w:t xml:space="preserve"> Keďže v rámci RO OPII je žiadateľ a prijímateľ tá istá osoba, je nevyhnutné zabezpečiť oddelenie výkonu funkcií zainteresovaných osôb na strane RO v rozsahu podieľania sa na príprave vyzvania, konaní o žiadosti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o nenávratný finančný príspevok (ďalej len „ŽoNFP“) </w:t>
      </w:r>
      <w:r w:rsidRPr="0043733B">
        <w:rPr>
          <w:rFonts w:ascii="Arial Narrow" w:hAnsi="Arial Narrow" w:cs="Calibri"/>
          <w:sz w:val="22"/>
          <w:szCs w:val="22"/>
        </w:rPr>
        <w:t>a dohľade nad realizáciou projektu v súlade s rozhodnutím o schválení ŽoNFP</w:t>
      </w:r>
      <w:r w:rsidRPr="0043733B">
        <w:rPr>
          <w:vertAlign w:val="superscript"/>
        </w:rPr>
        <w:footnoteReference w:id="4"/>
      </w:r>
      <w:r w:rsidR="003B6EC5" w:rsidRPr="0043733B">
        <w:rPr>
          <w:rFonts w:ascii="Arial Narrow" w:hAnsi="Arial Narrow" w:cs="Calibri"/>
          <w:sz w:val="22"/>
          <w:szCs w:val="22"/>
        </w:rPr>
        <w:t xml:space="preserve">. V rámci RO OPII vecná (odborná) časť projektu môže byť zabezpečovaná samotným útvarom RO OPII alebo v prípade potreby vecne príslušným útvarom </w:t>
      </w:r>
      <w:del w:id="71" w:author="MDSR" w:date="2023-05-25T08:15:00Z">
        <w:r w:rsidR="003B6EC5" w:rsidRPr="0043733B" w:rsidDel="00B86DB3">
          <w:rPr>
            <w:rFonts w:ascii="Arial Narrow" w:hAnsi="Arial Narrow" w:cs="Calibri"/>
            <w:sz w:val="22"/>
            <w:szCs w:val="22"/>
          </w:rPr>
          <w:delText>MDV</w:delText>
        </w:r>
      </w:del>
      <w:ins w:id="72" w:author="MDSR" w:date="2023-05-25T08:15:00Z">
        <w:r w:rsidR="00B86DB3">
          <w:rPr>
            <w:rFonts w:ascii="Arial Narrow" w:hAnsi="Arial Narrow" w:cs="Calibri"/>
            <w:sz w:val="22"/>
            <w:szCs w:val="22"/>
          </w:rPr>
          <w:t>MD</w:t>
        </w:r>
      </w:ins>
      <w:r w:rsidR="003B6EC5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; </w:t>
      </w:r>
    </w:p>
    <w:p w14:paraId="06522836" w14:textId="2B58D6A6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SO OPII: určeným organizačným útvarom </w:t>
      </w:r>
      <w:r w:rsidR="00345E86" w:rsidRPr="0043733B">
        <w:rPr>
          <w:rFonts w:ascii="Arial Narrow" w:hAnsi="Arial Narrow" w:cs="Calibri"/>
          <w:sz w:val="22"/>
          <w:szCs w:val="22"/>
        </w:rPr>
        <w:t xml:space="preserve">MIRRI SR </w:t>
      </w:r>
      <w:r w:rsidRPr="0043733B">
        <w:rPr>
          <w:rFonts w:ascii="Arial Narrow" w:hAnsi="Arial Narrow" w:cs="Calibri"/>
          <w:sz w:val="22"/>
          <w:szCs w:val="22"/>
        </w:rPr>
        <w:t>vykonávajúcim funkciu SO OPII, resp. prijímateľa TP OPII. V rámci SO OPII vecná (odborná) časť projektu môže byť zabezpečovaná samotným útvarom SO OPII;</w:t>
      </w:r>
    </w:p>
    <w:p w14:paraId="18DD5831" w14:textId="6D225412" w:rsidR="00540CB8" w:rsidRPr="0043733B" w:rsidRDefault="00540CB8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 xml:space="preserve">SO OPII: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 vykonávajúcim funkciu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OPII, resp. prijímateľa TP OPII. V rámci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 vecná (odborná) časť projektu môže byť zabezpečovaná samotným útvarom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OPII;</w:t>
      </w:r>
    </w:p>
    <w:p w14:paraId="7E8D0898" w14:textId="740DD923" w:rsidR="006B1C4D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lastRenderedPageBreak/>
        <w:t xml:space="preserve">pre TP RO OPIS: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Pr="0043733B">
        <w:rPr>
          <w:rFonts w:ascii="Arial Narrow" w:hAnsi="Arial Narrow" w:cs="Calibri"/>
          <w:sz w:val="22"/>
          <w:szCs w:val="22"/>
        </w:rPr>
        <w:t xml:space="preserve">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SR </w:t>
      </w:r>
      <w:r w:rsidRPr="0043733B">
        <w:rPr>
          <w:rFonts w:ascii="Arial Narrow" w:hAnsi="Arial Narrow" w:cs="Calibri"/>
          <w:sz w:val="22"/>
          <w:szCs w:val="22"/>
        </w:rPr>
        <w:t xml:space="preserve">vykonávajúcim funkciu RO OPIS, resp. prijímateľa TP OPII. V rámci RO OPIS vecná (odborná) časť projektu môže byť zabezpečovaná samotným útvarom vykonávajúcim funkciu RO OPIS alebo v prípade potreby vecne príslušným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. </w:t>
      </w:r>
    </w:p>
    <w:p w14:paraId="038FA349" w14:textId="5A1E49F0" w:rsidR="00BF2F8A" w:rsidRPr="0043733B" w:rsidRDefault="003729ED" w:rsidP="002442E0">
      <w:pPr>
        <w:numPr>
          <w:ilvl w:val="0"/>
          <w:numId w:val="78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súlade s § 28 ods. 3 zákona o príspevku z EŠIF pri príprave projektu TP môže RO usmerňovať budúceho žiadateľa</w:t>
      </w:r>
      <w:r w:rsidR="009B7429" w:rsidRPr="009B742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B7429">
        <w:rPr>
          <w:rFonts w:ascii="Arial Narrow" w:hAnsi="Arial Narrow" w:cs="Calibri"/>
          <w:sz w:val="22"/>
          <w:szCs w:val="22"/>
          <w:lang w:val="sk-SK"/>
        </w:rPr>
        <w:t>a poskytovať mu poradenstvo vo veciach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; budúci žiadateľ je povinný tieto usmernenia dodržiavať. </w:t>
      </w:r>
    </w:p>
    <w:p w14:paraId="3877E8EF" w14:textId="52C37673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Pri tvorbe ŽoNFP príslušné útvary Žiadateľa poskytnú podklady, na základe ktorých Žiadateľ vypracuje ŽoNFP, RO následne zabezpečí všetky úkony potrebné pre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vydania Rozhodnutia o </w:t>
      </w:r>
      <w:r w:rsidRPr="0043733B">
        <w:rPr>
          <w:rFonts w:ascii="Arial Narrow" w:hAnsi="Arial Narrow" w:cs="Calibri"/>
          <w:sz w:val="22"/>
          <w:szCs w:val="22"/>
        </w:rPr>
        <w:t xml:space="preserve">ŽoNFP. </w:t>
      </w:r>
    </w:p>
    <w:p w14:paraId="6B2FE240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707B1C1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73" w:name="_Toc445286359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aktivít</w:t>
      </w:r>
      <w:bookmarkEnd w:id="73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D3B005E" w14:textId="2AAFCDA4" w:rsidR="00BF2F8A" w:rsidRPr="0043733B" w:rsidRDefault="003729ED" w:rsidP="002442E0">
      <w:pPr>
        <w:pStyle w:val="Odsekzoznamu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Oprávnené aktivity v rámci špecifického cieľa 8.1 a 8.2 OPII sú uvedené v kapitole 2.8 dokumentu OPII, ktorý je zverejnený na webovom sídle </w:t>
      </w:r>
      <w:hyperlink r:id="rId12" w:history="1">
        <w:r w:rsidR="00C779D8" w:rsidRPr="0043733B">
          <w:rPr>
            <w:rStyle w:val="Hypertextovprepojenie"/>
            <w:rFonts w:ascii="Arial Narrow" w:hAnsi="Arial Narrow" w:cs="Calibri"/>
            <w:sz w:val="22"/>
            <w:szCs w:val="22"/>
          </w:rPr>
          <w:t>www.opii.gov.sk</w:t>
        </w:r>
      </w:hyperlink>
      <w:r w:rsidR="00DE1FE0" w:rsidRPr="0043733B">
        <w:rPr>
          <w:rStyle w:val="Hypertextovprepojenie"/>
          <w:rFonts w:ascii="Arial Narrow" w:hAnsi="Arial Narrow" w:cs="Calibri"/>
          <w:sz w:val="22"/>
          <w:szCs w:val="22"/>
          <w:u w:val="none"/>
        </w:rPr>
        <w:t xml:space="preserve"> </w:t>
      </w:r>
      <w:r w:rsidR="00DE1FE0" w:rsidRPr="0043733B">
        <w:rPr>
          <w:rFonts w:ascii="Arial Narrow" w:hAnsi="Arial Narrow" w:cs="Calibri"/>
          <w:sz w:val="22"/>
          <w:szCs w:val="22"/>
        </w:rPr>
        <w:t>(ďalej len „webové sídlo RO“)</w:t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B8A0C64" w14:textId="77777777" w:rsidR="00BF2F8A" w:rsidRPr="0043733B" w:rsidRDefault="00BF2F8A" w:rsidP="002442E0">
      <w:pPr>
        <w:pStyle w:val="Bulletslevel1"/>
        <w:numPr>
          <w:ilvl w:val="0"/>
          <w:numId w:val="0"/>
        </w:numPr>
        <w:tabs>
          <w:tab w:val="left" w:pos="900"/>
        </w:tabs>
        <w:ind w:left="544"/>
        <w:jc w:val="both"/>
        <w:rPr>
          <w:rFonts w:ascii="Calibri" w:hAnsi="Calibri" w:cs="Calibri"/>
          <w:sz w:val="20"/>
          <w:lang w:val="sk-SK"/>
        </w:rPr>
      </w:pPr>
    </w:p>
    <w:p w14:paraId="4A09FDB8" w14:textId="77777777" w:rsidR="00C93052" w:rsidRPr="0043733B" w:rsidRDefault="003729ED" w:rsidP="00C82B5D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74" w:name="_Toc445286360"/>
      <w:bookmarkStart w:id="75" w:name="_Toc414640710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výdavkov</w:t>
      </w:r>
      <w:bookmarkEnd w:id="74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  <w:bookmarkEnd w:id="75"/>
    </w:p>
    <w:p w14:paraId="7C5747D1" w14:textId="1CC40329" w:rsidR="00C93052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Podmienky oprávnenosti výdavkov a spôsob ich preukazovania pre projekty TP sú uvedené v 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Príručke k oprávnenosti výdavkov OPII</w:t>
      </w:r>
      <w:r w:rsidR="004A06D5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(ďalej len „Príručka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 xml:space="preserve"> OV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“), ktorej aktuálna verzia je zverejnená na webovom sídle RO. 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>Prijímateľ je povinný dodržiavať podmienky a limity oprávnenosti výdavkov uvedené v Príručke OV.</w:t>
      </w:r>
    </w:p>
    <w:p w14:paraId="3B6B242C" w14:textId="53B5D6C3" w:rsidR="00BA1CBA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 prípade obstarania tovarov a služieb oprávnených na financovanie z TP je prijímateľ povinný postupovať podľa zákona o verejnom obstarávaní (ak relevantné). Zároveň je prijímateľ povinný postupovať v súlade s </w:t>
      </w:r>
      <w:r w:rsidR="00DE1FE0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Príručkou </w:t>
      </w:r>
      <w:r w:rsidR="008F2023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pre projekty technickej pomoci 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 xml:space="preserve">(v prípade prijímateľa </w:t>
      </w:r>
      <w:del w:id="76" w:author="MDSR" w:date="2023-05-25T08:15:00Z">
        <w:r w:rsidR="00317B86" w:rsidRPr="0043733B" w:rsidDel="00B86DB3">
          <w:rPr>
            <w:rFonts w:ascii="Arial Narrow" w:hAnsi="Arial Narrow" w:cs="Calibri"/>
            <w:sz w:val="22"/>
            <w:szCs w:val="22"/>
            <w:lang w:val="sk-SK"/>
          </w:rPr>
          <w:delText>MDV</w:delText>
        </w:r>
      </w:del>
      <w:ins w:id="77" w:author="MDSR" w:date="2023-05-25T08:15:00Z">
        <w:r w:rsidR="00B86DB3">
          <w:rPr>
            <w:rFonts w:ascii="Arial Narrow" w:hAnsi="Arial Narrow" w:cs="Calibri"/>
            <w:sz w:val="22"/>
            <w:szCs w:val="22"/>
            <w:lang w:val="sk-SK"/>
          </w:rPr>
          <w:t>MD</w:t>
        </w:r>
      </w:ins>
      <w:r w:rsidR="00317B86" w:rsidRPr="0043733B">
        <w:rPr>
          <w:rFonts w:ascii="Arial Narrow" w:hAnsi="Arial Narrow" w:cs="Calibri"/>
          <w:sz w:val="22"/>
          <w:szCs w:val="22"/>
          <w:lang w:val="sk-SK"/>
        </w:rPr>
        <w:t xml:space="preserve"> SR) /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Príručkou pre realizáciu verejného obstarávania OPI</w:t>
      </w:r>
      <w:r w:rsidR="001460CD" w:rsidRPr="0043733B">
        <w:rPr>
          <w:rFonts w:ascii="Arial Narrow" w:hAnsi="Arial Narrow" w:cs="Calibri"/>
          <w:b/>
          <w:sz w:val="22"/>
          <w:szCs w:val="22"/>
          <w:lang w:val="sk-SK"/>
        </w:rPr>
        <w:t>I</w:t>
      </w:r>
      <w:r w:rsidR="00AB5860" w:rsidRPr="0043733B">
        <w:rPr>
          <w:rStyle w:val="Odkaznapoznmkupodiarou"/>
          <w:rFonts w:cs="Calibri"/>
          <w:b/>
          <w:szCs w:val="22"/>
          <w:lang w:val="sk-SK"/>
        </w:rPr>
        <w:footnoteReference w:id="5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, ktorej aktuálna verzia je zverejnená na webovom sídle RO. </w:t>
      </w:r>
    </w:p>
    <w:p w14:paraId="18578095" w14:textId="77777777" w:rsidR="00BA1CBA" w:rsidRPr="0043733B" w:rsidRDefault="00BA1CBA" w:rsidP="00B04626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FEC8A60" w14:textId="77777777" w:rsidR="00BA1CBA" w:rsidRPr="0043733B" w:rsidRDefault="003729ED" w:rsidP="00BA1CBA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78" w:name="_Toc445286361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miesta realizácie projektu, pro rata</w:t>
      </w:r>
      <w:bookmarkEnd w:id="78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0857232" w14:textId="77777777" w:rsidR="00C97930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Sídlo subjektu, realizuj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úceho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projekt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TP,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nemá vplyv na územnú oprávnenosť výdavkov, ktorá sa určuje podľa dopadu implementovaných operácií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A7AC299" w14:textId="5FC2D56C" w:rsidR="00490078" w:rsidRPr="0043733B" w:rsidRDefault="00F675F6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Vzhľadom na územnú oprávnenosť ERDF </w:t>
      </w:r>
      <w:r w:rsidR="006D4196" w:rsidRPr="0043733B">
        <w:rPr>
          <w:rFonts w:ascii="Arial Narrow" w:hAnsi="Arial Narrow"/>
          <w:sz w:val="22"/>
          <w:szCs w:val="22"/>
          <w:lang w:val="sk-SK"/>
        </w:rPr>
        <w:t xml:space="preserve">pre technickú pomoc </w:t>
      </w:r>
      <w:r w:rsidRPr="0043733B">
        <w:rPr>
          <w:rFonts w:ascii="Arial Narrow" w:hAnsi="Arial Narrow"/>
          <w:sz w:val="22"/>
          <w:szCs w:val="22"/>
          <w:lang w:val="sk-SK"/>
        </w:rPr>
        <w:t>OPII</w:t>
      </w:r>
      <w:r w:rsidR="004B7652" w:rsidRPr="0043733B">
        <w:rPr>
          <w:rFonts w:ascii="Arial Narrow" w:hAnsi="Arial Narrow"/>
          <w:sz w:val="22"/>
          <w:szCs w:val="22"/>
          <w:lang w:val="sk-SK"/>
        </w:rPr>
        <w:t xml:space="preserve">, ktorý je určený pre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menej rozvinutý región SR cieľa Investovanie do rastu a</w:t>
      </w:r>
      <w:r w:rsidR="00632390" w:rsidRPr="0043733B">
        <w:rPr>
          <w:rFonts w:ascii="Arial Narrow" w:hAnsi="Arial Narrow"/>
          <w:sz w:val="22"/>
          <w:szCs w:val="22"/>
          <w:lang w:val="sk-SK"/>
        </w:rPr>
        <w:t> 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zamestnanosti</w:t>
      </w:r>
      <w:r w:rsidR="00632390" w:rsidRPr="0043733B">
        <w:rPr>
          <w:rFonts w:ascii="Arial Narrow" w:hAnsi="Arial Narrow"/>
          <w:sz w:val="22"/>
          <w:szCs w:val="22"/>
          <w:lang w:val="sk-SK"/>
        </w:rPr>
        <w:t xml:space="preserve"> a zároveň dopadu niektorých implementovaných operácií OPII aj na viac rozvinutý región SR (Bratislavský kraj)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, musí byť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č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asť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 xml:space="preserve">oprávnených výdavkov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projektu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 xml:space="preserve">TP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hradená zo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zdroja pro-rata (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zdroj SR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)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52887100" w14:textId="77777777" w:rsidR="00F81F1F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Pravidlá financovania pre projekty s povinnosťou financovania aj zo zdroja pro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-</w:t>
      </w:r>
      <w:r w:rsidRPr="0043733B">
        <w:rPr>
          <w:rFonts w:ascii="Arial Narrow" w:hAnsi="Arial Narrow"/>
          <w:sz w:val="22"/>
          <w:szCs w:val="22"/>
          <w:lang w:val="sk-SK"/>
        </w:rPr>
        <w:t>rata v rámci menej rozvinutého regiónu sú nastavené v súlade s časťou 3.2.1.1 Stratégie financovania EŠIF pre programové obdobie 2014 – 2020, Metodickým pokynom CKO č. 24</w:t>
      </w:r>
      <w:r w:rsidRPr="0043733B"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6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k technickej pomoci a listom MF SR č. MF/023189/2015-544 č.</w:t>
      </w:r>
      <w:r w:rsidR="008543A8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z. 080629/2015 z 18.12.2015.</w:t>
      </w:r>
    </w:p>
    <w:p w14:paraId="6124DE67" w14:textId="77777777" w:rsidR="00F3231C" w:rsidRPr="0043733B" w:rsidRDefault="00F3231C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</w:p>
    <w:p w14:paraId="5763EBEF" w14:textId="77777777" w:rsidR="00BF2F8A" w:rsidRPr="0043733B" w:rsidRDefault="003729ED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  <w:r w:rsidRPr="0043733B">
        <w:rPr>
          <w:rFonts w:ascii="Arial Narrow" w:hAnsi="Arial Narrow"/>
          <w:b/>
          <w:sz w:val="20"/>
          <w:szCs w:val="20"/>
          <w:lang w:val="sk-SK"/>
        </w:rPr>
        <w:t>Tab. 1: Pravidlá financovania pre projekty s povinnosťou financovania aj zo zdroja pro rata v rámci menej rozvinutého regiónu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1559"/>
        <w:gridCol w:w="1560"/>
        <w:gridCol w:w="1701"/>
        <w:gridCol w:w="956"/>
      </w:tblGrid>
      <w:tr w:rsidR="00916E5E" w:rsidRPr="0043733B" w14:paraId="5AAA53AF" w14:textId="77777777" w:rsidTr="001A4DD2">
        <w:tc>
          <w:tcPr>
            <w:tcW w:w="1276" w:type="dxa"/>
            <w:vMerge w:val="restart"/>
            <w:shd w:val="clear" w:color="auto" w:fill="B0CAFF"/>
            <w:vAlign w:val="center"/>
          </w:tcPr>
          <w:p w14:paraId="2F5F0EFC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Organizácia štátnej správy</w:t>
            </w:r>
          </w:p>
        </w:tc>
        <w:tc>
          <w:tcPr>
            <w:tcW w:w="4961" w:type="dxa"/>
            <w:gridSpan w:val="3"/>
            <w:shd w:val="clear" w:color="auto" w:fill="B0CAFF"/>
            <w:vAlign w:val="center"/>
          </w:tcPr>
          <w:p w14:paraId="6CCEA73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Celkové oprávnené výdavky</w:t>
            </w:r>
          </w:p>
        </w:tc>
        <w:tc>
          <w:tcPr>
            <w:tcW w:w="1701" w:type="dxa"/>
            <w:vMerge w:val="restart"/>
            <w:shd w:val="clear" w:color="auto" w:fill="B0CAFF"/>
            <w:vAlign w:val="center"/>
          </w:tcPr>
          <w:p w14:paraId="4EF3039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Pro rata</w:t>
            </w:r>
          </w:p>
        </w:tc>
        <w:tc>
          <w:tcPr>
            <w:tcW w:w="956" w:type="dxa"/>
            <w:vMerge w:val="restart"/>
            <w:shd w:val="clear" w:color="auto" w:fill="B0CAFF"/>
            <w:vAlign w:val="center"/>
          </w:tcPr>
          <w:p w14:paraId="5BDD7A5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Spolu</w:t>
            </w:r>
          </w:p>
        </w:tc>
      </w:tr>
      <w:tr w:rsidR="00755346" w:rsidRPr="0043733B" w14:paraId="22FE0EB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53594DBE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 w:val="restart"/>
            <w:shd w:val="clear" w:color="auto" w:fill="B0CAFF"/>
            <w:vAlign w:val="center"/>
          </w:tcPr>
          <w:p w14:paraId="240864D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Zdroj ERDF</w:t>
            </w:r>
          </w:p>
        </w:tc>
        <w:tc>
          <w:tcPr>
            <w:tcW w:w="3119" w:type="dxa"/>
            <w:gridSpan w:val="2"/>
            <w:shd w:val="clear" w:color="auto" w:fill="B0CAFF"/>
            <w:vAlign w:val="center"/>
          </w:tcPr>
          <w:p w14:paraId="711063E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Národné zdroje</w:t>
            </w:r>
          </w:p>
        </w:tc>
        <w:tc>
          <w:tcPr>
            <w:tcW w:w="1701" w:type="dxa"/>
            <w:vMerge/>
            <w:vAlign w:val="center"/>
          </w:tcPr>
          <w:p w14:paraId="1CD503F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3306B29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182E1369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788583B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/>
            <w:shd w:val="clear" w:color="auto" w:fill="B0CAFF"/>
            <w:vAlign w:val="center"/>
          </w:tcPr>
          <w:p w14:paraId="14AD94AC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559" w:type="dxa"/>
            <w:shd w:val="clear" w:color="auto" w:fill="B0CAFF"/>
            <w:vAlign w:val="center"/>
          </w:tcPr>
          <w:p w14:paraId="622D37A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Štátny rozpočet</w:t>
            </w:r>
          </w:p>
        </w:tc>
        <w:tc>
          <w:tcPr>
            <w:tcW w:w="1560" w:type="dxa"/>
            <w:shd w:val="clear" w:color="auto" w:fill="B0CAFF"/>
            <w:vAlign w:val="center"/>
          </w:tcPr>
          <w:p w14:paraId="7BBD62E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701" w:type="dxa"/>
            <w:vMerge/>
            <w:vAlign w:val="center"/>
          </w:tcPr>
          <w:p w14:paraId="2B88123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1E2F507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7076C0EC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3AAB6F7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5DE1387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82,06%</w:t>
            </w:r>
          </w:p>
        </w:tc>
        <w:tc>
          <w:tcPr>
            <w:tcW w:w="1559" w:type="dxa"/>
            <w:vAlign w:val="center"/>
          </w:tcPr>
          <w:p w14:paraId="2441466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14,49%</w:t>
            </w:r>
          </w:p>
        </w:tc>
        <w:tc>
          <w:tcPr>
            <w:tcW w:w="1560" w:type="dxa"/>
            <w:vMerge w:val="restart"/>
            <w:vAlign w:val="center"/>
          </w:tcPr>
          <w:p w14:paraId="77372805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0,00%</w:t>
            </w:r>
          </w:p>
        </w:tc>
        <w:tc>
          <w:tcPr>
            <w:tcW w:w="1701" w:type="dxa"/>
            <w:vMerge w:val="restart"/>
            <w:vAlign w:val="center"/>
          </w:tcPr>
          <w:p w14:paraId="1A074E0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3,45%</w:t>
            </w:r>
          </w:p>
        </w:tc>
        <w:tc>
          <w:tcPr>
            <w:tcW w:w="956" w:type="dxa"/>
            <w:vMerge w:val="restart"/>
            <w:vAlign w:val="center"/>
          </w:tcPr>
          <w:p w14:paraId="2548AF38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100%</w:t>
            </w:r>
          </w:p>
        </w:tc>
      </w:tr>
      <w:tr w:rsidR="00755346" w:rsidRPr="0043733B" w14:paraId="04D89BB1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16D405D0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5EEFBB93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96,55% zo 100%</w:t>
            </w:r>
          </w:p>
        </w:tc>
        <w:tc>
          <w:tcPr>
            <w:tcW w:w="1560" w:type="dxa"/>
            <w:vMerge/>
            <w:vAlign w:val="center"/>
          </w:tcPr>
          <w:p w14:paraId="2DFBED64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Merge/>
            <w:vAlign w:val="center"/>
          </w:tcPr>
          <w:p w14:paraId="34CED9E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7E89BB0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42846DA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4D985E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27F3D0E2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(85,00% z 96,55%)</w:t>
            </w:r>
          </w:p>
        </w:tc>
        <w:tc>
          <w:tcPr>
            <w:tcW w:w="1559" w:type="dxa"/>
            <w:vAlign w:val="center"/>
          </w:tcPr>
          <w:p w14:paraId="4FA1244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(15% z 96,55%)</w:t>
            </w:r>
          </w:p>
        </w:tc>
        <w:tc>
          <w:tcPr>
            <w:tcW w:w="1560" w:type="dxa"/>
            <w:vMerge/>
            <w:vAlign w:val="center"/>
          </w:tcPr>
          <w:p w14:paraId="73F977C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75122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(3,45% zo 100%)</w:t>
            </w:r>
          </w:p>
        </w:tc>
        <w:tc>
          <w:tcPr>
            <w:tcW w:w="956" w:type="dxa"/>
            <w:vMerge/>
            <w:vAlign w:val="center"/>
          </w:tcPr>
          <w:p w14:paraId="5A45CAD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</w:tbl>
    <w:p w14:paraId="6D708D8A" w14:textId="77777777" w:rsidR="000F7A35" w:rsidRPr="0043733B" w:rsidRDefault="000F7A35" w:rsidP="00030A61">
      <w:pPr>
        <w:spacing w:before="120"/>
        <w:jc w:val="both"/>
        <w:rPr>
          <w:rFonts w:ascii="Calibri" w:hAnsi="Calibri"/>
          <w:sz w:val="20"/>
          <w:szCs w:val="20"/>
          <w:lang w:val="sk-SK"/>
        </w:rPr>
      </w:pPr>
    </w:p>
    <w:p w14:paraId="11F2E577" w14:textId="77777777" w:rsidR="000F7A35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caps/>
          <w:color w:val="1F497D"/>
          <w:sz w:val="32"/>
          <w:lang w:val="sk-SK"/>
        </w:rPr>
      </w:pPr>
      <w:bookmarkStart w:id="79" w:name="_Toc44528636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Príprava projektov TP</w:t>
      </w:r>
      <w:bookmarkEnd w:id="79"/>
    </w:p>
    <w:p w14:paraId="2E59C34C" w14:textId="77777777" w:rsidR="000F7A35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80" w:name="_Toc4452863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Vyzvanie</w:t>
      </w:r>
      <w:bookmarkEnd w:id="80"/>
    </w:p>
    <w:p w14:paraId="44A615DF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vyzve budúceho Žiadateľa na prípravu a predloženie projektu 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v súlade s kapitolou 3.4.4 Systému riadenia EŠIF a v súlade s § 28 zákona o príspevku z EŠIF. RO môže budúceho Žiadateľa vyzvať zverejnením vyzvania na webovom sídle RO alebo písomne. Aj v prípade, keď je budúci Žiadateľ vyzvaný písomne, je RO povinný následne bezodkladne zverejniť vyzvanie na webovom sídle RO.</w:t>
      </w:r>
    </w:p>
    <w:p w14:paraId="32A1EEFE" w14:textId="77777777" w:rsidR="003E10C8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Vyzvanie obsahuje formálne náležitosti a podmienky poskytnutia príspevku v súlade s § 28 ods. 4 zákona o príspevku z EŠIF.</w:t>
      </w:r>
    </w:p>
    <w:p w14:paraId="095A5E18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RO je oprávnený rozhodnúť sa, či využije formu otvoreného alebo uzavretého vyzvania.</w:t>
      </w:r>
    </w:p>
    <w:p w14:paraId="6AD86DB2" w14:textId="77777777" w:rsidR="00BD3F24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 súťaži, je posúdenie charakteru zmeny vyzvania vždy na individuálnom posúdení RO s ohľadom na dopad navrhovanej zmeny na žiadateľa.</w:t>
      </w:r>
    </w:p>
    <w:p w14:paraId="4CF96906" w14:textId="77777777" w:rsidR="00C95610" w:rsidRPr="0043733B" w:rsidRDefault="00C95610" w:rsidP="00D0463F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Spôsob financovania: </w:t>
      </w:r>
    </w:p>
    <w:p w14:paraId="5A90D3EA" w14:textId="173EF7FA" w:rsidR="00107348" w:rsidRPr="0043733B" w:rsidRDefault="00107348" w:rsidP="00D0463F">
      <w:pPr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Vyplácanie prijímateľa sa realizuje podľa Systému finančného riadenia štrukturálnych fondov, Kohézneho fondu a Európskeho námorného a rybárskeho fondu na programové obdobie 2014 – 2020 (ďalej len „Systém finančného riadenia“): </w:t>
      </w:r>
    </w:p>
    <w:p w14:paraId="011EA87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predfinancovania, </w:t>
      </w:r>
    </w:p>
    <w:p w14:paraId="10321C73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systémom zálohových platieb,</w:t>
      </w:r>
    </w:p>
    <w:p w14:paraId="6D7A303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refundácie, </w:t>
      </w:r>
    </w:p>
    <w:p w14:paraId="03994594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alebo kombináciou uvedených systémov.</w:t>
      </w:r>
    </w:p>
    <w:p w14:paraId="082D2E8A" w14:textId="1C1F32CD" w:rsidR="00107348" w:rsidRPr="0043733B" w:rsidRDefault="00107348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Forma poskytovaného príspevku: nenávratný finančný príspevok.</w:t>
      </w:r>
    </w:p>
    <w:p w14:paraId="5AE24ED7" w14:textId="77777777" w:rsidR="00C93052" w:rsidRPr="0043733B" w:rsidRDefault="003729ED" w:rsidP="00D0463F">
      <w:pPr>
        <w:pStyle w:val="Nadpis2"/>
        <w:spacing w:before="360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81" w:name="_Toc4452863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Vypracovanie a predloženie ŽoNFP</w:t>
      </w:r>
      <w:bookmarkEnd w:id="81"/>
    </w:p>
    <w:p w14:paraId="36F77A27" w14:textId="58D278D1" w:rsidR="00FB170B" w:rsidRPr="0043733B" w:rsidRDefault="003729ED" w:rsidP="008E6582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vypracováva ŽoNFP v ITMS2014+, pričom postupuje podľa </w:t>
      </w:r>
      <w:r w:rsidR="009B7429">
        <w:rPr>
          <w:rFonts w:ascii="Arial Narrow" w:hAnsi="Arial Narrow" w:cs="Calibri"/>
          <w:sz w:val="22"/>
          <w:szCs w:val="22"/>
          <w:lang w:val="sk-SK"/>
        </w:rPr>
        <w:t xml:space="preserve">Prílohy č. 1 </w:t>
      </w:r>
      <w:r w:rsidR="009B7429" w:rsidRPr="0043733B">
        <w:rPr>
          <w:rFonts w:ascii="Arial Narrow" w:hAnsi="Arial Narrow" w:cs="Calibri"/>
          <w:sz w:val="22"/>
          <w:szCs w:val="22"/>
          <w:lang w:val="sk-SK"/>
        </w:rPr>
        <w:t xml:space="preserve">Vyzvania </w:t>
      </w:r>
      <w:r w:rsidR="009B7429">
        <w:rPr>
          <w:rFonts w:ascii="Arial Narrow" w:hAnsi="Arial Narrow" w:cs="Calibri"/>
          <w:sz w:val="22"/>
          <w:szCs w:val="22"/>
          <w:lang w:val="sk-SK"/>
        </w:rPr>
        <w:t>–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Formulár </w:t>
      </w:r>
      <w:r w:rsidR="009B7429">
        <w:rPr>
          <w:rFonts w:ascii="Arial Narrow" w:hAnsi="Arial Narrow" w:cs="Calibri"/>
          <w:sz w:val="22"/>
          <w:szCs w:val="22"/>
          <w:lang w:val="sk-SK"/>
        </w:rPr>
        <w:t>ŽoNFP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- popis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4F160129" w14:textId="46CC1718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Formulár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sumarizuje základné údaje o predkladanom projekte a kumuluje v prehľadnej a jednotnej forme najpodstatnejšie projektové informácie. Uvedené údaje a informácie sú nevyhnutné pre účely posudzovania projektu v rámci schvaľovacieho procesu a prípravy návrhu Zmluvy o poskytnutí NFP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 xml:space="preserve"> (ďalej len “zmluva o NFP”)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resp. </w:t>
      </w:r>
      <w:r w:rsidRPr="0043733B">
        <w:rPr>
          <w:rFonts w:ascii="Arial Narrow" w:hAnsi="Arial Narrow" w:cs="Calibri"/>
          <w:sz w:val="22"/>
          <w:szCs w:val="22"/>
          <w:lang w:val="sk-SK"/>
        </w:rPr>
        <w:t>Rozhodnut</w:t>
      </w:r>
      <w:r w:rsidR="00DE1FE0" w:rsidRPr="0043733B">
        <w:rPr>
          <w:rFonts w:ascii="Arial Narrow" w:hAnsi="Arial Narrow" w:cs="Calibri"/>
          <w:sz w:val="22"/>
          <w:szCs w:val="22"/>
          <w:lang w:val="sk-SK"/>
        </w:rPr>
        <w:t>i</w:t>
      </w:r>
      <w:r w:rsidRPr="0043733B">
        <w:rPr>
          <w:rFonts w:ascii="Arial Narrow" w:hAnsi="Arial Narrow" w:cs="Calibri"/>
          <w:sz w:val="22"/>
          <w:szCs w:val="22"/>
          <w:lang w:val="sk-SK"/>
        </w:rPr>
        <w:t>a o schválení ŽoNFP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Pr="0043733B">
        <w:rPr>
          <w:rFonts w:ascii="Arial Narrow" w:hAnsi="Arial Narrow" w:cs="Calibri"/>
          <w:sz w:val="22"/>
          <w:szCs w:val="22"/>
          <w:lang w:val="sk-SK"/>
        </w:rPr>
        <w:t>ak prijímateľ a poskytovateľ je tá istá osoba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a taktiež sú dôležité pre potreby výkazníctva a monitorovania na centrálnej úrovni prostredníctvom verejnej časti ITMS2014+. </w:t>
      </w:r>
    </w:p>
    <w:p w14:paraId="1A375751" w14:textId="77777777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Povinné prílohy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definujú formu preukázania vybraných podmienok poskytnutia príspevku, ktoré nie je možné overiť z údajov uvedených vo formulári ŽoNFP. S ohľadom na charakter a postavenie Žiadateľa je minimalizovaná administratívna záťaž na Žiadateľa a na overenie preukázania splnenia podmienok poskytnutia príspevku budú využité údaje uvedené v ŽoNFP, resp. čestné vyhlásenie bez potreby jeho náhrady </w:t>
      </w:r>
      <w:r w:rsidRPr="0043733B">
        <w:rPr>
          <w:rFonts w:ascii="Arial Narrow" w:hAnsi="Arial Narrow"/>
          <w:sz w:val="22"/>
          <w:szCs w:val="22"/>
          <w:lang w:val="sk-SK"/>
        </w:rPr>
        <w:t>ďalším dokumentom a bez potreby definovania osobitných povinných príloh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581D7499" w14:textId="77777777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predkladá ŽoNFP k projektom TP na základe vyzvania RO OPII na predkladanie ŽoNFP na projekty TP OPII. </w:t>
      </w:r>
    </w:p>
    <w:p w14:paraId="7D0EF7EE" w14:textId="1E9ED940" w:rsidR="008776A7" w:rsidRPr="0043733B" w:rsidRDefault="0079718E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lastRenderedPageBreak/>
        <w:t>Ak to umožňuje vyzvanie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Prijímateľ môže predložiť jeden projekt TP na všetky oblasti intervencie (121 Príprava, vykonávanie, monitorovanie a inšpekcia; 122 Hodnotenie a štúdie; 123 Informovanie a komunikácia)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>, pričom platí, že jedna hlavná aktivita môže byť priradená iba k jednej oblasti intervencie. Oprávnené na poskytnutie príspevku budú výlučne projekty, ktoré svojimi aktivitami spadajú do rámca oprávnených aktivít OPII definovan</w:t>
      </w:r>
      <w:r w:rsidR="009B7429">
        <w:rPr>
          <w:rFonts w:ascii="Arial Narrow" w:hAnsi="Arial Narrow" w:cs="Calibri"/>
          <w:sz w:val="22"/>
          <w:szCs w:val="22"/>
          <w:lang w:val="sk-SK"/>
        </w:rPr>
        <w:t>ých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 xml:space="preserve"> vo vyzvaní.</w:t>
      </w:r>
    </w:p>
    <w:p w14:paraId="71F829C7" w14:textId="488164CC" w:rsidR="009D0F84" w:rsidRPr="009D0F84" w:rsidRDefault="009D0F84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u w:val="single"/>
          <w:lang w:val="sk-SK"/>
        </w:rPr>
        <w:t>Žiadateľ doručuje ŽoNFP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včítane príloh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elektronicky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prostredníctvom verejnej časti ITMS2014+ a elektronicky bez príloh prostredníctvom Ústredného portálu verejnej správy, podpísanú kvalifikovaným elektronickým podpisom, kvalifikovaným elektronickým podpisom s mandátnym certifikátom alebo kvalifikovanou elektronickou pečaťou. V osobitných prípadoch (ak nie je možné podať ŽoNFP elektronicky alebo nie je možné prílohy ŽoNFP nahrať do ITMS2014+ a pod.) je žiadateľ oprávnený predložiť ŽoNFP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1 x v listinnej podobe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a/alebo prílohy (môže využiť predloženie v listinnej podobe alebo v prípade potreby na neprepisovateľnom elektronickom médiu napr. na CD</w:t>
      </w:r>
      <w:r w:rsidR="009B7429">
        <w:rPr>
          <w:rFonts w:ascii="Arial Narrow" w:hAnsi="Arial Narrow" w:cs="Calibri"/>
          <w:sz w:val="22"/>
          <w:szCs w:val="22"/>
          <w:lang w:val="sk-SK"/>
        </w:rPr>
        <w:t>/</w:t>
      </w:r>
      <w:r w:rsidRPr="009D0F84">
        <w:rPr>
          <w:rFonts w:ascii="Arial Narrow" w:hAnsi="Arial Narrow" w:cs="Calibri"/>
          <w:sz w:val="22"/>
          <w:szCs w:val="22"/>
          <w:lang w:val="sk-SK"/>
        </w:rPr>
        <w:t>DVD nosiči, USB) na adresu RO OPII:</w:t>
      </w:r>
    </w:p>
    <w:p w14:paraId="5867BA6B" w14:textId="6D584E61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Ministerstvo dopravy </w:t>
      </w:r>
      <w:del w:id="82" w:author="MDSR" w:date="2023-05-25T08:23:00Z">
        <w:r w:rsidRPr="00D0463F" w:rsidDel="00B86DB3">
          <w:rPr>
            <w:rFonts w:ascii="Arial Narrow" w:hAnsi="Arial Narrow" w:cs="Calibri"/>
            <w:b/>
            <w:i/>
            <w:sz w:val="22"/>
            <w:szCs w:val="22"/>
            <w:lang w:val="sk-SK"/>
          </w:rPr>
          <w:delText xml:space="preserve">a výstavby </w:delText>
        </w:r>
      </w:del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SR </w:t>
      </w:r>
    </w:p>
    <w:p w14:paraId="1E676FEB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Sekcia riadenia projektov </w:t>
      </w:r>
    </w:p>
    <w:p w14:paraId="013D4412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Námestie slobody 6</w:t>
      </w:r>
    </w:p>
    <w:p w14:paraId="266914C6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P.O.BOX 100</w:t>
      </w:r>
    </w:p>
    <w:p w14:paraId="284EA62E" w14:textId="0363260D" w:rsidR="009D0F84" w:rsidRPr="00D0463F" w:rsidRDefault="009D0F84" w:rsidP="003A630D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810 05 Bratislava 15</w:t>
      </w:r>
    </w:p>
    <w:p w14:paraId="6C4A052B" w14:textId="77777777" w:rsidR="009D0F84" w:rsidRPr="009D0F84" w:rsidRDefault="009D0F84" w:rsidP="00D0463F">
      <w:pPr>
        <w:spacing w:before="120"/>
        <w:ind w:left="72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ŽoNFP žiadateľ predkladá na vyššie uvedenú adresu jedným z nasledovných spôsobov: </w:t>
      </w:r>
    </w:p>
    <w:p w14:paraId="6EB52BA1" w14:textId="6D51106A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osobne do podateľne </w:t>
      </w:r>
      <w:del w:id="83" w:author="MDSR" w:date="2023-05-25T08:15:00Z">
        <w:r w:rsidRPr="009D0F84" w:rsidDel="00B86DB3">
          <w:rPr>
            <w:rFonts w:ascii="Arial Narrow" w:hAnsi="Arial Narrow" w:cs="Calibri"/>
            <w:sz w:val="22"/>
            <w:szCs w:val="22"/>
            <w:lang w:val="sk-SK"/>
          </w:rPr>
          <w:delText>MDV</w:delText>
        </w:r>
      </w:del>
      <w:ins w:id="84" w:author="MDSR" w:date="2023-05-25T08:15:00Z">
        <w:r w:rsidR="00B86DB3">
          <w:rPr>
            <w:rFonts w:ascii="Arial Narrow" w:hAnsi="Arial Narrow" w:cs="Calibri"/>
            <w:sz w:val="22"/>
            <w:szCs w:val="22"/>
            <w:lang w:val="sk-SK"/>
          </w:rPr>
          <w:t>MD</w:t>
        </w:r>
      </w:ins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SR v pracovné dni v čase 8:30 – 14:00 hod, </w:t>
      </w:r>
    </w:p>
    <w:p w14:paraId="3757C2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doporučenou poštou, </w:t>
      </w:r>
    </w:p>
    <w:p w14:paraId="3CC936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inou prepravou (napr. kuriérskou službou). </w:t>
      </w:r>
    </w:p>
    <w:p w14:paraId="2E7BB712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Pri doručovaní ŽoNFP prostredníctvom Ústredného portálu verejnej správy žiadateľ štandardne neautorizuje prílohy ŽoNFP, ale ich iba vloží do ITMS2014+.</w:t>
      </w:r>
    </w:p>
    <w:p w14:paraId="5B2B06ED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V prípade, ak má žiadateľ aktivovanú elektronickú schránku, RO je povinný doručovať všetky rozhodnutia, vydané v konaní o ŽoNFP elektronicky, v súlade so zákonom o e-Governmente</w:t>
      </w:r>
    </w:p>
    <w:p w14:paraId="3CE7246F" w14:textId="233CD707" w:rsidR="00941D37" w:rsidRDefault="00941D37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ŽoNFP vrátane všetkých povinných príloh je žiadateľ povinný predložiť v slovenskom jazyku (ak nie je vo vyzvaní uvedené inak).</w:t>
      </w:r>
    </w:p>
    <w:p w14:paraId="424A6A4F" w14:textId="2242C182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Organizačne je za príjem </w:t>
      </w:r>
      <w:r w:rsidR="0079718E" w:rsidRPr="0043733B">
        <w:rPr>
          <w:rFonts w:ascii="Arial Narrow" w:hAnsi="Arial Narrow" w:cs="Calibri"/>
          <w:sz w:val="22"/>
          <w:szCs w:val="22"/>
          <w:lang w:val="sk-SK"/>
        </w:rPr>
        <w:t xml:space="preserve">a schvaľovanie 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ŽoNFP pre projekty TP zodpovedné </w:t>
      </w:r>
      <w:r w:rsidR="000C5AAD">
        <w:rPr>
          <w:rFonts w:ascii="Arial Narrow" w:hAnsi="Arial Narrow" w:cs="Calibri"/>
          <w:b/>
          <w:sz w:val="22"/>
          <w:szCs w:val="22"/>
          <w:lang w:val="sk-SK"/>
        </w:rPr>
        <w:t>ORTP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V prípade zmeny organizačného útvaru </w:t>
      </w:r>
      <w:del w:id="85" w:author="MDSR" w:date="2023-05-25T08:15:00Z">
        <w:r w:rsidRPr="0043733B" w:rsidDel="00B86DB3">
          <w:rPr>
            <w:rFonts w:ascii="Arial Narrow" w:hAnsi="Arial Narrow" w:cs="Calibri"/>
            <w:sz w:val="22"/>
            <w:szCs w:val="22"/>
            <w:lang w:val="sk-SK"/>
          </w:rPr>
          <w:delText>MDV</w:delText>
        </w:r>
      </w:del>
      <w:ins w:id="86" w:author="MDSR" w:date="2023-05-25T08:15:00Z">
        <w:r w:rsidR="00B86DB3">
          <w:rPr>
            <w:rFonts w:ascii="Arial Narrow" w:hAnsi="Arial Narrow" w:cs="Calibri"/>
            <w:sz w:val="22"/>
            <w:szCs w:val="22"/>
            <w:lang w:val="sk-SK"/>
          </w:rPr>
          <w:t>MD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SR zodpovedného za výkon činností RO pre prioritnú os č. 8 OPII – TP bude Žiadateľ vhodnou formou informovaný o tejto zmene. Za vhodný spôsob informovania sa považuje e-mail, </w:t>
      </w:r>
      <w:r w:rsidR="00FD447C">
        <w:rPr>
          <w:rFonts w:ascii="Arial Narrow" w:hAnsi="Arial Narrow" w:cs="Calibri"/>
          <w:sz w:val="22"/>
          <w:szCs w:val="22"/>
          <w:lang w:val="sk-SK"/>
        </w:rPr>
        <w:t>listinná</w:t>
      </w:r>
      <w:r w:rsidR="00FD447C"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forma alebo zverejnenie na webovom sidle RO.</w:t>
      </w:r>
    </w:p>
    <w:p w14:paraId="3EEDDE62" w14:textId="5E1E700E" w:rsidR="00897C4B" w:rsidRPr="00966BF3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66BF3">
        <w:rPr>
          <w:rFonts w:ascii="Arial Narrow" w:hAnsi="Arial Narrow"/>
          <w:sz w:val="22"/>
          <w:szCs w:val="22"/>
          <w:lang w:val="sk-SK"/>
        </w:rPr>
        <w:t>V zmysle § 19 ods. 2 zákona o príspevku z EŠIF sa konanie o ŽoNFP začína doručením ŽoNFP poskytovateľovi na základe vyhláseného vyzvania</w:t>
      </w:r>
      <w:r w:rsidRPr="00966BF3">
        <w:rPr>
          <w:rFonts w:ascii="Arial Narrow" w:hAnsi="Arial Narrow"/>
          <w:b/>
          <w:sz w:val="22"/>
          <w:szCs w:val="22"/>
          <w:lang w:val="sk-SK"/>
        </w:rPr>
        <w:t>. Za dátum začatia konania o 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sa považuje dátum </w:t>
      </w:r>
      <w:r w:rsidR="00B11042" w:rsidRPr="00966BF3">
        <w:rPr>
          <w:rFonts w:ascii="Arial Narrow" w:hAnsi="Arial Narrow"/>
          <w:b/>
          <w:sz w:val="22"/>
          <w:szCs w:val="22"/>
          <w:lang w:val="sk-SK"/>
        </w:rPr>
        <w:t xml:space="preserve">podania </w:t>
      </w:r>
      <w:r w:rsidR="00216732" w:rsidRPr="00966BF3">
        <w:rPr>
          <w:rFonts w:ascii="Arial Narrow" w:hAnsi="Arial Narrow"/>
          <w:b/>
          <w:sz w:val="22"/>
          <w:szCs w:val="22"/>
          <w:lang w:val="sk-SK"/>
        </w:rPr>
        <w:t xml:space="preserve">ŽoNFP elektronicky podpísanej kvalifikovaným elektronickým podpisom alebo kvalifikovaným elektronickým podpisom s mandátnym certifikátom alebo kvalifikovanou pečaťou žiadateľa (štatutárnym orgánom žiadateľa, resp. splnomocnenou osobou) do elektronickej schránky </w:t>
      </w:r>
      <w:del w:id="87" w:author="MDSR" w:date="2023-05-25T08:15:00Z">
        <w:r w:rsidR="00216732" w:rsidRPr="00966BF3" w:rsidDel="00B86DB3">
          <w:rPr>
            <w:rFonts w:ascii="Arial Narrow" w:hAnsi="Arial Narrow"/>
            <w:b/>
            <w:sz w:val="22"/>
            <w:szCs w:val="22"/>
            <w:lang w:val="sk-SK"/>
          </w:rPr>
          <w:delText>MDV</w:delText>
        </w:r>
      </w:del>
      <w:ins w:id="88" w:author="MDSR" w:date="2023-05-25T08:15:00Z">
        <w:r w:rsidR="00B86DB3">
          <w:rPr>
            <w:rFonts w:ascii="Arial Narrow" w:hAnsi="Arial Narrow"/>
            <w:b/>
            <w:sz w:val="22"/>
            <w:szCs w:val="22"/>
            <w:lang w:val="sk-SK"/>
          </w:rPr>
          <w:t>MD</w:t>
        </w:r>
      </w:ins>
      <w:r w:rsidR="00216732" w:rsidRPr="00966BF3">
        <w:rPr>
          <w:rFonts w:ascii="Arial Narrow" w:hAnsi="Arial Narrow"/>
          <w:b/>
          <w:sz w:val="22"/>
          <w:szCs w:val="22"/>
          <w:lang w:val="sk-SK"/>
        </w:rPr>
        <w:t xml:space="preserve"> SR alebo dátum </w:t>
      </w:r>
      <w:r w:rsidRPr="00966BF3">
        <w:rPr>
          <w:rFonts w:ascii="Arial Narrow" w:hAnsi="Arial Narrow"/>
          <w:b/>
          <w:sz w:val="22"/>
          <w:szCs w:val="22"/>
          <w:lang w:val="sk-SK"/>
        </w:rPr>
        <w:t>doručenia písomnej verzie ŽoNFP na RO OPII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>,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 resp. deň odovzdania 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>na prepravu (kuriér, pošta)</w:t>
      </w:r>
      <w:r w:rsidR="00D65212" w:rsidRPr="00966BF3">
        <w:rPr>
          <w:rFonts w:ascii="Arial Narrow" w:hAnsi="Arial Narrow"/>
          <w:b/>
          <w:sz w:val="22"/>
          <w:szCs w:val="22"/>
          <w:lang w:val="sk-SK"/>
        </w:rPr>
        <w:t>.</w:t>
      </w:r>
      <w:r w:rsidR="00897C4B" w:rsidRPr="00966BF3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46792D91" w14:textId="2AE26A08" w:rsidR="00BF2F8A" w:rsidRPr="0043733B" w:rsidRDefault="00897C4B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Pre žiadateľa RO OPII sa</w:t>
      </w:r>
      <w:r w:rsidR="00216732" w:rsidRPr="0043733B">
        <w:rPr>
          <w:lang w:val="sk-SK"/>
        </w:rPr>
        <w:t xml:space="preserve"> </w:t>
      </w:r>
      <w:r w:rsidR="00216732" w:rsidRPr="0043733B">
        <w:rPr>
          <w:rFonts w:ascii="Arial Narrow" w:hAnsi="Arial Narrow"/>
          <w:sz w:val="22"/>
          <w:szCs w:val="22"/>
          <w:lang w:val="sk-SK"/>
        </w:rPr>
        <w:t>v prípade nefunkčnosti elektronickej schránky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za oprávnený spôsob doručenia ŽoNFP považuje aj doručenie vnútorným listom pri dodržaní oddeliteľnosti výkonu funkcií zainteresovaných osôb na strane RO v zmysle ustanovenia § 46 ods. 13 zákona o príspevku z EŠIF.</w:t>
      </w:r>
    </w:p>
    <w:p w14:paraId="64D85F8E" w14:textId="1E88C72E" w:rsidR="00C90826" w:rsidRPr="0043733B" w:rsidRDefault="00C90826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 prípade, ak je RO a žiadateľ tá istá osoba, žiadateľ nie je povinný predkladať ŽoNFP prostredníctvom ÚPVS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(elektronickej schránky).</w:t>
      </w:r>
    </w:p>
    <w:p w14:paraId="31D5F6F5" w14:textId="77777777" w:rsidR="00BF2F8A" w:rsidRPr="0043733B" w:rsidRDefault="00D65212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zmysle § 19 ods. 4 zákona o príspevku z EŠIF povinný predložiť ŽoNFP </w:t>
      </w:r>
      <w:r w:rsidR="004D0F44" w:rsidRPr="0043733B">
        <w:rPr>
          <w:rFonts w:ascii="Arial Narrow" w:hAnsi="Arial Narrow"/>
          <w:sz w:val="22"/>
          <w:szCs w:val="22"/>
          <w:lang w:val="sk-SK"/>
        </w:rPr>
        <w:t xml:space="preserve">vrátane príloh </w:t>
      </w:r>
      <w:r w:rsidRPr="0043733B">
        <w:rPr>
          <w:rFonts w:ascii="Arial Narrow" w:hAnsi="Arial Narrow"/>
          <w:b/>
          <w:sz w:val="22"/>
          <w:szCs w:val="22"/>
          <w:lang w:val="sk-SK"/>
        </w:rPr>
        <w:t>riadne, včas a vo forme určenej RO OPI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I. </w:t>
      </w:r>
    </w:p>
    <w:p w14:paraId="59DE20DD" w14:textId="77777777" w:rsid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>Predloženie príloh ŽoNFP</w:t>
      </w:r>
    </w:p>
    <w:p w14:paraId="73A47674" w14:textId="1E28B883" w:rsidR="00D97681" w:rsidRPr="003A630D" w:rsidRDefault="00D97681" w:rsidP="00D0463F">
      <w:pPr>
        <w:spacing w:before="120" w:after="120"/>
        <w:ind w:left="284"/>
        <w:jc w:val="both"/>
        <w:rPr>
          <w:rFonts w:ascii="Arial Narrow" w:hAnsi="Arial Narrow" w:cs="Calibri Light"/>
          <w:b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 xml:space="preserve">Žiadateľ je oprávnený v rámci originálov povinných príloh k ŽoNFP predložiť ich overené kópie (príp. sken a pod.). Zhodu s príslušným originálom deklaruje žiadateľ v čestnom vyhlásení, ktoré je súčasťou súhrnného čestného vyhlásenia vo formulári ŽoNFP – tab. 15 Čestné vyhlásenie žiadateľa. V prípade, ak čestné </w:t>
      </w:r>
      <w:r w:rsidRPr="00D97681">
        <w:rPr>
          <w:rFonts w:ascii="Arial Narrow" w:hAnsi="Arial Narrow"/>
          <w:sz w:val="22"/>
          <w:szCs w:val="22"/>
          <w:lang w:val="sk-SK"/>
        </w:rPr>
        <w:lastRenderedPageBreak/>
        <w:t xml:space="preserve">vyhlásenie o zhode nie je uvedené vo formulári ŽoNFP – tab. 15, tak žiadateľ deklaruje zhodu s originálom </w:t>
      </w:r>
      <w:r w:rsidRPr="003A630D">
        <w:rPr>
          <w:rFonts w:ascii="Arial Narrow" w:hAnsi="Arial Narrow"/>
          <w:sz w:val="22"/>
          <w:szCs w:val="22"/>
          <w:lang w:val="sk-SK"/>
        </w:rPr>
        <w:t>prostredníctvom čestného vyhlásenia, ktorého vzor je uvedený v prílohe č. 2</w:t>
      </w:r>
      <w:r w:rsidR="003A630D">
        <w:rPr>
          <w:rFonts w:ascii="Arial Narrow" w:hAnsi="Arial Narrow"/>
          <w:sz w:val="22"/>
          <w:szCs w:val="22"/>
          <w:lang w:val="sk-SK"/>
        </w:rPr>
        <w:t xml:space="preserve"> týchto postupov</w:t>
      </w:r>
      <w:r w:rsidRPr="003A630D">
        <w:rPr>
          <w:rFonts w:ascii="Arial Narrow" w:hAnsi="Arial Narrow"/>
          <w:sz w:val="22"/>
          <w:szCs w:val="22"/>
          <w:lang w:val="sk-SK"/>
        </w:rPr>
        <w:t xml:space="preserve">. Žiadateľ je povinný </w:t>
      </w:r>
      <w:r w:rsidRPr="003A630D">
        <w:rPr>
          <w:rFonts w:ascii="Arial Narrow" w:hAnsi="Arial Narrow" w:cs="Calibri Light"/>
          <w:sz w:val="22"/>
          <w:szCs w:val="22"/>
          <w:lang w:val="sk-SK"/>
        </w:rPr>
        <w:t>uchovávať originály dokumentov u seba a v prípade požiadavky RO OPII je povinný kedykoľvek v priebehu konania o žiadosti alebo implementácie projektu predložiť originál príslušného dokumentu.</w:t>
      </w:r>
    </w:p>
    <w:p w14:paraId="194174DF" w14:textId="15F52865" w:rsidR="00D97681" w:rsidRPr="00D0463F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 Light"/>
          <w:sz w:val="22"/>
          <w:szCs w:val="22"/>
          <w:lang w:val="sk-SK"/>
        </w:rPr>
      </w:pPr>
      <w:r w:rsidRPr="00D0463F">
        <w:rPr>
          <w:rFonts w:ascii="Arial Narrow" w:hAnsi="Arial Narrow" w:cs="Calibri Light"/>
          <w:sz w:val="22"/>
          <w:szCs w:val="22"/>
          <w:lang w:val="sk-SK"/>
        </w:rPr>
        <w:t>Za doručenie ŽoNFP včas sa považuje doručenie v zmysle lehoty uvádzanej vo vyzvaní</w:t>
      </w:r>
      <w:r w:rsidR="003A630D">
        <w:rPr>
          <w:rFonts w:ascii="Arial Narrow" w:hAnsi="Arial Narrow" w:cs="Calibri Light"/>
          <w:sz w:val="22"/>
          <w:szCs w:val="22"/>
          <w:lang w:val="sk-SK"/>
        </w:rPr>
        <w:t>,</w:t>
      </w:r>
      <w:r w:rsidRPr="00D0463F">
        <w:rPr>
          <w:rFonts w:ascii="Arial Narrow" w:hAnsi="Arial Narrow" w:cs="Calibri Light"/>
          <w:sz w:val="22"/>
          <w:szCs w:val="22"/>
          <w:lang w:val="sk-SK"/>
        </w:rPr>
        <w:t xml:space="preserve"> resp. do termínu uzavretia vyzvania. Za rozhodujúci dátum pre splnenie podmienky doručenia ŽoNFP včas sa považuje:</w:t>
      </w:r>
    </w:p>
    <w:p w14:paraId="618B3512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podania ŽoNFP do  elektronickej schránky poskytovateľa zriadenej v rámci ústredného portálu verejnej správy alebo</w:t>
      </w:r>
    </w:p>
    <w:p w14:paraId="347FEBCD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osobného odovzdania ŽoNFP do podateľne RO OPII, príp. dátum odovzdania ŽoNFP na poštovú, resp. inú prepravu (napr. kuriérom).</w:t>
      </w:r>
    </w:p>
    <w:p w14:paraId="564E922D" w14:textId="42105A71" w:rsidR="003A2DC5" w:rsidRPr="00D0463F" w:rsidRDefault="003A2DC5" w:rsidP="003A2DC5">
      <w:pPr>
        <w:pStyle w:val="Default"/>
        <w:spacing w:before="120" w:line="276" w:lineRule="auto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 xml:space="preserve">Konanie o ŽoNFP začína doručením ŽoNFP poskytovateľovi na základe </w:t>
      </w:r>
      <w:r w:rsidR="00D97681" w:rsidRPr="00B86DB3">
        <w:rPr>
          <w:rFonts w:ascii="Calibri" w:hAnsi="Calibri"/>
          <w:sz w:val="20"/>
          <w:szCs w:val="20"/>
          <w:lang w:val="sk-SK"/>
        </w:rPr>
        <w:t>vyhláseného vyzvania</w:t>
      </w:r>
      <w:r w:rsidRPr="00D0463F">
        <w:rPr>
          <w:rFonts w:ascii="Arial Narrow" w:hAnsi="Arial Narrow"/>
          <w:sz w:val="22"/>
          <w:szCs w:val="22"/>
          <w:lang w:val="sk-SK"/>
        </w:rPr>
        <w:t>.</w:t>
      </w:r>
    </w:p>
    <w:p w14:paraId="1F4AB286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>Za ŽoNFP predloženú riadne</w:t>
      </w:r>
      <w:r w:rsidRPr="00D0463F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sz w:val="22"/>
          <w:szCs w:val="22"/>
          <w:lang w:val="sk-SK"/>
        </w:rPr>
        <w:t>sa považuje ŽoNFP, ktorá spĺňa nasledovné podmienky:</w:t>
      </w:r>
    </w:p>
    <w:p w14:paraId="0FAF80EB" w14:textId="77777777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zaslaný formát ŽoNFP umožňuje objektívne posúdenie obsahu;</w:t>
      </w:r>
    </w:p>
    <w:p w14:paraId="5AF180B9" w14:textId="1C46EC5E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ŽoNFP a prílohy sú vyplnené v slovenskom jazyku. V prípade, ak je príloha uvedená v inom ako slovenskom jazyku, žiadateľ predloží aj jej certifikovaný preklad do slovenského jazyka (ak nie je vo vyzvaní uvedené inak)</w:t>
      </w:r>
      <w:r w:rsidR="00F500DD" w:rsidRPr="0043733B">
        <w:rPr>
          <w:rFonts w:ascii="Arial Narrow" w:hAnsi="Arial Narrow" w:cs="Arial"/>
          <w:sz w:val="22"/>
          <w:szCs w:val="22"/>
        </w:rPr>
        <w:t>.</w:t>
      </w:r>
    </w:p>
    <w:p w14:paraId="7DE432BD" w14:textId="086A702E" w:rsidR="003A2DC5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97681">
        <w:rPr>
          <w:rFonts w:ascii="Arial Narrow" w:hAnsi="Arial Narrow" w:cs="Arial"/>
          <w:sz w:val="22"/>
          <w:szCs w:val="22"/>
          <w:lang w:val="sk-SK"/>
        </w:rPr>
        <w:t xml:space="preserve">V prípade predloženia v listinnej podobe sa ŽoNFP odporúča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 xml:space="preserve">predložiť na podateľňu 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 xml:space="preserve">RO OPII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>nasledovným spôsobom:</w:t>
      </w:r>
    </w:p>
    <w:p w14:paraId="367B6E54" w14:textId="765E40FE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je spolu s prílohami zviazaná v hrebeňovej väzbe alebo inej pevnej väzbe (drôtená, tepelná, šitá väzba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>)</w:t>
      </w:r>
      <w:r w:rsidRPr="00D0463F">
        <w:rPr>
          <w:rFonts w:ascii="Arial Narrow" w:hAnsi="Arial Narrow" w:cs="Arial"/>
          <w:sz w:val="22"/>
          <w:szCs w:val="22"/>
          <w:lang w:val="sk-SK"/>
        </w:rPr>
        <w:t>;</w:t>
      </w:r>
    </w:p>
    <w:p w14:paraId="3844551F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 xml:space="preserve">je doručená v pevnom, uzavretom, nepoškodenom a nepriehľadnom obale; </w:t>
      </w:r>
    </w:p>
    <w:p w14:paraId="3082607A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má uvedené vonkajšie náležitosti na obale:</w:t>
      </w:r>
    </w:p>
    <w:p w14:paraId="14BBF679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a adresa žiadateľa o NFP,</w:t>
      </w:r>
    </w:p>
    <w:p w14:paraId="09EB44BF" w14:textId="687BB803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názov a adresa </w:t>
      </w:r>
      <w:del w:id="89" w:author="MDSR" w:date="2023-05-25T08:15:00Z">
        <w:r w:rsidRPr="00D0463F" w:rsidDel="00B86DB3">
          <w:rPr>
            <w:rFonts w:ascii="Arial Narrow" w:hAnsi="Arial Narrow" w:cs="Calibri"/>
            <w:sz w:val="22"/>
            <w:szCs w:val="22"/>
          </w:rPr>
          <w:delText>MDV</w:delText>
        </w:r>
      </w:del>
      <w:ins w:id="90" w:author="MDSR" w:date="2023-05-25T08:15:00Z">
        <w:r w:rsidR="00B86DB3">
          <w:rPr>
            <w:rFonts w:ascii="Arial Narrow" w:hAnsi="Arial Narrow" w:cs="Calibri"/>
            <w:sz w:val="22"/>
            <w:szCs w:val="22"/>
          </w:rPr>
          <w:t>MD</w:t>
        </w:r>
      </w:ins>
      <w:r w:rsidRPr="00D0463F">
        <w:rPr>
          <w:rFonts w:ascii="Arial Narrow" w:hAnsi="Arial Narrow" w:cs="Calibri"/>
          <w:sz w:val="22"/>
          <w:szCs w:val="22"/>
        </w:rPr>
        <w:t xml:space="preserve"> SR ako RO OPII,</w:t>
      </w:r>
    </w:p>
    <w:p w14:paraId="21B8FD20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„Operačný program Integrovaná infraštruktúra“,</w:t>
      </w:r>
    </w:p>
    <w:p w14:paraId="50D36EC5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projektu,</w:t>
      </w:r>
    </w:p>
    <w:p w14:paraId="5A4D539B" w14:textId="0C19BC2B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kód a názov prioritnej osi, ku ktorej sa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vzťahuje,</w:t>
      </w:r>
    </w:p>
    <w:p w14:paraId="638D4B8E" w14:textId="76B1B282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identifikátor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o poskytnutie NFP (z ITMS2014+),</w:t>
      </w:r>
    </w:p>
    <w:p w14:paraId="3E987628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„ŽIADOSŤ O NFP“,</w:t>
      </w:r>
    </w:p>
    <w:p w14:paraId="79F9A1C3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„NEOTVÁRAŤ“.</w:t>
      </w:r>
    </w:p>
    <w:p w14:paraId="0B6045B3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 prípade, ak žiadateľ nedoručí ŽoNFP riadne, včas a v určenej forme</w:t>
      </w:r>
      <w:r w:rsidRPr="00D0463F">
        <w:rPr>
          <w:rFonts w:ascii="Arial Narrow" w:hAnsi="Arial Narrow"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b/>
          <w:sz w:val="22"/>
          <w:szCs w:val="22"/>
          <w:lang w:val="sk-SK"/>
        </w:rPr>
        <w:t>a to ani po možnosti doplnenia (napr. v prípade neúplnosti), RO OPII zastaví konanie o žiadosti v zmysle § 20 ods. 1 písm. c) zákona o príspevku z EŠIF a o tejto skutočnosti informuje žiadateľa.</w:t>
      </w:r>
    </w:p>
    <w:p w14:paraId="075E976F" w14:textId="77777777" w:rsidR="003A2DC5" w:rsidRPr="00D0463F" w:rsidRDefault="003A2DC5" w:rsidP="00D0463F">
      <w:pPr>
        <w:spacing w:before="120" w:after="24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Ak vzniknú pochybnosti o pravdivosti alebo úplnosti žiadosti alebo jej príloh, poskytovateľ oznámi tieto pochybnosti žiadateľovi a vyzve ho, aby sa k nim vyjadril; poskytovateľ určí žiadateľovi primeranú lehotu na vyjadrenie, ktorá nesmie byť kratšia ako päť pracovných dní od doručenia oznámenia poskytovateľa a poučí ho o následkoch spojených s neodstránením pochybností alebo nedodržaním určenej lehoty.</w:t>
      </w:r>
    </w:p>
    <w:p w14:paraId="52E421AA" w14:textId="77777777" w:rsidR="003A2DC5" w:rsidRPr="00D0463F" w:rsidRDefault="003A2DC5" w:rsidP="00D0463F">
      <w:pPr>
        <w:ind w:left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lang w:val="sk-SK"/>
        </w:rPr>
        <w:t>V prípade, ak žiadateľ tieto pochybnosti neodstráni v určenej lehote, RO OPII zastaví konanie o žiadosti v zmysle § 20 ods. 1 písm. d) zákona o príspevku z EŠIF a o tejto skutočnosti informuje žiadateľa.</w:t>
      </w:r>
    </w:p>
    <w:p w14:paraId="2DF64196" w14:textId="27FBE9F7" w:rsidR="00BF08CD" w:rsidRPr="00D0463F" w:rsidRDefault="00BF08CD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RO OPII poskytne žiadateľovi v súvislosti s vypracovaním ŽoNFP a jej príloh potrebnú metodickú a odbornú podporu pri dodržaní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pravidla vylúčenia zaujatosti.</w:t>
      </w:r>
    </w:p>
    <w:p w14:paraId="5B3EF334" w14:textId="2C7F7311" w:rsidR="00BF08CD" w:rsidRDefault="00BF08CD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 xml:space="preserve">Žiadateľ vypracuje formulár ŽoNFP výlučne prostredníctvom verejnej časti ITMS2014+ vyplnením elektronického formulára ŽoNFP a pripojením vybraných elektronických verzií príloh, ktoré sú povinne predkladané cez ITMS2014+. </w:t>
      </w:r>
    </w:p>
    <w:p w14:paraId="15250C63" w14:textId="789D78B7" w:rsidR="00D97681" w:rsidRP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97681">
        <w:rPr>
          <w:rFonts w:ascii="Arial Narrow" w:hAnsi="Arial Narrow" w:cs="Calibri"/>
          <w:sz w:val="22"/>
          <w:szCs w:val="22"/>
          <w:lang w:val="sk-SK"/>
        </w:rPr>
        <w:t>Predkladanie žonfp do elektronickej schránky</w:t>
      </w:r>
    </w:p>
    <w:p w14:paraId="3A7D3FE7" w14:textId="77777777" w:rsidR="00D97681" w:rsidRPr="00B86DB3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86DB3">
        <w:rPr>
          <w:rFonts w:ascii="Arial Narrow" w:hAnsi="Arial Narrow" w:cs="Calibri"/>
          <w:sz w:val="22"/>
          <w:szCs w:val="22"/>
          <w:lang w:val="sk-SK"/>
        </w:rPr>
        <w:lastRenderedPageBreak/>
        <w:t>Žiadateľ je oprávnený v zmysle zákona o e-Governmente predložiť ŽoNFP do elektronickej schránky RO http://podatelna.gov.sk</w:t>
      </w:r>
      <w:r w:rsidRPr="00D0463F">
        <w:rPr>
          <w:rFonts w:ascii="Arial Narrow" w:hAnsi="Arial Narrow" w:cs="Calibri"/>
          <w:sz w:val="22"/>
          <w:szCs w:val="22"/>
        </w:rPr>
        <w:footnoteReference w:id="7"/>
      </w:r>
      <w:r w:rsidRPr="00B86DB3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72094AB8" w14:textId="77777777" w:rsidR="00D97681" w:rsidRPr="00B86DB3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86DB3">
        <w:rPr>
          <w:rFonts w:ascii="Arial Narrow" w:hAnsi="Arial Narrow" w:cs="Calibri"/>
          <w:sz w:val="22"/>
          <w:szCs w:val="22"/>
          <w:lang w:val="sk-SK"/>
        </w:rPr>
        <w:t>Pri predkladaní ŽoNFP do elektronickej schránky RO žiadateľ ŽoNFP autorizuje a odošle bez príloh priamo z prostredia ITMS2014+</w:t>
      </w:r>
      <w:r w:rsidRPr="00D0463F">
        <w:rPr>
          <w:rFonts w:ascii="Arial Narrow" w:hAnsi="Arial Narrow" w:cs="Calibri"/>
          <w:sz w:val="22"/>
          <w:szCs w:val="22"/>
        </w:rPr>
        <w:footnoteReference w:id="8"/>
      </w:r>
      <w:r w:rsidRPr="00B86DB3">
        <w:rPr>
          <w:rFonts w:ascii="Arial Narrow" w:hAnsi="Arial Narrow" w:cs="Calibri"/>
          <w:sz w:val="22"/>
          <w:szCs w:val="22"/>
          <w:vertAlign w:val="superscript"/>
          <w:lang w:val="sk-SK"/>
        </w:rPr>
        <w:t xml:space="preserve"> </w:t>
      </w:r>
      <w:r w:rsidRPr="00B86DB3">
        <w:rPr>
          <w:rFonts w:ascii="Arial Narrow" w:hAnsi="Arial Narrow" w:cs="Calibri"/>
          <w:sz w:val="22"/>
          <w:szCs w:val="22"/>
          <w:lang w:val="sk-SK"/>
        </w:rPr>
        <w:t>(integrácia ITMS2014+ s Ústredným portálom verejnej správy).</w:t>
      </w:r>
    </w:p>
    <w:p w14:paraId="698471D2" w14:textId="77777777" w:rsidR="00D97681" w:rsidRPr="00B86DB3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86DB3">
        <w:rPr>
          <w:rFonts w:ascii="Arial Narrow" w:hAnsi="Arial Narrow" w:cs="Calibri"/>
          <w:sz w:val="22"/>
          <w:szCs w:val="22"/>
          <w:lang w:val="sk-SK"/>
        </w:rPr>
        <w:t xml:space="preserve">Miestom doručenia ŽoNFP bez príloh je elektronická schránka RO. </w:t>
      </w:r>
    </w:p>
    <w:p w14:paraId="190F8498" w14:textId="713B3C0B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Žiadateľ štandardne neautorizuje prílohy ŽoNFP, ale ich vloží do ITMS2014+. V odôvodnených prípadoch však RO môže stanoviť vo vyzvaní povinnosť doručiť vybrané prílohy ŽoNFP</w:t>
      </w:r>
      <w:r w:rsidRPr="00D0463F">
        <w:rPr>
          <w:rFonts w:ascii="Arial Narrow" w:hAnsi="Arial Narrow" w:cs="Calibri"/>
          <w:sz w:val="22"/>
          <w:szCs w:val="22"/>
        </w:rPr>
        <w:footnoteReference w:id="9"/>
      </w:r>
      <w:r w:rsidRPr="00D0463F">
        <w:rPr>
          <w:rFonts w:ascii="Arial Narrow" w:hAnsi="Arial Narrow" w:cs="Calibri"/>
          <w:sz w:val="22"/>
          <w:szCs w:val="22"/>
          <w:vertAlign w:val="superscript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 xml:space="preserve">autorizované kvalifikovaným elektronickým podpisom, kvalifikovaným elektronickým podpisom s mandátnym certifikátom alebo kvalifikovanou elektronickou pečaťou do elektronickej schránky RO (ide o prílohy, ktoré je žiadateľ povinný predložiť úradne osvedčené, napríklad </w:t>
      </w:r>
      <w:r w:rsidR="007D4483">
        <w:rPr>
          <w:rFonts w:ascii="Arial Narrow" w:hAnsi="Arial Narrow" w:cs="Calibri"/>
          <w:sz w:val="22"/>
          <w:szCs w:val="22"/>
        </w:rPr>
        <w:t>s</w:t>
      </w:r>
      <w:r w:rsidRPr="00D0463F">
        <w:rPr>
          <w:rFonts w:ascii="Arial Narrow" w:hAnsi="Arial Narrow" w:cs="Calibri"/>
          <w:sz w:val="22"/>
          <w:szCs w:val="22"/>
        </w:rPr>
        <w:t xml:space="preserve">plnomocnenie osoby splnomocnenej zastupovať žiadateľa v konaní o ŽoNFP). </w:t>
      </w:r>
    </w:p>
    <w:p w14:paraId="035E8600" w14:textId="36A9661E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Aj v prípade, že žiadateľ predkladá ŽoNFP bez príloh výlučne elektronicky, je oprávnený doručiť vybrané prílohy ŽoNFP, ktoré nie sú dostupné v elektronickej podobe (resp. ich zaručená konverzia vykonaná postupom podľa § 36 zákona o e-Governmente do elektronickej podoby by neúmerne zaťažila žiadateľa) v listinnej podobe. </w:t>
      </w:r>
    </w:p>
    <w:p w14:paraId="5C476C1D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V prípade, ak žiadateľ predloží ŽoNFP bez príloh elektronickým spôsobom a má aktivovanú elektronickú schránku, RO doručí všetky rozhodnutia, vydané v konaní o ŽoNFP elektronicky v súlade so zákonom o e-Governmente. </w:t>
      </w:r>
    </w:p>
    <w:p w14:paraId="3B0B84A1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Za písomné doručenie ŽoNFP, ako aj ďalších dokumentov v rámci konania o ŽoNFP sa považuje aj doručenie ŽoNFP bez príloh, resp. ďalších dokumentov v rámci konania o ŽoNFP, autorizovaných kvalifikovaným elektronickým podpisom, kvalifikovaným elektronickým podpisom s mandátnym certifikátom alebo kvalifikovanou elektronickou pečaťou do elektronickej schránky RO. </w:t>
      </w:r>
    </w:p>
    <w:p w14:paraId="43EBE423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Pri dokumentoch, ktoré je v zmysle požiadavky RO žiadateľ povinný predložiť úradne osvedčené, môže žiadateľ zabezpečiť zaručenú konverziu dokumentu v súlade so zákonom o e-Governmente a vložiť ho do ITMS2014+ ako prílohu ŽoNFP. </w:t>
      </w:r>
    </w:p>
    <w:p w14:paraId="306E2513" w14:textId="3683B4A9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Ak žiadateľ zistí v elektronických verejných registroch, resp. v ITMS2014+ nesúlad s podmienkou poskytnutia príspevku, je oprávnený predložiť dokument (resp. zdôvodnenie absencie dokumentu) aj bez výzvy na doplnenie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, ako súčasť predkladanej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 v ITMS2014+.</w:t>
      </w:r>
    </w:p>
    <w:p w14:paraId="0EC08CC4" w14:textId="77777777" w:rsidR="00CF4A67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lang w:val="sk-SK"/>
        </w:rPr>
      </w:pPr>
      <w:bookmarkStart w:id="91" w:name="_Toc445286365"/>
      <w:r w:rsidRPr="0043733B">
        <w:rPr>
          <w:rFonts w:ascii="Arial Narrow" w:hAnsi="Arial Narrow"/>
          <w:color w:val="auto"/>
          <w:sz w:val="28"/>
          <w:lang w:val="sk-SK"/>
        </w:rPr>
        <w:t>Postup pri získaní prístupu žiadateľa do verejnej časti ITMS2014+</w:t>
      </w:r>
      <w:bookmarkEnd w:id="91"/>
    </w:p>
    <w:p w14:paraId="0BE4FE5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2" w:name="_Toc422144383"/>
      <w:bookmarkStart w:id="93" w:name="_Toc445286366"/>
      <w:r w:rsidRPr="0043733B">
        <w:rPr>
          <w:rFonts w:ascii="Arial Narrow" w:hAnsi="Arial Narrow"/>
          <w:color w:val="auto"/>
          <w:lang w:val="sk-SK"/>
        </w:rPr>
        <w:t>Predpoklady pre vytvorenie ŽoNFP na verejnej časti ITMS2014+</w:t>
      </w:r>
      <w:bookmarkEnd w:id="92"/>
      <w:bookmarkEnd w:id="93"/>
    </w:p>
    <w:p w14:paraId="6AFE1FDA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Na predloženie ŽoNFP musí mať žiadateľ vytvorený platný prístup do verejnej časti ITMS2014+.</w:t>
      </w:r>
    </w:p>
    <w:p w14:paraId="3218DCA4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Prístup žiadateľov do verejnej časti ITMS2014+ zabezpečuje DataCentrum na základe žiadosti o aktiváciu konta, ktorú žiadateľ vypracuje v súlade s </w:t>
      </w:r>
      <w:r w:rsidRPr="0043733B">
        <w:rPr>
          <w:rFonts w:ascii="Arial Narrow" w:hAnsi="Arial Narrow"/>
          <w:b/>
          <w:sz w:val="22"/>
          <w:szCs w:val="22"/>
        </w:rPr>
        <w:t>Usmernením CKO č. 2 - Záväzné podmienky používania verejnej časti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0"/>
      </w:r>
    </w:p>
    <w:p w14:paraId="7ED54F86" w14:textId="0AC49940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predkladá ŽoNFP výlučne prostredníctvom verejnej časti ITMS2014+ </w:t>
      </w:r>
      <w:r w:rsidR="00DD106A">
        <w:rPr>
          <w:rFonts w:ascii="Arial Narrow" w:hAnsi="Arial Narrow"/>
          <w:sz w:val="22"/>
          <w:szCs w:val="22"/>
        </w:rPr>
        <w:t xml:space="preserve">a ďalšími formami </w:t>
      </w:r>
      <w:r w:rsidRPr="0043733B">
        <w:rPr>
          <w:rFonts w:ascii="Arial Narrow" w:hAnsi="Arial Narrow"/>
          <w:sz w:val="22"/>
          <w:szCs w:val="22"/>
        </w:rPr>
        <w:t>podľa podmienok stanovených RO OPII vo vyzvaní, resp. v </w:t>
      </w:r>
      <w:r w:rsidR="00DD106A">
        <w:rPr>
          <w:rFonts w:ascii="Arial Narrow" w:hAnsi="Arial Narrow"/>
          <w:sz w:val="22"/>
          <w:szCs w:val="22"/>
        </w:rPr>
        <w:t>týchto</w:t>
      </w:r>
      <w:r w:rsidR="00DD106A" w:rsidRPr="0043733B">
        <w:rPr>
          <w:rFonts w:ascii="Arial Narrow" w:hAnsi="Arial Narrow"/>
          <w:sz w:val="22"/>
          <w:szCs w:val="22"/>
        </w:rPr>
        <w:t xml:space="preserve"> </w:t>
      </w:r>
      <w:r w:rsidR="00DD106A">
        <w:rPr>
          <w:rFonts w:ascii="Arial Narrow" w:hAnsi="Arial Narrow"/>
          <w:sz w:val="22"/>
          <w:szCs w:val="22"/>
        </w:rPr>
        <w:t>postupoch</w:t>
      </w:r>
      <w:r w:rsidRPr="0043733B">
        <w:rPr>
          <w:rFonts w:ascii="Arial Narrow" w:hAnsi="Arial Narrow"/>
          <w:sz w:val="22"/>
          <w:szCs w:val="22"/>
        </w:rPr>
        <w:t xml:space="preserve">. ŽoNFP je možné predložiť iba na schválené a aktuálne otvorené vyzvania. Odoslanie ŽoNFP zo strany žiadateľa musí byť vykonané v rámci </w:t>
      </w:r>
      <w:r w:rsidRPr="0043733B">
        <w:rPr>
          <w:rFonts w:ascii="Arial Narrow" w:hAnsi="Arial Narrow"/>
          <w:sz w:val="22"/>
          <w:szCs w:val="22"/>
        </w:rPr>
        <w:lastRenderedPageBreak/>
        <w:t xml:space="preserve">intervalu od dátumu vyhlásenia vyzvania do uzavretia vyzvania z dôvodu nastania skutočnosti, na základe ktorej sa vyzvanie uzatvára. Mimo tohto intervalu nie je možné ŽoNFP odoslať z verejnej časti ITMS2014+. </w:t>
      </w:r>
    </w:p>
    <w:p w14:paraId="5858C09D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4" w:name="_Toc414266826"/>
      <w:bookmarkStart w:id="95" w:name="_Toc417905937"/>
      <w:bookmarkStart w:id="96" w:name="_Toc419893756"/>
      <w:bookmarkStart w:id="97" w:name="_Toc422144384"/>
      <w:bookmarkStart w:id="98" w:name="_Toc445286367"/>
      <w:r w:rsidRPr="0043733B">
        <w:rPr>
          <w:rFonts w:ascii="Arial Narrow" w:hAnsi="Arial Narrow"/>
          <w:color w:val="auto"/>
          <w:lang w:val="sk-SK"/>
        </w:rPr>
        <w:t>Vytvorenie ŽoNFP na verejnej časti</w:t>
      </w:r>
      <w:bookmarkEnd w:id="94"/>
      <w:bookmarkEnd w:id="95"/>
      <w:bookmarkEnd w:id="96"/>
      <w:bookmarkEnd w:id="97"/>
      <w:bookmarkEnd w:id="98"/>
    </w:p>
    <w:p w14:paraId="5FE22777" w14:textId="77777777" w:rsidR="00BF2F8A" w:rsidRPr="0043733B" w:rsidRDefault="003729ED" w:rsidP="002442E0">
      <w:pPr>
        <w:pStyle w:val="Odsekzoznamu"/>
        <w:numPr>
          <w:ilvl w:val="0"/>
          <w:numId w:val="43"/>
        </w:numPr>
        <w:ind w:left="284" w:hanging="284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Verejná časť ITMS2014+ podporuje nasledujúce funkcie/akcie:</w:t>
      </w:r>
    </w:p>
    <w:p w14:paraId="0210F7A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vytvorenie formuláru ŽoNFP,</w:t>
      </w:r>
    </w:p>
    <w:p w14:paraId="5FFA2320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odoslanie formuláru ŽoNFP, </w:t>
      </w:r>
    </w:p>
    <w:p w14:paraId="1A2271D3" w14:textId="010A7A32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zoznamu všetkých rozpracovaných a odoslaných ŽoNFP žiadateľa, </w:t>
      </w:r>
    </w:p>
    <w:p w14:paraId="3675650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prístup do detailu formulára ŽoNFP žiadateľa, </w:t>
      </w:r>
    </w:p>
    <w:p w14:paraId="50B25C71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zobrazenie informácií o stave spracovania ŽoNFP,</w:t>
      </w:r>
    </w:p>
    <w:p w14:paraId="65914825" w14:textId="03A580E9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generovanie elektronického formuláru ŽoNFP vo formáte PDF.</w:t>
      </w:r>
    </w:p>
    <w:p w14:paraId="11899F44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szCs w:val="24"/>
          <w:lang w:val="sk-SK"/>
        </w:rPr>
      </w:pPr>
      <w:bookmarkStart w:id="99" w:name="_Toc414266828"/>
      <w:bookmarkStart w:id="100" w:name="_Toc417905939"/>
      <w:bookmarkStart w:id="101" w:name="_Toc419893758"/>
      <w:bookmarkStart w:id="102" w:name="_Toc422144385"/>
      <w:bookmarkStart w:id="103" w:name="_Toc445286368"/>
      <w:r w:rsidRPr="0043733B">
        <w:rPr>
          <w:rFonts w:ascii="Arial Narrow" w:hAnsi="Arial Narrow"/>
          <w:color w:val="auto"/>
          <w:szCs w:val="24"/>
          <w:lang w:val="sk-SK"/>
        </w:rPr>
        <w:t>Proces vytvorenia ŽoNFP</w:t>
      </w:r>
      <w:bookmarkEnd w:id="99"/>
      <w:bookmarkEnd w:id="100"/>
      <w:bookmarkEnd w:id="101"/>
      <w:bookmarkEnd w:id="102"/>
      <w:bookmarkEnd w:id="103"/>
    </w:p>
    <w:p w14:paraId="67AFB5C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Proces vytvorenia a podania ŽoNFP je v ITMS2014+ rozdelený na dva za sebou nasledujúce kroky. </w:t>
      </w:r>
    </w:p>
    <w:p w14:paraId="5ADDE82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Prvým krokom je wizard, ktorý slúži na vytvorenie ŽoNFP, výber a zadanie primárnych údajov ŽoNFP. Wizard žiadateľ spustí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„Vytvoriť“ </w:t>
      </w:r>
      <w:r w:rsidRPr="0043733B">
        <w:rPr>
          <w:rFonts w:ascii="Arial Narrow" w:hAnsi="Arial Narrow"/>
          <w:sz w:val="22"/>
          <w:szCs w:val="22"/>
        </w:rPr>
        <w:t xml:space="preserve">zo zoznamu ŽoNFP žiadateľa alebo z detailu konkrétneho vyzvania. Po ukončení wizardu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sa žiadateľ automaticky dostane do detailu formulára ŽoNFP, kde zadáva a upravuje ďalšie potrebné údaje a informácie o projekte.</w:t>
      </w:r>
    </w:p>
    <w:p w14:paraId="0E206EAC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Druhým krokom je formálna kontrola a odoslanie vyplneného formuláru ŽoNFP.</w:t>
      </w:r>
    </w:p>
    <w:p w14:paraId="0D42870B" w14:textId="77777777" w:rsidR="00243A59" w:rsidRPr="0043733B" w:rsidRDefault="003729ED" w:rsidP="00243A59">
      <w:pPr>
        <w:pStyle w:val="Odsekzoznamu"/>
        <w:spacing w:before="120" w:after="120"/>
        <w:ind w:left="0"/>
        <w:contextualSpacing w:val="0"/>
        <w:jc w:val="both"/>
        <w:rPr>
          <w:rFonts w:ascii="Arial Narrow" w:hAnsi="Arial Narrow"/>
          <w:b/>
          <w:i/>
          <w:sz w:val="22"/>
          <w:szCs w:val="22"/>
          <w:u w:val="single"/>
        </w:rPr>
      </w:pPr>
      <w:bookmarkStart w:id="104" w:name="_Toc414266829"/>
      <w:bookmarkStart w:id="105" w:name="_Toc417905940"/>
      <w:bookmarkStart w:id="106" w:name="_Toc419893759"/>
      <w:r w:rsidRPr="0043733B">
        <w:rPr>
          <w:rFonts w:ascii="Arial Narrow" w:hAnsi="Arial Narrow"/>
          <w:b/>
          <w:i/>
          <w:sz w:val="22"/>
          <w:szCs w:val="22"/>
          <w:u w:val="single"/>
        </w:rPr>
        <w:t>Wizard vytvorenia ŽoNFP</w:t>
      </w:r>
      <w:bookmarkEnd w:id="104"/>
      <w:bookmarkEnd w:id="105"/>
      <w:bookmarkEnd w:id="106"/>
    </w:p>
    <w:p w14:paraId="4C435A35" w14:textId="77777777" w:rsidR="00243A59" w:rsidRPr="0043733B" w:rsidRDefault="003729ED" w:rsidP="00030A61">
      <w:pPr>
        <w:spacing w:before="120"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Wizard je sprievodca pri vytváraní ŽoNFP, ktorého krokmi je žiadateľ postupne vedený priamo ITMS2014+. Wizard sa skladá z nasledujúcich krokov:</w:t>
      </w:r>
    </w:p>
    <w:p w14:paraId="4EE87959" w14:textId="15E82A5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Výber </w:t>
      </w:r>
      <w:r w:rsidR="00F500DD" w:rsidRPr="0043733B">
        <w:rPr>
          <w:rFonts w:ascii="Arial Narrow" w:hAnsi="Arial Narrow"/>
          <w:sz w:val="22"/>
          <w:szCs w:val="22"/>
        </w:rPr>
        <w:t xml:space="preserve">vyzvania </w:t>
      </w:r>
      <w:r w:rsidRPr="0043733B">
        <w:rPr>
          <w:rFonts w:ascii="Arial Narrow" w:hAnsi="Arial Narrow"/>
          <w:sz w:val="22"/>
          <w:szCs w:val="22"/>
        </w:rPr>
        <w:t xml:space="preserve">(ak je wizard spustený z detailu konkrétneho vyzvania krok sa nezobrazuje). </w:t>
      </w:r>
    </w:p>
    <w:p w14:paraId="478419DB" w14:textId="06ACF87E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Výber operačného programu → prioritnej osi → špecifického/konkrétneho cieľa. Žiadateľ má možnosť viacnásobného výberu z úrovní operačného programu iba v prípade ak vyzvanie umožňuje takéto priradenie.</w:t>
      </w:r>
    </w:p>
    <w:p w14:paraId="31E0CE30" w14:textId="34C5A5AF" w:rsidR="00243A59" w:rsidRPr="0043733B" w:rsidRDefault="00B40C97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 </w:t>
      </w:r>
      <w:r w:rsidR="003729ED" w:rsidRPr="0043733B">
        <w:rPr>
          <w:rFonts w:ascii="Arial Narrow" w:hAnsi="Arial Narrow"/>
          <w:sz w:val="22"/>
          <w:szCs w:val="22"/>
        </w:rPr>
        <w:t>Zadanie základných údajov ŽoNFP - žiadateľ uvedie názov projektu.</w:t>
      </w:r>
    </w:p>
    <w:p w14:paraId="1852C2EF" w14:textId="7777777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základných kritérií oprávnenosti, tzn. hodnoty základných kritérií oprávnenosti, ktoré sú definované na vyzvaní. Týmto nie je vylúčená povinnosť žiadateľa splniť podmienky poskytnutia príspevku v zmysle vyzvania. </w:t>
      </w:r>
    </w:p>
    <w:p w14:paraId="3A0D06D8" w14:textId="0DE0BF4A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Wizard vytvorenia ŽoNFP je úspešne ukončený iba po stlačení tlačidla </w:t>
      </w:r>
      <w:r w:rsidR="002501B3">
        <w:rPr>
          <w:rFonts w:ascii="Arial Narrow" w:hAnsi="Arial Narrow"/>
          <w:b/>
          <w:sz w:val="22"/>
          <w:szCs w:val="22"/>
          <w:u w:val="single"/>
        </w:rPr>
        <w:t>„Dokončiť</w:t>
      </w:r>
      <w:r w:rsidRPr="0043733B">
        <w:rPr>
          <w:rFonts w:ascii="Arial Narrow" w:hAnsi="Arial Narrow"/>
          <w:b/>
          <w:sz w:val="22"/>
          <w:szCs w:val="22"/>
          <w:u w:val="single"/>
        </w:rPr>
        <w:t>“</w:t>
      </w:r>
      <w:r w:rsidRPr="0043733B">
        <w:rPr>
          <w:rFonts w:ascii="Arial Narrow" w:hAnsi="Arial Narrow"/>
          <w:sz w:val="22"/>
          <w:szCs w:val="22"/>
        </w:rPr>
        <w:t xml:space="preserve"> v poslednom kroku. V prípade, ak sa wizard vytvorenia ŽoNFP ukončí v inom kroku ako v poslednom, neuloží sa, t.</w:t>
      </w:r>
      <w:r w:rsidR="00821298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sz w:val="22"/>
          <w:szCs w:val="22"/>
        </w:rPr>
        <w:t>j. nie je možné sa k nemu vrátiť späť.</w:t>
      </w:r>
    </w:p>
    <w:p w14:paraId="20CC52E7" w14:textId="77777777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Použitím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v poslednom kroku wizardu alebo vytvorením ŽoNFP z detailu vyzvania,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14:paraId="599537DD" w14:textId="1D71EEFC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 úspešnom ukončení wizardu vytvorenia ŽoNFP systém ITMS2014+ vygeneruje kód ŽoNFP. Kód ŽoNFP je jednoznačný a jedinečný identifikátor v rámci celého systému ITMS2014+. Počas celého životného cyklu ŽoNFP je kód nemenný. </w:t>
      </w:r>
    </w:p>
    <w:p w14:paraId="4C8D123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107" w:name="_Toc414266830"/>
      <w:bookmarkStart w:id="108" w:name="_Toc417905941"/>
      <w:bookmarkStart w:id="109" w:name="_Toc419893760"/>
      <w:bookmarkStart w:id="110" w:name="_Toc422144386"/>
      <w:bookmarkStart w:id="111" w:name="_Toc445286369"/>
      <w:r w:rsidRPr="0043733B">
        <w:rPr>
          <w:rFonts w:ascii="Arial Narrow" w:hAnsi="Arial Narrow"/>
          <w:color w:val="auto"/>
          <w:lang w:val="sk-SK"/>
        </w:rPr>
        <w:t>Formulár ŽoNFP na verejnej časti ITMS2014+</w:t>
      </w:r>
      <w:bookmarkEnd w:id="107"/>
      <w:bookmarkEnd w:id="108"/>
      <w:bookmarkEnd w:id="109"/>
      <w:bookmarkEnd w:id="110"/>
      <w:bookmarkEnd w:id="111"/>
    </w:p>
    <w:p w14:paraId="5B00CEA0" w14:textId="3B51D9AA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Formulár ŽoNFP sa zobrazí automaticky po ukončení wizardu vytvorenia ŽoNFP. Pri vypĺňaní elektronického formuláru ŽoNFP žiadateľom sa údaje, ktoré sú už evidované v ITMS2014+ automaticky načítajú do </w:t>
      </w:r>
      <w:r w:rsidRPr="0043733B">
        <w:rPr>
          <w:rFonts w:ascii="Arial Narrow" w:hAnsi="Arial Narrow"/>
          <w:sz w:val="22"/>
          <w:szCs w:val="22"/>
        </w:rPr>
        <w:lastRenderedPageBreak/>
        <w:t xml:space="preserve">formuláru. Údaje, ktoré obsahujú informáciu o žiadateľovi a nie sú aktuálne, môže žiadateľ upravovať priamo na verejnej časti ITMS2014+, a to v rámci evidencie </w:t>
      </w:r>
      <w:r w:rsidRPr="0043733B">
        <w:rPr>
          <w:rFonts w:ascii="Arial Narrow" w:hAnsi="Arial Narrow"/>
          <w:i/>
          <w:sz w:val="22"/>
          <w:szCs w:val="22"/>
        </w:rPr>
        <w:t xml:space="preserve">„Správa </w:t>
      </w:r>
      <w:r w:rsidR="00F63C06">
        <w:rPr>
          <w:rFonts w:ascii="Arial Narrow" w:hAnsi="Arial Narrow"/>
          <w:i/>
          <w:sz w:val="22"/>
          <w:szCs w:val="22"/>
        </w:rPr>
        <w:t>vlastného používateľského účtu“</w:t>
      </w:r>
      <w:r w:rsidRPr="0043733B">
        <w:rPr>
          <w:rStyle w:val="Odkaznapoznmkupodiarou"/>
          <w:rFonts w:ascii="Arial Narrow" w:hAnsi="Arial Narrow"/>
          <w:i/>
          <w:sz w:val="22"/>
          <w:szCs w:val="22"/>
        </w:rPr>
        <w:footnoteReference w:id="11"/>
      </w:r>
      <w:r w:rsidRPr="0043733B">
        <w:rPr>
          <w:rFonts w:ascii="Arial Narrow" w:hAnsi="Arial Narrow"/>
          <w:sz w:val="22"/>
          <w:szCs w:val="22"/>
        </w:rPr>
        <w:t xml:space="preserve">. </w:t>
      </w:r>
    </w:p>
    <w:p w14:paraId="4903B9A0" w14:textId="3F9312E4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Formulár ŽoNFP na verejnej časti ITMS2014+ je inicializovaný údajmi, ktoré zadal RO OPII pri definovaní a nastavovaní vyzvania. Údaje o žiadateľovi, ktoré sú evidované v ITMS2014+ sa tiež inicializujú do formulára ŽoNFP.</w:t>
      </w:r>
    </w:p>
    <w:p w14:paraId="2EF4FF60" w14:textId="36EA0D2B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Elektronický formulár ŽoNFP na verejnej časti ITMS2014+ je rozdelený do logických celkov. Každý logický celok je rozdelený na sekcie. ITMS2014+ definuje nasledujúce logické celky ŽoNFP:</w:t>
      </w:r>
    </w:p>
    <w:p w14:paraId="07F5CDF6" w14:textId="6F89EFC3" w:rsidR="00243A59" w:rsidRPr="0043733B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Iden</w:t>
      </w:r>
      <w:r w:rsidR="00F63C06">
        <w:rPr>
          <w:rFonts w:ascii="Arial Narrow" w:hAnsi="Arial Narrow"/>
          <w:sz w:val="22"/>
          <w:szCs w:val="22"/>
        </w:rPr>
        <w:t>tifikácia žiadateľa a partnerov</w:t>
      </w:r>
    </w:p>
    <w:p w14:paraId="7BEAFFCD" w14:textId="076F356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projekte</w:t>
      </w:r>
    </w:p>
    <w:p w14:paraId="01644679" w14:textId="0C00422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Harmonogram projektu a výstupy</w:t>
      </w:r>
    </w:p>
    <w:p w14:paraId="7EF0521D" w14:textId="14F83E20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Rozpočet projektu</w:t>
      </w:r>
    </w:p>
    <w:p w14:paraId="648B31A6" w14:textId="54D7BB8A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Predpoklady a riziká projektu</w:t>
      </w:r>
    </w:p>
    <w:p w14:paraId="4AFC9022" w14:textId="45938E5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Podmienky poskytnutia príspevku</w:t>
      </w:r>
    </w:p>
    <w:p w14:paraId="56325898" w14:textId="3EABAED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Čestné vyhlásenie</w:t>
      </w:r>
    </w:p>
    <w:p w14:paraId="647D9CCD" w14:textId="77777777" w:rsidR="00BF2F8A" w:rsidRPr="0043733B" w:rsidRDefault="003729ED" w:rsidP="002442E0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Obsah jednotlivých logických celkov je podrobne popísaný </w:t>
      </w:r>
      <w:r w:rsidRPr="0043733B">
        <w:rPr>
          <w:rFonts w:ascii="Arial Narrow" w:hAnsi="Arial Narrow"/>
          <w:b/>
          <w:i/>
          <w:sz w:val="22"/>
          <w:szCs w:val="22"/>
        </w:rPr>
        <w:t>v prílohe č. 1</w:t>
      </w:r>
      <w:r w:rsidRPr="0043733B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b/>
          <w:i/>
          <w:sz w:val="22"/>
          <w:szCs w:val="22"/>
        </w:rPr>
        <w:t>Usmernenia CKO č. 1 k postupu administrácie ŽoNFP cez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2"/>
      </w:r>
    </w:p>
    <w:p w14:paraId="41F55FA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112" w:name="_Toc414266831"/>
      <w:bookmarkStart w:id="113" w:name="_Toc417905942"/>
      <w:bookmarkStart w:id="114" w:name="_Toc419893761"/>
      <w:bookmarkStart w:id="115" w:name="_Toc422144387"/>
      <w:bookmarkStart w:id="116" w:name="_Toc445286370"/>
      <w:r w:rsidRPr="0043733B">
        <w:rPr>
          <w:rFonts w:ascii="Arial Narrow" w:hAnsi="Arial Narrow"/>
          <w:color w:val="auto"/>
          <w:lang w:val="sk-SK"/>
        </w:rPr>
        <w:t>Kontrola a odoslanie ŽoNFP</w:t>
      </w:r>
      <w:bookmarkEnd w:id="112"/>
      <w:bookmarkEnd w:id="113"/>
      <w:bookmarkEnd w:id="114"/>
      <w:bookmarkEnd w:id="115"/>
      <w:bookmarkEnd w:id="116"/>
    </w:p>
    <w:p w14:paraId="7D637B2E" w14:textId="4C07F95F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Počas vypĺňania elektronického formuláru na verejnej časti ITMS2014+ </w:t>
      </w:r>
      <w:r w:rsidR="00DD106A" w:rsidRPr="0043733B">
        <w:rPr>
          <w:rFonts w:ascii="Arial Narrow" w:hAnsi="Arial Narrow"/>
          <w:sz w:val="22"/>
          <w:szCs w:val="22"/>
        </w:rPr>
        <w:t xml:space="preserve">má </w:t>
      </w:r>
      <w:r w:rsidRPr="0043733B">
        <w:rPr>
          <w:rFonts w:ascii="Arial Narrow" w:hAnsi="Arial Narrow"/>
          <w:sz w:val="22"/>
          <w:szCs w:val="22"/>
        </w:rPr>
        <w:t>žiadateľ možnosť skontrolovať správnosť formálneho vyplnenia ŽoNFP. Ak systém nájde nevyplnené povinné polia alebo logické chyby vo formulári, upozorní žiadateľa a vo forme informatívneho hlásenia zobrazí výsledky kontroly. Každé hlásenie usmerňuje žiadateľa, v ktorých sekciách je formulár nekorektne vyplnený. Formulár ŽoNFP je správne vyplnený iba vtedy, ak má vyplnené všetky povinné polia a obsahuje všetky prílohy stanovené vo vyzvaní.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3"/>
      </w:r>
    </w:p>
    <w:p w14:paraId="6C799B07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odošle elektronickú formu ŽoNFP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„Odoslať“</w:t>
      </w:r>
      <w:r w:rsidRPr="0043733B">
        <w:rPr>
          <w:rFonts w:ascii="Arial Narrow" w:hAnsi="Arial Narrow"/>
          <w:sz w:val="22"/>
          <w:szCs w:val="22"/>
        </w:rPr>
        <w:t>. Po použití tlačidla „Odoslať“ systém ITMS2014+ spustí automatickú kontrolu ŽoNFP. Ak je formulár nekorektne vyplnený alebo obsahuje logické chyby, systém upozorní žiadateľa a zobrazí hlásenia ako pri manuálnom spustení kontroly. Systém ITMS2014+ umožní odoslať iba ŽoNFP, ktoré sú vyplnené správne a úplne.</w:t>
      </w:r>
    </w:p>
    <w:p w14:paraId="103D5D8C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Po úspešnom odoslaní elektronického formulára prostredníctvom verejnej časti ITMS2014+ je formulár presunutý do neverejnej časti ITSM2014+. Formulár ŽoNFP sa stane pre žiadateľa na verejnej časti ITMS2014+ needitovateľný. O ďalšom spracovaní, posúdení a zmene stavu ŽoNFP je žiadateľ informovaný prostredníctvom verejnej časti ITMS2014+.</w:t>
      </w:r>
    </w:p>
    <w:p w14:paraId="1D3A7D08" w14:textId="716EEA6B" w:rsidR="00243A59" w:rsidRPr="0043733B" w:rsidRDefault="00DD106A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prípade, ak žiadateľ predkladá ŽoNFP v listinnej podobe, ŽoNFP musí byť vytlačená z verejnej časti ITMS2014+, podpísaná štatutárnym orgánom žiadateľa, resp. jeho splnomocneným zástupcom a opatrená pečiatkou</w:t>
      </w:r>
      <w:r w:rsidR="003729ED" w:rsidRPr="0043733B">
        <w:rPr>
          <w:rFonts w:ascii="Arial Narrow" w:hAnsi="Arial Narrow"/>
          <w:sz w:val="22"/>
          <w:szCs w:val="22"/>
        </w:rPr>
        <w:t>.</w:t>
      </w:r>
    </w:p>
    <w:p w14:paraId="67DB6615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117" w:name="_Toc414266832"/>
      <w:bookmarkStart w:id="118" w:name="_Toc417905943"/>
      <w:bookmarkStart w:id="119" w:name="_Toc419893762"/>
      <w:bookmarkStart w:id="120" w:name="_Toc422144388"/>
      <w:bookmarkStart w:id="121" w:name="_Toc445286371"/>
      <w:r w:rsidRPr="0043733B">
        <w:rPr>
          <w:rFonts w:ascii="Arial Narrow" w:hAnsi="Arial Narrow"/>
          <w:color w:val="auto"/>
          <w:lang w:val="sk-SK"/>
        </w:rPr>
        <w:t>Úprava formulára ŽoNFP na verejnej časti ITMS2014+</w:t>
      </w:r>
      <w:bookmarkEnd w:id="117"/>
      <w:bookmarkEnd w:id="118"/>
      <w:bookmarkEnd w:id="119"/>
      <w:bookmarkEnd w:id="120"/>
      <w:bookmarkEnd w:id="121"/>
    </w:p>
    <w:p w14:paraId="66E82D16" w14:textId="77777777" w:rsidR="00BF2F8A" w:rsidRPr="0043733B" w:rsidRDefault="003729ED" w:rsidP="002442E0">
      <w:pPr>
        <w:pStyle w:val="Odsekzoznamu"/>
        <w:numPr>
          <w:ilvl w:val="0"/>
          <w:numId w:val="48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Úprava formulára ŽoNFP pre žiadateľa závisí od fázy a stavu spracovania žiadosti. Možnosti úpravy jednotlivých sekcií a evidencií je nasledovná:</w:t>
      </w:r>
    </w:p>
    <w:p w14:paraId="74168FB0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Rozpracovaná“</w:t>
      </w:r>
      <w:r w:rsidRPr="0043733B">
        <w:rPr>
          <w:rFonts w:ascii="Arial Narrow" w:hAnsi="Arial Narrow"/>
          <w:sz w:val="22"/>
          <w:szCs w:val="22"/>
        </w:rPr>
        <w:t xml:space="preserve">, </w:t>
      </w:r>
    </w:p>
    <w:p w14:paraId="209345F4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Na Doplnenie“</w:t>
      </w:r>
      <w:r w:rsidRPr="0043733B">
        <w:rPr>
          <w:rFonts w:ascii="Arial Narrow" w:hAnsi="Arial Narrow"/>
          <w:sz w:val="22"/>
          <w:szCs w:val="22"/>
        </w:rPr>
        <w:t xml:space="preserve"> → fáza Administratívneho overenia a Dodatočného výberu, </w:t>
      </w:r>
    </w:p>
    <w:p w14:paraId="4CEF7496" w14:textId="52EACACA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iba prílohy,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Na Doplnenie“ → </w:t>
      </w:r>
      <w:r w:rsidRPr="0043733B">
        <w:rPr>
          <w:rFonts w:ascii="Arial Narrow" w:hAnsi="Arial Narrow"/>
          <w:sz w:val="22"/>
          <w:szCs w:val="22"/>
        </w:rPr>
        <w:t>fáza Odborného hodnotenia a Výberu.</w:t>
      </w:r>
    </w:p>
    <w:p w14:paraId="19587B42" w14:textId="77777777" w:rsidR="00243A59" w:rsidRPr="0043733B" w:rsidRDefault="00243A59" w:rsidP="00030A61">
      <w:pPr>
        <w:spacing w:before="120"/>
        <w:rPr>
          <w:rFonts w:ascii="Arial Narrow" w:hAnsi="Arial Narrow"/>
          <w:sz w:val="20"/>
          <w:lang w:val="sk-SK"/>
        </w:rPr>
      </w:pPr>
    </w:p>
    <w:p w14:paraId="727D4181" w14:textId="77777777" w:rsidR="00B55899" w:rsidRPr="0043733B" w:rsidRDefault="003729ED" w:rsidP="00B55899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2" w:name="_Toc44528637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lastRenderedPageBreak/>
        <w:t>schvaľovanie projektov TP</w:t>
      </w:r>
      <w:bookmarkEnd w:id="122"/>
    </w:p>
    <w:p w14:paraId="4A46EA59" w14:textId="4D8A410F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Doručením ŽoNFP na RO začína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konanie o 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 Žiadateľ doručuje ŽoNFP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 včítane príloh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elektronicky prostredníctvom verejnej časti ITMS2014+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elektronicky bez príloh prostredníctvom Ústredného portálu verejnej správy </w:t>
      </w:r>
      <w:r w:rsidR="00DD106A" w:rsidRPr="00B86DB3">
        <w:rPr>
          <w:rFonts w:ascii="Arial Narrow" w:hAnsi="Arial Narrow"/>
          <w:sz w:val="22"/>
          <w:szCs w:val="22"/>
          <w:lang w:val="sk-SK"/>
        </w:rPr>
        <w:t>podpísanú kvalifikovaným elektronickým podpisom, kvalifikovaným elektronickým podpisom s mandátnym certifikátom alebo kvalifikovanou elektronickou pečaťou</w:t>
      </w:r>
      <w:r w:rsidR="00DD106A" w:rsidRPr="004C77A4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257874">
        <w:rPr>
          <w:rFonts w:ascii="Arial Narrow" w:eastAsia="Calibri" w:hAnsi="Arial Narrow"/>
          <w:sz w:val="22"/>
          <w:szCs w:val="22"/>
          <w:lang w:val="sk-SK"/>
        </w:rPr>
        <w:t> v </w:t>
      </w:r>
      <w:r w:rsidR="00257874" w:rsidRPr="00257874">
        <w:rPr>
          <w:rFonts w:ascii="Arial Narrow" w:eastAsia="Calibri" w:hAnsi="Arial Narrow"/>
          <w:sz w:val="22"/>
          <w:szCs w:val="22"/>
          <w:lang w:val="sk-SK"/>
        </w:rPr>
        <w:t>osobitých</w:t>
      </w:r>
      <w:r w:rsidR="00257874">
        <w:rPr>
          <w:rFonts w:ascii="Arial Narrow" w:eastAsia="Calibri" w:hAnsi="Arial Narrow"/>
          <w:sz w:val="22"/>
          <w:szCs w:val="22"/>
          <w:lang w:val="sk-SK"/>
        </w:rPr>
        <w:t xml:space="preserve"> prípadoch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 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listinne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na adresu určenú vo vyzvaní.</w:t>
      </w:r>
    </w:p>
    <w:p w14:paraId="1D99352C" w14:textId="5DED1A79" w:rsidR="00C93052" w:rsidRPr="0043733B" w:rsidRDefault="003729ED" w:rsidP="00C47D89">
      <w:pPr>
        <w:numPr>
          <w:ilvl w:val="0"/>
          <w:numId w:val="49"/>
        </w:numPr>
        <w:spacing w:before="120" w:after="120" w:line="288" w:lineRule="auto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Proces </w:t>
      </w:r>
      <w:r w:rsidR="00F500DD" w:rsidRPr="0043733B">
        <w:rPr>
          <w:rFonts w:ascii="Arial Narrow" w:hAnsi="Arial Narrow"/>
          <w:sz w:val="22"/>
          <w:szCs w:val="22"/>
          <w:lang w:val="sk-SK"/>
        </w:rPr>
        <w:t xml:space="preserve">schvaľovania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ŽoNFP zabezpečuje </w:t>
      </w:r>
      <w:r w:rsidR="000C5AAD">
        <w:rPr>
          <w:rFonts w:ascii="Arial Narrow" w:hAnsi="Arial Narrow"/>
          <w:sz w:val="22"/>
          <w:szCs w:val="22"/>
          <w:lang w:val="sk-SK"/>
        </w:rPr>
        <w:t>ORTP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4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19998E7C" w14:textId="77777777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Proces schvaľovania ŽoNFP končí vydaním rozhodnutia o ŽoNFP (rozhodnutie o schválení ŽoNFP, rozhodnutie o neschválení ŽoNFP, rozhodnutie o zastavení konania), resp. rozhodnutím o opravnom prostriedku. Vnútorne sa proces schvaľovania rozdeľuje do nasledujúcich fáz:</w:t>
      </w:r>
    </w:p>
    <w:p w14:paraId="32FBF90C" w14:textId="77777777" w:rsidR="00C60D23" w:rsidRPr="0043733B" w:rsidRDefault="003729ED" w:rsidP="00D0463F">
      <w:pPr>
        <w:numPr>
          <w:ilvl w:val="0"/>
          <w:numId w:val="116"/>
        </w:numPr>
        <w:spacing w:before="120"/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 xml:space="preserve">administratívne overenie, </w:t>
      </w:r>
    </w:p>
    <w:p w14:paraId="078E1E93" w14:textId="0A2F60EB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odborné hodnotenie a výber ŽoNFP,</w:t>
      </w:r>
    </w:p>
    <w:p w14:paraId="72379F60" w14:textId="20B71C57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opravné prostriedky (neobligatórna časť schvaľovacieho procesu).</w:t>
      </w:r>
    </w:p>
    <w:p w14:paraId="5AEA2BFF" w14:textId="2BC6FC57" w:rsidR="00BF2F8A" w:rsidRPr="0043733B" w:rsidRDefault="003729ED" w:rsidP="002442E0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Pre konanie o ŽoNFP je rozhodujúci obsah ŽoNFP. RO OPII nie je oprávnený pri posudzovaní konania o ŽoNFP vyvodiť negatívne dôsledky (negatívna hodnotiaca správa/zastavenie konania, resp. rozhodnutie o neschválení) len z dôvodu nepodstatných nedostatkov podania. Dôvod, pre ktorý RO OPII vydáva rozhodnutie o zastavení konania alebo rozhodnutie o neschválení musí byť jasný, odôvodnený a musí vyplývať z nedodržania podmienok zadefinovaných vo vyzvan</w:t>
      </w:r>
      <w:r w:rsidR="00F500DD" w:rsidRPr="0043733B">
        <w:rPr>
          <w:rFonts w:ascii="Arial Narrow" w:eastAsia="Calibri" w:hAnsi="Arial Narrow"/>
          <w:sz w:val="22"/>
          <w:szCs w:val="22"/>
          <w:lang w:val="sk-SK"/>
        </w:rPr>
        <w:t>í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64A6B4DE" w14:textId="77777777" w:rsidR="00356178" w:rsidRPr="0043733B" w:rsidRDefault="00356178" w:rsidP="00030A61">
      <w:pPr>
        <w:jc w:val="both"/>
        <w:rPr>
          <w:rFonts w:ascii="Arial Narrow" w:eastAsia="Calibri" w:hAnsi="Arial Narrow"/>
          <w:bCs/>
          <w:iCs/>
          <w:sz w:val="20"/>
          <w:szCs w:val="20"/>
          <w:lang w:val="sk-SK"/>
        </w:rPr>
      </w:pPr>
    </w:p>
    <w:p w14:paraId="6A75A3AE" w14:textId="77777777" w:rsidR="00150B65" w:rsidRPr="0043733B" w:rsidRDefault="003729ED" w:rsidP="00030A61">
      <w:pPr>
        <w:pStyle w:val="Nadpis2"/>
        <w:rPr>
          <w:rFonts w:ascii="Arial Narrow" w:hAnsi="Arial Narrow" w:cs="Calibri"/>
          <w:color w:val="auto"/>
          <w:lang w:val="sk-SK"/>
        </w:rPr>
      </w:pPr>
      <w:bookmarkStart w:id="123" w:name="_Toc438561029"/>
      <w:bookmarkStart w:id="124" w:name="_Toc438561069"/>
      <w:bookmarkStart w:id="125" w:name="_Toc438561161"/>
      <w:bookmarkStart w:id="126" w:name="_Toc438561237"/>
      <w:bookmarkStart w:id="127" w:name="_Toc438560754"/>
      <w:bookmarkStart w:id="128" w:name="_Toc438560901"/>
      <w:bookmarkStart w:id="129" w:name="_Toc438561032"/>
      <w:bookmarkStart w:id="130" w:name="_Toc438561072"/>
      <w:bookmarkStart w:id="131" w:name="_Toc438561164"/>
      <w:bookmarkStart w:id="132" w:name="_Toc438561240"/>
      <w:bookmarkStart w:id="133" w:name="_Toc438561033"/>
      <w:bookmarkStart w:id="134" w:name="_Toc438561073"/>
      <w:bookmarkStart w:id="135" w:name="_Toc438561165"/>
      <w:bookmarkStart w:id="136" w:name="_Toc438561241"/>
      <w:bookmarkStart w:id="137" w:name="_Toc445286373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43733B">
        <w:rPr>
          <w:rFonts w:ascii="Arial Narrow" w:hAnsi="Arial Narrow" w:cs="Calibri"/>
          <w:color w:val="auto"/>
          <w:lang w:val="sk-SK"/>
        </w:rPr>
        <w:t>Administratívne overenie ŽoNFP</w:t>
      </w:r>
      <w:bookmarkEnd w:id="137"/>
    </w:p>
    <w:p w14:paraId="3E152DCB" w14:textId="10F68746" w:rsidR="00327FA8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v rámci administratívneho overenia overí splnenie doručenia ŽoNFP a následne ostatných podmienok poskytnutia príspevku určených vo vyzvaní.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 Spôsob preukazovan</w:t>
      </w:r>
      <w:r w:rsidR="00BF2F8A" w:rsidRPr="0043733B">
        <w:rPr>
          <w:rFonts w:ascii="Arial Narrow" w:eastAsia="Calibri" w:hAnsi="Arial Narrow"/>
          <w:sz w:val="22"/>
          <w:szCs w:val="22"/>
          <w:lang w:val="sk-SK"/>
        </w:rPr>
        <w:t>i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a podmienok poskytnutia príspevku je uvedený v </w:t>
      </w:r>
      <w:r w:rsidR="00867298">
        <w:rPr>
          <w:rFonts w:ascii="Arial Narrow" w:eastAsia="Calibri" w:hAnsi="Arial Narrow"/>
          <w:sz w:val="22"/>
          <w:szCs w:val="22"/>
          <w:lang w:val="sk-SK"/>
        </w:rPr>
        <w:t>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rílohe č. </w:t>
      </w:r>
      <w:r w:rsidR="000614E5" w:rsidRPr="0043733B">
        <w:rPr>
          <w:rFonts w:ascii="Arial Narrow" w:eastAsia="Calibri" w:hAnsi="Arial Narrow"/>
          <w:sz w:val="22"/>
          <w:szCs w:val="22"/>
          <w:lang w:val="sk-SK"/>
        </w:rPr>
        <w:t>1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týchto postupov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4D8A8795" w14:textId="0BCB5B11" w:rsidR="001D37A4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doručení ŽoNFP RO posúdi splnenie podmienky doručenia ŽoNFP riadne, včas a vo forme určenej RO. Podmienky doručenia ŽoNFP riadne, včas a vo forme určenej RO sú uvedené v časti 2.2 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>t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ýchto postupov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568039DE" w14:textId="7F13B51E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Arial"/>
          <w:sz w:val="22"/>
          <w:szCs w:val="22"/>
          <w:lang w:val="sk-SK"/>
        </w:rPr>
        <w:t>V prípade,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ak žiadateľ nedoručí ŽoNFP riadne, včas a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>v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o forme určenej RO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, RO OPII </w:t>
      </w:r>
      <w:r w:rsidRPr="0043733B">
        <w:rPr>
          <w:rFonts w:ascii="Arial Narrow" w:hAnsi="Arial Narrow"/>
          <w:b/>
          <w:sz w:val="22"/>
          <w:szCs w:val="22"/>
          <w:lang w:val="sk-SK"/>
        </w:rPr>
        <w:t xml:space="preserve">do </w:t>
      </w:r>
      <w:r w:rsidR="00485958" w:rsidRPr="0043733B">
        <w:rPr>
          <w:rFonts w:ascii="Arial Narrow" w:hAnsi="Arial Narrow"/>
          <w:b/>
          <w:sz w:val="22"/>
          <w:szCs w:val="22"/>
          <w:lang w:val="sk-SK"/>
        </w:rPr>
        <w:t xml:space="preserve">10 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 od predloženia ŽoNFP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zastaví konanie o žiadosti </w:t>
      </w:r>
      <w:r w:rsidRPr="0043733B">
        <w:rPr>
          <w:rFonts w:ascii="Arial Narrow" w:hAnsi="Arial Narrow" w:cs="Arial"/>
          <w:sz w:val="22"/>
          <w:szCs w:val="22"/>
          <w:lang w:val="sk-SK"/>
        </w:rPr>
        <w:t>v zmysle § 20 ods. 1 písm. c) zákona o príspevku z EŠIF a o tejto skutočnosti elektronicky informuje žiadateľa.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</w:p>
    <w:p w14:paraId="1038D238" w14:textId="321841AD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Po overení splnenia podmienok predložiť ŽoNFP riadne, včas a v určenej forme RO zaregistruje ŽoNFP v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ITMS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2014+ a vykoná overenie ostatných podmienok poskytnutia príspevku. </w:t>
      </w:r>
    </w:p>
    <w:p w14:paraId="6211D8E5" w14:textId="156B605E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Za účelom možnosti overenia splnenia podmienok poskytnutia príspevku stanovuje RO OPII formu (dokumenty a povinné prílohy), v akej žiadatelia preukazujú, že podmienky poskytnutia príspevku spĺňajú. Konkrétne podmienky poskytnutia príspevku sú definované priamo v texte vyzvania. Všeobecný prehľad podmienok poskytnutia príspevku, forma a spôsob ich overenia pre všetkých žiadateľov je uvedený v </w:t>
      </w:r>
      <w:r w:rsidR="00BD03FF" w:rsidRPr="0043733B">
        <w:rPr>
          <w:rFonts w:ascii="Arial Narrow" w:hAnsi="Arial Narrow"/>
          <w:sz w:val="22"/>
          <w:szCs w:val="22"/>
          <w:lang w:val="sk-SK"/>
        </w:rPr>
        <w:t xml:space="preserve">prílohe č. 1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týchto postupov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2EDDC8EF" w14:textId="62111A42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Žiadateľ má pri podmienkach poskytnutia príspevku, kde je to uvedené vo vyzvaní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možnosť ex ante overenia splnenia podmienok poskytnutia príspevku v príslušných elektronických verejných registroch, resp. v ITMS2014+ (overenie slúži výhradne na uistenie sa žiadateľa o jeho statuse vo verejnom registri). Ak žiadateľ zistí v elektronických verejných registroch/ITMS2014+ nesúlad s podmienkou poskytnutia príspevku, je oprávnený predložiť dokument (resp. zdôvodnenie absencie dokumentu) aj bez výzvy na doplnenie ŽoNFP, ako súčasť predkladanej ŽoNFP v ITMS2014+. Ide napríklad o situácie, ak v elektronickom verejnom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registr</w:t>
      </w:r>
      <w:r w:rsidR="00DD106A">
        <w:rPr>
          <w:rFonts w:ascii="Arial Narrow" w:hAnsi="Arial Narrow"/>
          <w:sz w:val="22"/>
          <w:szCs w:val="22"/>
          <w:lang w:val="sk-SK"/>
        </w:rPr>
        <w:t>i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/ITMS2014+ nie je dostupná účtovná závierka subjektu a pod.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t.</w:t>
      </w:r>
      <w:r w:rsidR="0086729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j. žiadateľ má vo verejnej časti ITMS2014+ </w:t>
      </w:r>
      <w:r w:rsidRPr="0043733B">
        <w:rPr>
          <w:rFonts w:ascii="Arial Narrow" w:hAnsi="Arial Narrow"/>
          <w:sz w:val="22"/>
          <w:szCs w:val="22"/>
          <w:lang w:val="sk-SK"/>
        </w:rPr>
        <w:lastRenderedPageBreak/>
        <w:t>možnosť overenia splnenia podmienky poskytnut</w:t>
      </w:r>
      <w:r w:rsidR="00BD03FF" w:rsidRPr="0043733B">
        <w:rPr>
          <w:rFonts w:ascii="Arial Narrow" w:hAnsi="Arial Narrow"/>
          <w:sz w:val="22"/>
          <w:szCs w:val="22"/>
          <w:lang w:val="sk-SK"/>
        </w:rPr>
        <w:t>ia príspevku integračnou akciou</w:t>
      </w:r>
      <w:r w:rsidR="00BD03FF" w:rsidRPr="0043733B">
        <w:rPr>
          <w:rStyle w:val="Odkaznapoznmkupodiarou"/>
          <w:szCs w:val="22"/>
          <w:lang w:val="sk-SK"/>
        </w:rPr>
        <w:footnoteReference w:id="15"/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v časti „Podmienky poskytnutia príspevku“, v rámci detailu príslušnej podmienky poskytnutia príspevku stiahne informáciu o plnení podmienky automaticky z iného informačného systému verejnej správy. </w:t>
      </w:r>
    </w:p>
    <w:p w14:paraId="0D7238AB" w14:textId="5D0CFDB1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 prípade neúspešnosti integračnej akcie alebo v prípade, ak žiadateľ zistí integračnou akciou nesplnenie podmienky poskytnutia príspevku napriek tomu, že vie preukázať splnenie tejto podmienky už v čase predloženia ŽoNFP (napríklad formou vloženia skenu potvrdenia/dokladu/iného dokumentu do ITMS2014+) je oprávnený predložiť dokument (resp. zdôvodnenie absencie dokumentu) ako súčasť predkladanej ŽoNFP v ITMS2014+ (resp. aj bez výzvy na doplnenie ŽoNFP).</w:t>
      </w:r>
    </w:p>
    <w:p w14:paraId="6EE55647" w14:textId="04D437B6" w:rsidR="00B42AD0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Pri ŽoNFP, ktoré splnili podmienky doručenia, RO ďalej overí v rámci administratívneho over</w:t>
      </w:r>
      <w:r w:rsidR="00867298">
        <w:rPr>
          <w:rFonts w:ascii="Arial Narrow" w:hAnsi="Arial Narrow"/>
          <w:sz w:val="22"/>
          <w:szCs w:val="22"/>
          <w:lang w:val="sk-SK"/>
        </w:rPr>
        <w:t>enia splnenie každej jednej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podmienky poskytnutia príspevku na základe údajov uvedených žiadateľom v ŽoNFP, dostupných zdrojoch pre priame overenie podmienok poskytnutia príspevku (napr. ITMS2014+, verejne dostupné registre a pod.) a v relevantných prílohách, ktorými žiadateľ preukazuje splnenie vybraných podmienok poskytnutia príspevku.</w:t>
      </w:r>
    </w:p>
    <w:p w14:paraId="6F2BDAE0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posudzuje v rámci administratívneho overenia všetky podmienky poskytnutia príspevku alebo ich časť, ktoré sú určené vo výzve s výnimkou tých, ktoré sú úplne alebo z časti overované v rámci odborného hodnotenia ŽoNFP.</w:t>
      </w:r>
    </w:p>
    <w:p w14:paraId="0078B199" w14:textId="52F1C79E" w:rsidR="00C56A8C" w:rsidRPr="0043733B" w:rsidRDefault="00DD106A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bookmarkStart w:id="138" w:name="kapitola_3211_ods_8"/>
      <w:r>
        <w:rPr>
          <w:rFonts w:ascii="Arial Narrow" w:eastAsia="Calibri" w:hAnsi="Arial Narrow"/>
          <w:sz w:val="22"/>
          <w:szCs w:val="22"/>
          <w:lang w:val="sk-SK"/>
        </w:rPr>
        <w:t>A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k na základe </w:t>
      </w:r>
      <w:r>
        <w:rPr>
          <w:rFonts w:ascii="Arial Narrow" w:eastAsia="Calibri" w:hAnsi="Arial Narrow"/>
          <w:sz w:val="22"/>
          <w:szCs w:val="22"/>
          <w:lang w:val="sk-SK"/>
        </w:rPr>
        <w:t>overenia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ŽoNFP vzniknú pochybnosti o pravdivosti alebo úplnosti ŽoNFP alebo jej príloh, </w:t>
      </w:r>
      <w:r>
        <w:rPr>
          <w:rFonts w:ascii="Arial Narrow" w:eastAsia="Calibri" w:hAnsi="Arial Narrow"/>
          <w:sz w:val="22"/>
          <w:szCs w:val="22"/>
          <w:lang w:val="sk-SK"/>
        </w:rPr>
        <w:t>RO oznámi tieto pochybnosti žiadateľovi a vyzve ho, aby sa k nim vyjadril podľa zákona o príspevku z EŠIF.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RO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vyzve </w:t>
      </w:r>
      <w:r w:rsidR="00867298" w:rsidRPr="0043733B">
        <w:rPr>
          <w:rFonts w:ascii="Arial Narrow" w:eastAsia="Calibri" w:hAnsi="Arial Narrow"/>
          <w:sz w:val="22"/>
          <w:szCs w:val="22"/>
          <w:lang w:val="sk-SK"/>
        </w:rPr>
        <w:t xml:space="preserve">žiadateľa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elektronicky na doplnenie neúplných údajov, vysvetlenie nejasností alebo nápravu nepravdivých údajov zaslaním </w:t>
      </w:r>
      <w:r w:rsidR="00BF2F8A" w:rsidRPr="0043733B">
        <w:rPr>
          <w:rFonts w:ascii="Arial Narrow" w:eastAsia="Calibri" w:hAnsi="Arial Narrow"/>
          <w:b/>
          <w:sz w:val="22"/>
          <w:szCs w:val="22"/>
          <w:lang w:val="sk-SK"/>
        </w:rPr>
        <w:t>V</w:t>
      </w:r>
      <w:r w:rsidR="003729ED" w:rsidRPr="0043733B">
        <w:rPr>
          <w:rFonts w:ascii="Arial Narrow" w:eastAsia="Calibri" w:hAnsi="Arial Narrow"/>
          <w:b/>
          <w:sz w:val="22"/>
          <w:szCs w:val="22"/>
          <w:lang w:val="sk-SK"/>
        </w:rPr>
        <w:t>ýzvy na doplnenie ŽoNFP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Lehota na doplnenie údajov na základe výzvy na doplnenie ŽoNFP nemôže byť kratšia ako </w:t>
      </w:r>
      <w:r w:rsidR="003729ED" w:rsidRPr="0043733B">
        <w:rPr>
          <w:rFonts w:ascii="Arial Narrow" w:eastAsia="Calibri" w:hAnsi="Arial Narrow"/>
          <w:b/>
          <w:color w:val="FF0000"/>
          <w:sz w:val="22"/>
          <w:szCs w:val="22"/>
          <w:lang w:val="sk-SK"/>
        </w:rPr>
        <w:t>5 pracovných dní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  <w:r w:rsidR="003729ED" w:rsidRPr="0043733B">
        <w:rPr>
          <w:rFonts w:ascii="Arial Narrow" w:hAnsi="Arial Narrow" w:cs="Calibri"/>
          <w:sz w:val="22"/>
          <w:szCs w:val="22"/>
          <w:lang w:val="sk-SK"/>
        </w:rPr>
        <w:t>Lehota na vykonanie administratívneho overenia sa predĺži o počet pracovných dní, počas ktorých žiadateľ dopĺňal ŽoNFP.</w:t>
      </w:r>
      <w:r w:rsidR="00201453" w:rsidRPr="0043733B">
        <w:rPr>
          <w:rFonts w:ascii="Arial Narrow" w:hAnsi="Arial Narrow" w:cs="Calibri"/>
          <w:sz w:val="22"/>
          <w:szCs w:val="22"/>
          <w:lang w:val="sk-SK"/>
        </w:rPr>
        <w:t xml:space="preserve"> V prípade, ak RO počas konania o ŽoNFP zistí, že žiadateľovi nebola umožnená náprava alebo vysvetlenie údajov, bezodkladne vykoná nápravu a zašle žiadateľovi opätovnú výzvu na doplnenie ŽoNFP. V prípade neposkytnutia žiadaných dokladov /informácií, ak RO uzná za vhodné zopakovať doplnenie /vysvetlenie, zašle žiadateľovi opätovnú výzvu na doplnenie ŽoNFP.</w:t>
      </w:r>
    </w:p>
    <w:bookmarkEnd w:id="138"/>
    <w:p w14:paraId="3141F58D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doplnení údajov zo strany žiadateľa RO overí, či žiadateľ predložil všetky požadované informácie a dokumenty a či ich predložil včas a opätovne overí splnenie podmienok poskytnutia príspevku. V prípade splnenia všetkých podmienok poskytnutia príspevku, ktorých overenie je súčasťou administratívneho overenia, je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ŽoNFP postúpená na odborné hodnotenie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4A75FA30" w14:textId="39CB0A4C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V prípade nesplnenia niektorej z podmienok poskytnutia príspevku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a to ani po predložení doplnených údajov zo strany žiadateľa (ak bola žiadateľovi zaslaná výzva na doplnenie ŽoNFP podľa </w:t>
      </w:r>
      <w:hyperlink w:anchor="kapitola_3211_ods_8" w:tooltip="ods. 8 tejto kapitoly" w:history="1">
        <w:r w:rsidRPr="0043733B">
          <w:rPr>
            <w:rFonts w:ascii="Arial Narrow" w:eastAsia="Calibri" w:hAnsi="Arial Narrow"/>
            <w:sz w:val="22"/>
            <w:szCs w:val="22"/>
            <w:lang w:val="sk-SK"/>
          </w:rPr>
          <w:t>ods. 6 tejto časti</w:t>
        </w:r>
      </w:hyperlink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), 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 neschválení 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, pričom v rozhodnutí identifikuje, ktorá z podmienok nebola splnená.</w:t>
      </w:r>
    </w:p>
    <w:p w14:paraId="2B0BF238" w14:textId="54968BF0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 zastavení konania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v prípade nedoplnenia žiadnych náležitostí, v prípade doručenia požadovaných náležitostí po stanovenom termíne alebo v prípade, ak aj po doplnení chýbajúcich náležitostí naďalej pretrvávajú pochybnosti o pravdivosti alebo úplnosti žiadosti, na základe čoho nie je možné overiť splnenie niektorej z podmienok poskytnutia príspevku a rozhodnúť o schválení ŽoNFP.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Vydaním rozhodnuti</w:t>
      </w:r>
      <w:r w:rsidR="000A46E0"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o zastavení konania končí proces schvaľovania ŽoNFP. </w:t>
      </w:r>
    </w:p>
    <w:p w14:paraId="04582A5C" w14:textId="77777777" w:rsidR="00C56A8C" w:rsidRPr="0043733B" w:rsidRDefault="00C56A8C" w:rsidP="00030A61">
      <w:pPr>
        <w:spacing w:before="120"/>
        <w:jc w:val="both"/>
        <w:rPr>
          <w:rFonts w:ascii="Arial Narrow" w:hAnsi="Arial Narrow"/>
          <w:sz w:val="20"/>
          <w:szCs w:val="20"/>
          <w:lang w:val="sk-SK"/>
        </w:rPr>
      </w:pPr>
    </w:p>
    <w:p w14:paraId="455DC0FF" w14:textId="77777777" w:rsidR="008B66C5" w:rsidRPr="0043733B" w:rsidRDefault="003729ED" w:rsidP="008B66C5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39" w:name="_Toc422144371"/>
      <w:bookmarkStart w:id="140" w:name="_Toc445286374"/>
      <w:r w:rsidRPr="0043733B">
        <w:rPr>
          <w:rFonts w:ascii="Arial Narrow" w:hAnsi="Arial Narrow"/>
          <w:color w:val="auto"/>
          <w:lang w:val="sk-SK"/>
        </w:rPr>
        <w:t xml:space="preserve">Odborné hodnotenie a </w:t>
      </w:r>
      <w:bookmarkEnd w:id="139"/>
      <w:r w:rsidRPr="0043733B">
        <w:rPr>
          <w:rFonts w:ascii="Arial Narrow" w:hAnsi="Arial Narrow"/>
          <w:color w:val="auto"/>
          <w:lang w:val="sk-SK"/>
        </w:rPr>
        <w:t>vydávanie rozhodnutí</w:t>
      </w:r>
      <w:bookmarkEnd w:id="140"/>
    </w:p>
    <w:p w14:paraId="38C1CB9B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Cieľom odborného hodnotenia ŽoNFP je vykonať odborné, objektívne, nezávislé a transparentné posúdenie súladu žiadostí o NFP s hodnotiacimi kritériami pre projekty TP, schválenými monitorovacím výborom pre OPII a v zmysle postupov uvedených v Príručke pre odborných hodnotiteľov.</w:t>
      </w:r>
    </w:p>
    <w:p w14:paraId="7DACD265" w14:textId="62E280A1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Odborné hodnotenie projektu TP vykonávajú minimálne dvaja odborn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hodnotite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lia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6A106BC4" w14:textId="77777777" w:rsidR="00C2734A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lastRenderedPageBreak/>
        <w:t xml:space="preserve">Ak ŽoNFP spĺňa podmienky odborného hodnotenia ŽoNFP, RO rozhodne o jej schválení. </w:t>
      </w:r>
    </w:p>
    <w:p w14:paraId="130340CE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Ak ŽoNFP nespĺňa podmienky odborného hodnotenia, RO rozhodne o jej neschválení.</w:t>
      </w:r>
    </w:p>
    <w:p w14:paraId="7ED9E950" w14:textId="3DB566C5" w:rsidR="00B731CE" w:rsidRPr="0043733B" w:rsidRDefault="003729ED" w:rsidP="00F2733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vydá Rozhodnutie o schválení ŽoNFP, resp. Rozhodnutie o neschválení ŽoNFP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do </w:t>
      </w:r>
      <w:r w:rsidR="00637C8F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70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doručenia ŽoNFP.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6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C272A7" w:rsidRPr="0043733B">
        <w:rPr>
          <w:rFonts w:ascii="Arial Narrow" w:hAnsi="Arial Narrow" w:cs="Calibri"/>
          <w:sz w:val="22"/>
          <w:szCs w:val="22"/>
          <w:lang w:val="sk-SK"/>
        </w:rPr>
        <w:t>V prípade, ak má žiadateľ aktivovanú elektronickú schránku, RO je povinný doručovať všetky rozhodnutia, vydané v konaní o ŽoNFP elektronicky, v súlade so zákonom o e-Governmente.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 xml:space="preserve"> Aj v prípade, keď je RO a žiadateľ tá istá osoba, </w:t>
      </w:r>
      <w:r w:rsidR="00C90826" w:rsidRPr="0043733B">
        <w:rPr>
          <w:rFonts w:ascii="Arial Narrow" w:hAnsi="Arial Narrow" w:cs="Calibri"/>
          <w:sz w:val="22"/>
          <w:szCs w:val="22"/>
          <w:lang w:val="sk-SK"/>
        </w:rPr>
        <w:t xml:space="preserve">RO postupuje 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>v súlade so zákonom o e-Governmente, pri výkone verejnej moci komunikuje so žiadateľom elektronicky (RO zasiela rozhodnutie cez ÚPVS).</w:t>
      </w:r>
    </w:p>
    <w:p w14:paraId="08D89109" w14:textId="3D56CBF8" w:rsidR="0056506D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zverejní na svojom webovom sidle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do 60 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skončenia rozhodovania o ŽoNFP informácie o ŽoNFP v zmysle § 48 zákona o príspevku z EŠIF.</w:t>
      </w:r>
    </w:p>
    <w:p w14:paraId="7740BA31" w14:textId="77777777" w:rsidR="008272F1" w:rsidRPr="0043733B" w:rsidRDefault="008272F1" w:rsidP="00030A61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  <w:lang w:val="sk-SK"/>
        </w:rPr>
      </w:pPr>
    </w:p>
    <w:p w14:paraId="0933E549" w14:textId="77777777" w:rsidR="008272F1" w:rsidRPr="0043733B" w:rsidRDefault="003729ED" w:rsidP="008272F1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41" w:name="_Toc445286375"/>
      <w:r w:rsidRPr="0043733B">
        <w:rPr>
          <w:rFonts w:ascii="Arial Narrow" w:hAnsi="Arial Narrow"/>
          <w:color w:val="auto"/>
          <w:lang w:val="sk-SK"/>
        </w:rPr>
        <w:t>Opravné prostriedky</w:t>
      </w:r>
      <w:bookmarkEnd w:id="141"/>
    </w:p>
    <w:p w14:paraId="26EFE22F" w14:textId="77777777" w:rsidR="00BF2F8A" w:rsidRPr="0043733B" w:rsidRDefault="003729ED" w:rsidP="002442E0">
      <w:pPr>
        <w:numPr>
          <w:ilvl w:val="0"/>
          <w:numId w:val="64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prípade opravných prostriedkov žiadateľ aj RO postupujú podľa § 22 až 24 zákona o príspevku z EŠIF a kapitoly 3.2.4 Systému riadenia EŠIF.</w:t>
      </w:r>
    </w:p>
    <w:p w14:paraId="5BC4F58C" w14:textId="77777777" w:rsidR="002737F5" w:rsidRPr="0043733B" w:rsidRDefault="002737F5" w:rsidP="00030A61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E0CD8D9" w14:textId="77777777" w:rsidR="00E267A6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42" w:name="_Toc445286376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Uzatvorenie zmluvy o poskytnutí NFP</w:t>
      </w:r>
      <w:bookmarkEnd w:id="142"/>
    </w:p>
    <w:p w14:paraId="3DE7C045" w14:textId="6C1D859F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Proces uzav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</w:t>
      </w:r>
      <w:r w:rsidRPr="0043733B">
        <w:rPr>
          <w:rFonts w:ascii="Arial Narrow" w:hAnsi="Arial Narrow"/>
          <w:sz w:val="22"/>
          <w:szCs w:val="22"/>
          <w:lang w:val="sk-SK"/>
        </w:rPr>
        <w:t>etia zmluvy o NFP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vykonáva </w:t>
      </w:r>
      <w:r w:rsidR="000C5AAD">
        <w:rPr>
          <w:rFonts w:ascii="Arial Narrow" w:hAnsi="Arial Narrow"/>
          <w:sz w:val="22"/>
          <w:szCs w:val="22"/>
          <w:lang w:val="sk-SK"/>
        </w:rPr>
        <w:t>ORTP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7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EC7DCD2" w14:textId="77777777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 súlade s § 25 ods. 1 zákona o príspevku z EŠIF sa príspevok poskytuje prijímateľovi na základe a v súlade so zmluvou o NFP uzavretou podľa § 269 ods. 2 Obchodného zákonníka. </w:t>
      </w:r>
    </w:p>
    <w:p w14:paraId="546F689D" w14:textId="78882250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Ak je prijímateľ a RO tá istá osoba, zmluva o NFP sa neuzatvára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práva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a </w:t>
      </w:r>
      <w:r w:rsidRPr="0043733B">
        <w:rPr>
          <w:rFonts w:ascii="Arial Narrow" w:hAnsi="Arial Narrow"/>
          <w:sz w:val="22"/>
          <w:szCs w:val="22"/>
          <w:lang w:val="sk-SK"/>
        </w:rPr>
        <w:t>povinnosti sú upravené v </w:t>
      </w:r>
      <w:r w:rsidR="00F537F8" w:rsidRPr="0043733B">
        <w:rPr>
          <w:rFonts w:ascii="Arial Narrow" w:hAnsi="Arial Narrow"/>
          <w:sz w:val="22"/>
          <w:szCs w:val="22"/>
          <w:lang w:val="sk-SK"/>
        </w:rPr>
        <w:t xml:space="preserve">Rozhodnutí </w:t>
      </w:r>
      <w:r w:rsidRPr="0043733B">
        <w:rPr>
          <w:rFonts w:ascii="Arial Narrow" w:hAnsi="Arial Narrow"/>
          <w:sz w:val="22"/>
          <w:szCs w:val="22"/>
          <w:lang w:val="sk-SK"/>
        </w:rPr>
        <w:t>o</w:t>
      </w:r>
      <w:r w:rsidR="00064873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schválení</w:t>
      </w:r>
      <w:r w:rsidR="00064873" w:rsidRPr="0043733B">
        <w:rPr>
          <w:rFonts w:ascii="Arial Narrow" w:hAnsi="Arial Narrow"/>
          <w:sz w:val="22"/>
          <w:szCs w:val="22"/>
          <w:lang w:val="sk-SK"/>
        </w:rPr>
        <w:t xml:space="preserve"> ŽoNFP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Nadobudnutím právoplatnosti Rozhodnutia o schválení ŽoNFP sa Žiadateľ RO OPII stáva Prijímateľom.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Pr="0043733B">
        <w:rPr>
          <w:rFonts w:ascii="Arial Narrow" w:hAnsi="Arial Narrow"/>
          <w:sz w:val="22"/>
          <w:vertAlign w:val="superscript"/>
          <w:lang w:val="sk-SK"/>
        </w:rPr>
        <w:footnoteReference w:id="18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rozhodnutia o schválení vydáva CKO a je zverejnený na </w:t>
      </w:r>
      <w:hyperlink r:id="rId13" w:history="1">
        <w:r w:rsidRPr="0043733B">
          <w:rPr>
            <w:rFonts w:ascii="Arial Narrow" w:hAnsi="Arial Narrow"/>
            <w:color w:val="0000FF"/>
            <w:sz w:val="22"/>
            <w:u w:val="single"/>
            <w:lang w:val="sk-SK"/>
          </w:rPr>
          <w:t>www.partnerskadohoda.gov.sk</w:t>
        </w:r>
      </w:hyperlink>
      <w:r w:rsidRPr="0043733B">
        <w:rPr>
          <w:rFonts w:ascii="Arial Narrow" w:hAnsi="Arial Narrow"/>
          <w:sz w:val="22"/>
          <w:szCs w:val="22"/>
          <w:lang w:val="sk-SK"/>
        </w:rPr>
        <w:t>.</w:t>
      </w:r>
      <w:r w:rsidR="00E16883" w:rsidRPr="0043733B">
        <w:rPr>
          <w:rFonts w:ascii="Arial Narrow" w:hAnsi="Arial Narrow"/>
          <w:sz w:val="22"/>
          <w:szCs w:val="22"/>
          <w:lang w:val="sk-SK"/>
        </w:rPr>
        <w:t xml:space="preserve"> RO OPII je oprávnený formulár tohto rozhodnutia zmeniť v závislosti od špecifických potrieb implementácie projektov TP.</w:t>
      </w:r>
    </w:p>
    <w:p w14:paraId="510D207B" w14:textId="047455FD" w:rsidR="005477B3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Zmluva o NFP sa uzatvára medzi RO a</w:t>
      </w:r>
      <w:r w:rsidR="00191BE4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Prijímateľmi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SO</w:t>
      </w:r>
      <w:r w:rsidR="00686E5F" w:rsidRPr="0043733B">
        <w:rPr>
          <w:rFonts w:ascii="Arial Narrow" w:hAnsi="Arial Narrow"/>
          <w:sz w:val="22"/>
          <w:szCs w:val="22"/>
          <w:lang w:val="sk-SK"/>
        </w:rPr>
        <w:t xml:space="preserve"> OPII,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PJ SO OPII</w:t>
      </w:r>
      <w:r w:rsidR="00F537F8" w:rsidRPr="0043733B" w:rsidDel="00F537F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a RO OPIS.</w:t>
      </w:r>
    </w:p>
    <w:p w14:paraId="7FA3F987" w14:textId="4A83090E" w:rsidR="008135E1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Formulár zmluvy o NFP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zverejnený na webovom sídle RO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je rámcovým vzorom zmluvy </w:t>
      </w:r>
      <w:r w:rsidR="005C4603">
        <w:rPr>
          <w:rFonts w:ascii="Arial Narrow" w:hAnsi="Arial Narrow"/>
          <w:sz w:val="22"/>
          <w:szCs w:val="22"/>
          <w:lang w:val="sk-SK"/>
        </w:rPr>
        <w:t xml:space="preserve">o NFP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a RO OPII je oprávnený 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ho </w:t>
      </w:r>
      <w:r w:rsidRPr="0043733B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TP </w:t>
      </w:r>
      <w:r w:rsidRPr="0043733B">
        <w:rPr>
          <w:rFonts w:ascii="Arial Narrow" w:hAnsi="Arial Narrow"/>
          <w:sz w:val="22"/>
          <w:szCs w:val="22"/>
          <w:lang w:val="sk-SK"/>
        </w:rPr>
        <w:t>OPII. Zverejnený formulár zmluvy o NFP poskytuje žiadateľovi základný prehľad o podmienkach implementácie projektov.</w:t>
      </w:r>
    </w:p>
    <w:p w14:paraId="50A8B0FE" w14:textId="77777777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Cieľom procesu uzavretia zmluvy o NFP pre schválené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Žo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NFP je vytvorenie právneho základu pre čerpanie účelovo viazaného NFP </w:t>
      </w:r>
      <w:r w:rsidR="003103B5" w:rsidRPr="0043733B">
        <w:rPr>
          <w:rFonts w:ascii="Arial Narrow" w:hAnsi="Arial Narrow"/>
          <w:sz w:val="22"/>
          <w:szCs w:val="22"/>
          <w:lang w:val="sk-SK"/>
        </w:rPr>
        <w:t>pre schválený projekt TP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OPII, pri dodržaní podmienok správneho finančného riadenia.</w:t>
      </w:r>
    </w:p>
    <w:p w14:paraId="729AF156" w14:textId="439C13A8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súlade s § 25 ods. 4 zákona o príspevku z EŠIF povinný poskytnúť pred uzavretím zmluvy o  NFP </w:t>
      </w:r>
      <w:r w:rsidR="000C5AAD">
        <w:rPr>
          <w:rFonts w:ascii="Arial Narrow" w:hAnsi="Arial Narrow"/>
          <w:sz w:val="22"/>
          <w:szCs w:val="22"/>
          <w:lang w:val="sk-SK"/>
        </w:rPr>
        <w:t>ORTP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súčinnosť v rozsahu potrebnom na uzavretie zmluvy o NFP. </w:t>
      </w:r>
    </w:p>
    <w:p w14:paraId="3D29741E" w14:textId="55AAE747" w:rsidR="00E267A6" w:rsidRPr="0043733B" w:rsidRDefault="000C5AA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zasiela písomný návrh na uzavretie zmluvy o NFP a určí lehotu na prijatie návrhu žiadateľovi: </w:t>
      </w:r>
    </w:p>
    <w:p w14:paraId="7A5870BF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a) </w:t>
      </w:r>
      <w:r w:rsidRPr="0043733B">
        <w:rPr>
          <w:rFonts w:ascii="Arial Narrow" w:hAnsi="Arial Narrow"/>
          <w:sz w:val="22"/>
          <w:szCs w:val="22"/>
          <w:lang w:val="sk-SK"/>
        </w:rPr>
        <w:tab/>
        <w:t xml:space="preserve">ktorému rozhodnutie o schválení nadobudlo právoplatnosť; </w:t>
      </w:r>
    </w:p>
    <w:p w14:paraId="2DEA4507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b)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splnil podmienky určené vo výroku rozhodnutia podľa § 19 ods. 11 zákona o príspevku z EŠIF, ak boli podmienky vo výroku rozhodnutia určené a;</w:t>
      </w:r>
    </w:p>
    <w:p w14:paraId="0F66D7EA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lastRenderedPageBreak/>
        <w:t xml:space="preserve">c)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poskytol potrebnú súčinnosť.</w:t>
      </w:r>
    </w:p>
    <w:p w14:paraId="7775F296" w14:textId="18776111" w:rsidR="00E267A6" w:rsidRPr="0043733B" w:rsidRDefault="000C5AA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zašle návrh na uzavretie zmluvy o NFP podpísaný štatutárnym orgánom RO OPII, resp. jeho oprávneným zástupcom </w:t>
      </w:r>
      <w:r w:rsidR="005C4603">
        <w:rPr>
          <w:rFonts w:ascii="Arial Narrow" w:hAnsi="Arial Narrow"/>
          <w:sz w:val="22"/>
          <w:szCs w:val="22"/>
          <w:lang w:val="sk-SK"/>
        </w:rPr>
        <w:t>kvalifikovaným elektronickým podpisom s mandátnym certifikátom prostredníctvom evidencie Komunikácia v ITMS2014+</w:t>
      </w:r>
      <w:r w:rsidR="005C4603" w:rsidRPr="00B86DB3">
        <w:rPr>
          <w:rStyle w:val="Odkaznakomentr"/>
          <w:lang w:val="sk-SK"/>
        </w:rPr>
        <w:t xml:space="preserve">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alebo iným vhodným spôsobom, a to v termíne </w:t>
      </w:r>
      <w:r w:rsidR="003729ED" w:rsidRPr="0043733B">
        <w:rPr>
          <w:rFonts w:ascii="Arial Narrow" w:hAnsi="Arial Narrow"/>
          <w:b/>
          <w:sz w:val="22"/>
          <w:szCs w:val="22"/>
          <w:lang w:val="sk-SK"/>
        </w:rPr>
        <w:t>do 10</w:t>
      </w:r>
      <w:r w:rsidR="00F903F0" w:rsidRPr="0043733B">
        <w:rPr>
          <w:rFonts w:ascii="Arial Narrow" w:hAnsi="Arial Narrow"/>
          <w:b/>
          <w:sz w:val="22"/>
          <w:szCs w:val="22"/>
          <w:lang w:val="sk-SK"/>
        </w:rPr>
        <w:t> </w:t>
      </w:r>
      <w:r w:rsidR="003729ED" w:rsidRPr="0043733B">
        <w:rPr>
          <w:rFonts w:ascii="Arial Narrow" w:hAnsi="Arial Narrow"/>
          <w:b/>
          <w:sz w:val="22"/>
          <w:szCs w:val="22"/>
          <w:lang w:val="sk-SK"/>
        </w:rPr>
        <w:t>pracovných dní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od </w:t>
      </w:r>
      <w:r w:rsidR="00A07ED5" w:rsidRPr="0043733B">
        <w:rPr>
          <w:rFonts w:ascii="Arial Narrow" w:hAnsi="Arial Narrow"/>
          <w:sz w:val="22"/>
          <w:szCs w:val="22"/>
          <w:lang w:val="sk-SK"/>
        </w:rPr>
        <w:t>splnenia všetkých podmienok uvedených v</w:t>
      </w:r>
      <w:r w:rsidR="005C4603">
        <w:rPr>
          <w:rFonts w:ascii="Arial Narrow" w:hAnsi="Arial Narrow"/>
          <w:sz w:val="22"/>
          <w:szCs w:val="22"/>
          <w:lang w:val="sk-SK"/>
        </w:rPr>
        <w:t> ods.</w:t>
      </w:r>
      <w:r w:rsidR="005C4603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AB5860" w:rsidRPr="0043733B">
        <w:rPr>
          <w:rFonts w:ascii="Arial Narrow" w:hAnsi="Arial Narrow"/>
          <w:sz w:val="22"/>
          <w:szCs w:val="22"/>
          <w:lang w:val="sk-SK"/>
        </w:rPr>
        <w:t>8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02E868BF" w14:textId="36D38D96" w:rsidR="00E267A6" w:rsidRPr="0043733B" w:rsidRDefault="000C5AA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poskytne žiadateľovi lehotu na prijatie návrhu na uzavretie zmluvy o NFP, ktorá nesmie byť kratšia </w:t>
      </w:r>
      <w:r w:rsidR="003729ED" w:rsidRPr="0043733B">
        <w:rPr>
          <w:rFonts w:ascii="Arial Narrow" w:hAnsi="Arial Narrow"/>
          <w:b/>
          <w:sz w:val="22"/>
          <w:szCs w:val="22"/>
          <w:lang w:val="sk-SK"/>
        </w:rPr>
        <w:t>ako 5 pracovných dní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. Žiadateľ je oprávnený rozhodnúť o nevyužití poskytnutej minimálnej lehoty 5 pracovných dní na prijatie návrhu a o následnom prijatí, resp. odmietnutí návrhu na uzavretie zmluvy o NFP. </w:t>
      </w:r>
    </w:p>
    <w:p w14:paraId="29070B6E" w14:textId="6CEB871C" w:rsidR="00E267A6" w:rsidRPr="0043733B" w:rsidRDefault="005C4603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B86DB3">
        <w:rPr>
          <w:rFonts w:ascii="Arial Narrow" w:hAnsi="Arial Narrow"/>
          <w:sz w:val="22"/>
          <w:szCs w:val="22"/>
          <w:lang w:val="sk-SK"/>
        </w:rPr>
        <w:t xml:space="preserve">V prípade, ak žiadateľ neodmietne návrh na uzavretie zmluvy o NFP ani nedoručí elektronicky podpísanú zmluvu o NFP v stanovenej lehote, prípadne nedoručí podpísanú zmluvu </w:t>
      </w:r>
      <w:r w:rsidR="004927DB" w:rsidRPr="00B86DB3">
        <w:rPr>
          <w:rFonts w:ascii="Arial Narrow" w:hAnsi="Arial Narrow"/>
          <w:sz w:val="22"/>
          <w:szCs w:val="22"/>
          <w:lang w:val="sk-SK"/>
        </w:rPr>
        <w:t xml:space="preserve">o NFP </w:t>
      </w:r>
      <w:r w:rsidRPr="00B86DB3">
        <w:rPr>
          <w:rFonts w:ascii="Arial Narrow" w:hAnsi="Arial Narrow"/>
          <w:sz w:val="22"/>
          <w:szCs w:val="22"/>
          <w:lang w:val="sk-SK"/>
        </w:rPr>
        <w:t>iným vhodným spôsobom, RO môže zaslať žiadateľovi návrh zmluvy o NFP v listinnej podobe doporučenou poštou alebo iným vhodným spôsobom (lehota v zmysle odseku 9 sa neuplatňuje). Každá zmluvná strana môže vopred prejaviť vôľu uzavrieť zmluvu o NFP v listinnej podobe; v takom prípade RO nezasiela návrh na uzavretie zmluvy o NFP prostredníctvom evidencie Komunikácia v ITMS2014</w:t>
      </w:r>
      <w:r w:rsidRPr="00B86DB3">
        <w:rPr>
          <w:rFonts w:ascii="Arial Narrow" w:hAnsi="Arial Narrow"/>
          <w:sz w:val="22"/>
          <w:szCs w:val="22"/>
          <w:lang w:val="sk-SK"/>
        </w:rPr>
        <w:softHyphen/>
        <w:t xml:space="preserve">+ alebo iným vhodným spôsobom.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Návrh na uzavretie zmluvy o NFP zaniká dňom uplynutia lehoty, ktorá bola v návrhu na uzavretie zmluvy o NFP určená na jeho prijatie alebo doručením písomného prejavu žiadateľa o odmietnutí návrhu na uzavretie zmluvy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na </w:t>
      </w:r>
      <w:r w:rsidR="000C5AAD"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Neskoré prijatie návrhu na uzavretie zmluvy o NFP má napriek tomu účinky včasného prijatia, ak RO OPII o tom bez odkladu upovedomí žiadateľa, a to ústne alebo písomne.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Zánik návrhu na uzavretie zmluvy o NFP nezakladá dôvod na zmenu rozhodnutia o schválení ŽoNFP</w:t>
      </w:r>
      <w:r>
        <w:rPr>
          <w:rFonts w:ascii="Arial Narrow" w:hAnsi="Arial Narrow"/>
          <w:sz w:val="22"/>
          <w:szCs w:val="22"/>
          <w:lang w:val="sk-SK"/>
        </w:rPr>
        <w:t xml:space="preserve"> a nepredstavuje prekážku pre zaslanie nového návrhu na uzavretie zmluvy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6A77AEEB" w14:textId="1CB4F0C4" w:rsidR="00E267A6" w:rsidRDefault="000C5AA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zabezpečí v súlade s ustanoveniami zákona o slobode informácií zverejnenie zmluvy o NFP v Centrálnom registri zmlúv. Deň nasledujúci po dni jej prvého zverejnenia je dňom účinnosti zmluvy o NFP a žiadateľ sa stáva prijímateľom. Prvé zverejnenie zmluvy o NFP zabezpečí </w:t>
      </w:r>
      <w:r>
        <w:rPr>
          <w:rFonts w:ascii="Arial Narrow" w:hAnsi="Arial Narrow"/>
          <w:sz w:val="22"/>
          <w:szCs w:val="22"/>
          <w:lang w:val="sk-SK"/>
        </w:rPr>
        <w:t>ORTP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ako poskytovateľ, týmto nie je dotknutá povinnosť zverejňovania druhou zmluvnou stranou (t.</w:t>
      </w:r>
      <w:r w:rsidR="004927DB">
        <w:rPr>
          <w:rFonts w:ascii="Arial Narrow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j. </w:t>
      </w:r>
      <w:r w:rsidR="004927DB">
        <w:rPr>
          <w:rFonts w:ascii="Arial Narrow" w:hAnsi="Arial Narrow"/>
          <w:sz w:val="22"/>
          <w:szCs w:val="22"/>
          <w:lang w:val="sk-SK"/>
        </w:rPr>
        <w:t>ž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iadateľom). Zároveň sú od tohto dňa obe zmluvné strany viazané ustanoveniami zmluvy o NFP. </w:t>
      </w:r>
    </w:p>
    <w:p w14:paraId="0C7E5872" w14:textId="4A5BF0B5" w:rsidR="00C93052" w:rsidRPr="0043733B" w:rsidRDefault="00C93052" w:rsidP="003059BB">
      <w:pPr>
        <w:spacing w:before="120" w:after="120" w:line="288" w:lineRule="auto"/>
        <w:jc w:val="both"/>
        <w:rPr>
          <w:rFonts w:ascii="Arial Narrow" w:hAnsi="Arial Narrow"/>
          <w:sz w:val="20"/>
          <w:lang w:val="sk-SK"/>
        </w:rPr>
      </w:pPr>
    </w:p>
    <w:p w14:paraId="6613D68B" w14:textId="77777777" w:rsidR="00194029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43" w:name="_Toc445286377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Realizácia projektov</w:t>
      </w:r>
      <w:bookmarkEnd w:id="143"/>
    </w:p>
    <w:p w14:paraId="221A7720" w14:textId="71059FF7" w:rsidR="00BF2F8A" w:rsidRPr="0043733B" w:rsidRDefault="003729ED" w:rsidP="00925D03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Postupy pre realizáciu projektov sú uvedené v 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Príručke pre projekty technickej pomoci OPII </w:t>
      </w:r>
      <w:r w:rsidR="00925D03">
        <w:rPr>
          <w:rFonts w:ascii="Arial Narrow" w:hAnsi="Arial Narrow" w:cs="Calibri"/>
          <w:sz w:val="22"/>
          <w:szCs w:val="22"/>
          <w:lang w:val="sk-SK"/>
        </w:rPr>
        <w:t xml:space="preserve">(v prípade prijímateľa </w:t>
      </w:r>
      <w:del w:id="144" w:author="MDSR" w:date="2023-05-25T08:15:00Z">
        <w:r w:rsidR="00925D03" w:rsidDel="00B86DB3">
          <w:rPr>
            <w:rFonts w:ascii="Arial Narrow" w:hAnsi="Arial Narrow" w:cs="Calibri"/>
            <w:sz w:val="22"/>
            <w:szCs w:val="22"/>
            <w:lang w:val="sk-SK"/>
          </w:rPr>
          <w:delText>MDV</w:delText>
        </w:r>
      </w:del>
      <w:ins w:id="145" w:author="MDSR" w:date="2023-05-25T08:15:00Z">
        <w:r w:rsidR="00B86DB3">
          <w:rPr>
            <w:rFonts w:ascii="Arial Narrow" w:hAnsi="Arial Narrow" w:cs="Calibri"/>
            <w:sz w:val="22"/>
            <w:szCs w:val="22"/>
            <w:lang w:val="sk-SK"/>
          </w:rPr>
          <w:t>MD</w:t>
        </w:r>
      </w:ins>
      <w:r w:rsidR="00925D03">
        <w:rPr>
          <w:rFonts w:ascii="Arial Narrow" w:hAnsi="Arial Narrow" w:cs="Calibri"/>
          <w:sz w:val="22"/>
          <w:szCs w:val="22"/>
          <w:lang w:val="sk-SK"/>
        </w:rPr>
        <w:t xml:space="preserve"> SR)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/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Príručke pre prijímateľa OPII</w:t>
      </w:r>
      <w:r w:rsidRPr="0043733B">
        <w:rPr>
          <w:rFonts w:ascii="Arial Narrow" w:hAnsi="Arial Narrow"/>
          <w:sz w:val="22"/>
          <w:szCs w:val="22"/>
          <w:lang w:val="sk-SK"/>
        </w:rPr>
        <w:t>, ktorá je zverejnená na webov</w:t>
      </w:r>
      <w:r w:rsidR="004F23E6" w:rsidRPr="0043733B">
        <w:rPr>
          <w:rFonts w:ascii="Arial Narrow" w:hAnsi="Arial Narrow"/>
          <w:sz w:val="22"/>
          <w:szCs w:val="22"/>
          <w:lang w:val="sk-SK"/>
        </w:rPr>
        <w:t>o</w:t>
      </w:r>
      <w:r w:rsidRPr="0043733B">
        <w:rPr>
          <w:rFonts w:ascii="Arial Narrow" w:hAnsi="Arial Narrow"/>
          <w:sz w:val="22"/>
          <w:szCs w:val="22"/>
          <w:lang w:val="sk-SK"/>
        </w:rPr>
        <w:t>m sídle RO.</w:t>
      </w:r>
    </w:p>
    <w:p w14:paraId="6C58DE4A" w14:textId="77777777" w:rsidR="00FB170B" w:rsidRPr="0043733B" w:rsidRDefault="00FB170B" w:rsidP="004457E7">
      <w:pPr>
        <w:spacing w:before="120"/>
        <w:jc w:val="both"/>
        <w:rPr>
          <w:rFonts w:ascii="Arial Narrow" w:hAnsi="Arial Narrow"/>
          <w:sz w:val="20"/>
          <w:lang w:val="sk-SK"/>
        </w:rPr>
      </w:pPr>
    </w:p>
    <w:p w14:paraId="2854AAA8" w14:textId="77777777" w:rsidR="00D15046" w:rsidRPr="0043733B" w:rsidRDefault="003729ED" w:rsidP="004457E7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46" w:name="_Toc445286378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Prílohy</w:t>
      </w:r>
      <w:bookmarkEnd w:id="146"/>
    </w:p>
    <w:p w14:paraId="5323A68D" w14:textId="3C592215" w:rsidR="00064873" w:rsidRPr="0043733B" w:rsidRDefault="00064873" w:rsidP="00064873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Podmienky poskytnutia príspevku a forma 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ich </w:t>
      </w:r>
      <w:r w:rsidRPr="0043733B">
        <w:rPr>
          <w:rFonts w:ascii="Arial Narrow" w:hAnsi="Arial Narrow"/>
          <w:sz w:val="22"/>
          <w:szCs w:val="22"/>
          <w:lang w:val="sk-SK"/>
        </w:rPr>
        <w:t>overenia</w:t>
      </w:r>
    </w:p>
    <w:p w14:paraId="19B95FEB" w14:textId="49EB0389" w:rsidR="00981900" w:rsidRPr="0043733B" w:rsidRDefault="003729ED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Cs w:val="19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="00623E43" w:rsidRPr="0043733B">
        <w:rPr>
          <w:rFonts w:ascii="Arial Narrow" w:hAnsi="Arial Narrow"/>
          <w:sz w:val="22"/>
          <w:szCs w:val="22"/>
          <w:lang w:val="sk-SK"/>
        </w:rPr>
        <w:t xml:space="preserve"> súhrnného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čestného vyhlásenia</w:t>
      </w:r>
    </w:p>
    <w:p w14:paraId="7DFBB6E7" w14:textId="77777777" w:rsidR="00314C6C" w:rsidRPr="0043733B" w:rsidRDefault="00314C6C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Podporná dokumentácia k oprávnenosti výdavkov</w:t>
      </w:r>
    </w:p>
    <w:p w14:paraId="3CA4BC0C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3.a Rozpočet projektu</w:t>
      </w:r>
    </w:p>
    <w:p w14:paraId="16CEE337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3.b Komentár k rozpočtu projektu</w:t>
      </w:r>
    </w:p>
    <w:p w14:paraId="19EF7A11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3.c Záznam z</w:t>
      </w:r>
      <w:r w:rsidR="00B95188" w:rsidRPr="0043733B">
        <w:rPr>
          <w:rFonts w:ascii="Arial Narrow" w:hAnsi="Arial Narrow"/>
          <w:sz w:val="20"/>
          <w:szCs w:val="20"/>
          <w:lang w:val="sk-SK"/>
        </w:rPr>
        <w:t xml:space="preserve"> vykonaného </w:t>
      </w:r>
      <w:r w:rsidRPr="0043733B">
        <w:rPr>
          <w:rFonts w:ascii="Arial Narrow" w:hAnsi="Arial Narrow"/>
          <w:sz w:val="20"/>
          <w:szCs w:val="20"/>
          <w:lang w:val="sk-SK"/>
        </w:rPr>
        <w:t>prieskumu trhu</w:t>
      </w:r>
    </w:p>
    <w:p w14:paraId="132AA3CA" w14:textId="77777777" w:rsidR="00BF2F8A" w:rsidRPr="0043733B" w:rsidRDefault="00B608CA" w:rsidP="002442E0">
      <w:pPr>
        <w:numPr>
          <w:ilvl w:val="0"/>
          <w:numId w:val="88"/>
        </w:numPr>
        <w:spacing w:before="120" w:line="276" w:lineRule="auto"/>
        <w:ind w:left="284" w:hanging="284"/>
        <w:jc w:val="both"/>
        <w:rPr>
          <w:rFonts w:ascii="Arial Narrow" w:hAnsi="Arial Narrow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Zoznam m</w:t>
      </w:r>
      <w:r w:rsidR="00F24FB1" w:rsidRPr="0043733B">
        <w:rPr>
          <w:rFonts w:ascii="Arial Narrow" w:hAnsi="Arial Narrow"/>
          <w:sz w:val="22"/>
          <w:szCs w:val="22"/>
          <w:lang w:val="sk-SK"/>
        </w:rPr>
        <w:t>erateľn</w:t>
      </w:r>
      <w:r w:rsidRPr="0043733B">
        <w:rPr>
          <w:rFonts w:ascii="Arial Narrow" w:hAnsi="Arial Narrow"/>
          <w:sz w:val="22"/>
          <w:szCs w:val="22"/>
          <w:lang w:val="sk-SK"/>
        </w:rPr>
        <w:t>ých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ukazovate</w:t>
      </w:r>
      <w:r w:rsidRPr="0043733B">
        <w:rPr>
          <w:rFonts w:ascii="Arial Narrow" w:hAnsi="Arial Narrow"/>
          <w:sz w:val="22"/>
          <w:szCs w:val="22"/>
          <w:lang w:val="sk-SK"/>
        </w:rPr>
        <w:t>ľov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TP OPII</w:t>
      </w:r>
    </w:p>
    <w:sectPr w:rsidR="00BF2F8A" w:rsidRPr="0043733B" w:rsidSect="002442E0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2D6AD" w14:textId="77777777" w:rsidR="00516D05" w:rsidRDefault="00516D05">
      <w:r>
        <w:separator/>
      </w:r>
    </w:p>
    <w:p w14:paraId="50B28270" w14:textId="77777777" w:rsidR="00516D05" w:rsidRDefault="00516D05"/>
  </w:endnote>
  <w:endnote w:type="continuationSeparator" w:id="0">
    <w:p w14:paraId="01044258" w14:textId="77777777" w:rsidR="00516D05" w:rsidRDefault="00516D05">
      <w:r>
        <w:continuationSeparator/>
      </w:r>
    </w:p>
    <w:p w14:paraId="1B71ED08" w14:textId="77777777" w:rsidR="00516D05" w:rsidRDefault="00516D05"/>
  </w:endnote>
  <w:endnote w:type="continuationNotice" w:id="1">
    <w:p w14:paraId="7DFCAA23" w14:textId="77777777" w:rsidR="00516D05" w:rsidRDefault="00516D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300B" w14:textId="1F85A95F" w:rsidR="00682150" w:rsidRDefault="0068215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07B93" w:rsidRPr="00607B93">
      <w:rPr>
        <w:noProof/>
        <w:lang w:val="sk-SK"/>
      </w:rPr>
      <w:t>3</w:t>
    </w:r>
    <w:r>
      <w:rPr>
        <w:noProof/>
        <w:lang w:val="sk-SK"/>
      </w:rPr>
      <w:fldChar w:fldCharType="end"/>
    </w:r>
  </w:p>
  <w:p w14:paraId="70110629" w14:textId="77777777" w:rsidR="00682150" w:rsidRDefault="006821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2980A" w14:textId="77777777" w:rsidR="00516D05" w:rsidRDefault="00516D05">
      <w:r>
        <w:separator/>
      </w:r>
    </w:p>
    <w:p w14:paraId="7B8F7C7D" w14:textId="77777777" w:rsidR="00516D05" w:rsidRDefault="00516D05"/>
  </w:footnote>
  <w:footnote w:type="continuationSeparator" w:id="0">
    <w:p w14:paraId="213748A5" w14:textId="77777777" w:rsidR="00516D05" w:rsidRDefault="00516D05">
      <w:r>
        <w:continuationSeparator/>
      </w:r>
    </w:p>
    <w:p w14:paraId="60EAA1EE" w14:textId="77777777" w:rsidR="00516D05" w:rsidRDefault="00516D05"/>
  </w:footnote>
  <w:footnote w:type="continuationNotice" w:id="1">
    <w:p w14:paraId="2017F0A1" w14:textId="77777777" w:rsidR="00516D05" w:rsidRDefault="00516D05"/>
  </w:footnote>
  <w:footnote w:id="2">
    <w:p w14:paraId="56962F0B" w14:textId="4D776E2F" w:rsidR="00682150" w:rsidRPr="008F2023" w:rsidRDefault="00682150" w:rsidP="00D0463F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8F2023">
        <w:rPr>
          <w:rFonts w:ascii="Arial Narrow" w:hAnsi="Arial Narrow"/>
          <w:iCs/>
          <w:sz w:val="18"/>
          <w:szCs w:val="18"/>
        </w:rPr>
        <w:t>Uznesen</w:t>
      </w:r>
      <w:r>
        <w:rPr>
          <w:rFonts w:ascii="Arial Narrow" w:hAnsi="Arial Narrow"/>
          <w:iCs/>
          <w:sz w:val="18"/>
          <w:szCs w:val="18"/>
        </w:rPr>
        <w:t>ie</w:t>
      </w:r>
      <w:r w:rsidRPr="008F2023">
        <w:rPr>
          <w:rFonts w:ascii="Arial Narrow" w:hAnsi="Arial Narrow"/>
          <w:iCs/>
          <w:sz w:val="18"/>
          <w:szCs w:val="18"/>
        </w:rPr>
        <w:t xml:space="preserve"> vlády č. 35</w:t>
      </w:r>
      <w:r>
        <w:rPr>
          <w:rFonts w:ascii="Arial Narrow" w:hAnsi="Arial Narrow"/>
          <w:iCs/>
          <w:sz w:val="18"/>
          <w:szCs w:val="18"/>
        </w:rPr>
        <w:t>5</w:t>
      </w:r>
      <w:r w:rsidRPr="008F2023">
        <w:rPr>
          <w:rFonts w:ascii="Arial Narrow" w:hAnsi="Arial Narrow"/>
          <w:iCs/>
          <w:sz w:val="18"/>
          <w:szCs w:val="18"/>
        </w:rPr>
        <w:t>/20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zo dňa </w:t>
      </w:r>
      <w:r>
        <w:rPr>
          <w:rFonts w:ascii="Arial Narrow" w:hAnsi="Arial Narrow"/>
          <w:iCs/>
          <w:sz w:val="18"/>
          <w:szCs w:val="18"/>
        </w:rPr>
        <w:t>4</w:t>
      </w:r>
      <w:r w:rsidRPr="008F2023">
        <w:rPr>
          <w:rFonts w:ascii="Arial Narrow" w:hAnsi="Arial Narrow"/>
          <w:iCs/>
          <w:sz w:val="18"/>
          <w:szCs w:val="18"/>
        </w:rPr>
        <w:t>.</w:t>
      </w:r>
      <w:r>
        <w:rPr>
          <w:rFonts w:ascii="Arial Narrow" w:hAnsi="Arial Narrow"/>
          <w:iCs/>
          <w:sz w:val="18"/>
          <w:szCs w:val="18"/>
        </w:rPr>
        <w:t>6</w:t>
      </w:r>
      <w:r w:rsidRPr="008F2023">
        <w:rPr>
          <w:rFonts w:ascii="Arial Narrow" w:hAnsi="Arial Narrow"/>
          <w:iCs/>
          <w:sz w:val="18"/>
          <w:szCs w:val="18"/>
        </w:rPr>
        <w:t>.20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k </w:t>
      </w:r>
      <w:r w:rsidRPr="00345E86">
        <w:rPr>
          <w:rFonts w:ascii="Arial Narrow" w:hAnsi="Arial Narrow"/>
          <w:iCs/>
          <w:sz w:val="18"/>
          <w:szCs w:val="18"/>
        </w:rPr>
        <w:t>návrhu na zmenu niektorých uznesení vlády SR a určenie úloh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 xml:space="preserve">v pôsobnosti </w:t>
      </w:r>
      <w:r>
        <w:rPr>
          <w:rFonts w:ascii="Arial Narrow" w:hAnsi="Arial Narrow"/>
          <w:iCs/>
          <w:sz w:val="18"/>
          <w:szCs w:val="18"/>
        </w:rPr>
        <w:t>M</w:t>
      </w:r>
      <w:r w:rsidRPr="00345E86">
        <w:rPr>
          <w:rFonts w:ascii="Arial Narrow" w:hAnsi="Arial Narrow"/>
          <w:iCs/>
          <w:sz w:val="18"/>
          <w:szCs w:val="18"/>
        </w:rPr>
        <w:t>inisterstva investícií, regionálneho rozvoja a informatizácie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SR v súvislosti so zánikom Úradu podpredsedu vlády SR pre investície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informatizáciu, zriadením Ministerstva investícií, regionálneho rozvoja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informatizácie SR a zmenou kompetencií Úradu vlády SR a niektorých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ministerstiev v súlade so zákonom č. 134/2020 Z. z. , ktorým sa mení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dopĺňa zákon č. 575/2001 Z. z. o organizácii činnosti vlády a organizácii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ústrednej štátnej správy v znení neskorších predpisov</w:t>
      </w:r>
      <w:r>
        <w:rPr>
          <w:rFonts w:ascii="Arial Narrow" w:hAnsi="Arial Narrow"/>
          <w:iCs/>
          <w:sz w:val="18"/>
          <w:szCs w:val="18"/>
        </w:rPr>
        <w:t>.</w:t>
      </w:r>
    </w:p>
  </w:footnote>
  <w:footnote w:id="3">
    <w:p w14:paraId="5A97A9C3" w14:textId="77777777" w:rsidR="00682150" w:rsidRPr="002442E0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Výdavky </w:t>
      </w:r>
      <w:r w:rsidRPr="002442E0">
        <w:rPr>
          <w:rFonts w:ascii="Arial Narrow" w:hAnsi="Arial Narrow"/>
          <w:sz w:val="18"/>
          <w:szCs w:val="18"/>
          <w:lang w:val="sk-SK"/>
        </w:rPr>
        <w:t>RO OPIS sú podľa čl. 67 (9) všeobecného nariadenia oprávnené od 17.12.2015, čo je dátum predloženia žiadosti o zmenu dokumentu OPII na EK.</w:t>
      </w:r>
    </w:p>
  </w:footnote>
  <w:footnote w:id="4">
    <w:p w14:paraId="075885D8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V súlade s § 46 ods. 13 zákona o príspevku z EŠIF a kap. 2.2 MP CKO č. 24 k technickej pomoci.</w:t>
      </w:r>
    </w:p>
  </w:footnote>
  <w:footnote w:id="5">
    <w:p w14:paraId="6A136770" w14:textId="77777777" w:rsidR="00682150" w:rsidRPr="00AB5860" w:rsidRDefault="0068215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Pokiaľ nie je uvedené inak.</w:t>
      </w:r>
    </w:p>
  </w:footnote>
  <w:footnote w:id="6">
    <w:p w14:paraId="057427D5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1" w:history="1">
        <w:r w:rsidRPr="002442E0">
          <w:rPr>
            <w:rStyle w:val="Hypertextovprepojenie"/>
            <w:rFonts w:ascii="Arial Narrow" w:hAnsi="Arial Narrow"/>
            <w:sz w:val="18"/>
            <w:szCs w:val="18"/>
            <w:lang w:val="sk-SK"/>
          </w:rPr>
          <w:t>www.partnerskadohoda.gov.sk</w:t>
        </w:r>
      </w:hyperlink>
    </w:p>
  </w:footnote>
  <w:footnote w:id="7">
    <w:p w14:paraId="384A6FB3" w14:textId="77777777" w:rsidR="00682150" w:rsidRPr="007A447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2C40E1">
        <w:rPr>
          <w:rFonts w:ascii="Calibri" w:hAnsi="Calibri"/>
          <w:lang w:val="sk-SK"/>
        </w:rPr>
        <w:t xml:space="preserve">Návody na prácu s Ústredným portálom verejnej správy sú dostupné na </w:t>
      </w:r>
      <w:hyperlink r:id="rId2" w:history="1">
        <w:r w:rsidRPr="00D0463F">
          <w:rPr>
            <w:rStyle w:val="Hypertextovprepojenie"/>
            <w:rFonts w:ascii="Calibri" w:hAnsi="Calibri" w:cs="Calibri"/>
            <w:sz w:val="16"/>
            <w:szCs w:val="16"/>
            <w:lang w:val="sk-SK"/>
          </w:rPr>
          <w:t>https://slovensko.sk/sk/navody</w:t>
        </w:r>
      </w:hyperlink>
      <w:r w:rsidRPr="00D0463F">
        <w:rPr>
          <w:rFonts w:ascii="Calibri" w:hAnsi="Calibri" w:cs="Calibri"/>
          <w:szCs w:val="16"/>
          <w:lang w:val="sk-SK"/>
        </w:rPr>
        <w:t>.</w:t>
      </w:r>
      <w:r>
        <w:rPr>
          <w:lang w:val="sk-SK"/>
        </w:rPr>
        <w:t xml:space="preserve"> </w:t>
      </w:r>
    </w:p>
  </w:footnote>
  <w:footnote w:id="8">
    <w:p w14:paraId="1AABE7AB" w14:textId="77777777" w:rsidR="00682150" w:rsidRPr="00311ABE" w:rsidRDefault="00682150" w:rsidP="007D4483">
      <w:pPr>
        <w:pStyle w:val="Textpoznmkypodiarou"/>
        <w:jc w:val="both"/>
        <w:rPr>
          <w:b/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311ABE">
        <w:rPr>
          <w:rFonts w:ascii="Calibri" w:hAnsi="Calibri"/>
          <w:lang w:val="sk-SK"/>
        </w:rPr>
        <w:t>V prípade nefunkčnosti integrácie ITMS2014+ s Ústredným portálom verejnej správy žiadateľ odošle ŽoNFP, vrátane príloh prostredníctvom ITMS2014+, následne vygenerovaný pdf súbor ŽoNFP, už bez príloh, uloží do verzie PDF/A-la, autorizuje ho kvalifikovaným elektronickým podpisom, kvalifikovaným elektronickým podpisom s mandátnym certifikátom alebo kvalifikovanou elektronickou pečaťou a odošle do elektronickej schránky RO</w:t>
      </w:r>
      <w:r>
        <w:rPr>
          <w:rFonts w:ascii="Calibri" w:hAnsi="Calibri"/>
          <w:lang w:val="sk-SK"/>
        </w:rPr>
        <w:t>.</w:t>
      </w:r>
    </w:p>
  </w:footnote>
  <w:footnote w:id="9">
    <w:p w14:paraId="4FE34318" w14:textId="0526245E" w:rsidR="00682150" w:rsidRPr="002C40E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B86DB3">
        <w:rPr>
          <w:lang w:val="sk-SK"/>
        </w:rPr>
        <w:t xml:space="preserve"> </w:t>
      </w:r>
      <w:r w:rsidRPr="002C40E1">
        <w:rPr>
          <w:rFonts w:ascii="Calibri" w:hAnsi="Calibri"/>
          <w:szCs w:val="16"/>
          <w:lang w:val="sk-SK"/>
        </w:rPr>
        <w:t xml:space="preserve">Takéto prílohy musia spĺňať štandardy pre formáty elektronických dokumentov podpísateľných elektronickým podpisom v zmysle </w:t>
      </w:r>
      <w:r>
        <w:rPr>
          <w:rFonts w:ascii="Calibri" w:hAnsi="Calibri"/>
          <w:szCs w:val="16"/>
          <w:lang w:val="sk-SK"/>
        </w:rPr>
        <w:t xml:space="preserve">Vyhlášky Úradu podpredsedu vlády Slovenskej republiky pre investície a informatizáciu č. 179/2020 Z. z., ktorou sa ustanovuje spôsob kategorizácie a obsah bezpečnostných opatrení informačných technológií verejnej správy.  </w:t>
      </w:r>
    </w:p>
  </w:footnote>
  <w:footnote w:id="10">
    <w:p w14:paraId="5BBC80B8" w14:textId="38ED94D5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3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  <w:p w14:paraId="69A2EA5C" w14:textId="77777777" w:rsidR="00682150" w:rsidRPr="00A62F14" w:rsidRDefault="00682150" w:rsidP="00243A59">
      <w:pPr>
        <w:pStyle w:val="Textpoznmkypodiarou"/>
        <w:rPr>
          <w:lang w:val="sk-SK"/>
        </w:rPr>
      </w:pPr>
    </w:p>
  </w:footnote>
  <w:footnote w:id="11">
    <w:p w14:paraId="2A05AB42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napr. kontaktné údaje subjektu, štatutárny orgán žiadateľa, a pod.</w:t>
      </w:r>
    </w:p>
  </w:footnote>
  <w:footnote w:id="12">
    <w:p w14:paraId="3687C2AB" w14:textId="0FD78120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4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</w:footnote>
  <w:footnote w:id="13">
    <w:p w14:paraId="1143DCBC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fr-FR"/>
        </w:rPr>
        <w:t xml:space="preserve"> Kontrola ŽoNFP je výlučne technického charakteru. Za obsahovú stránku formuláru ŽoNFP je zodpovedný žiadateľ.</w:t>
      </w:r>
    </w:p>
  </w:footnote>
  <w:footnote w:id="14">
    <w:p w14:paraId="58917CEA" w14:textId="7B64AA01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V súlade s časťou 2.2, bod 4 </w:t>
      </w:r>
      <w:r>
        <w:rPr>
          <w:rFonts w:ascii="Arial Narrow" w:hAnsi="Arial Narrow"/>
          <w:sz w:val="18"/>
          <w:szCs w:val="18"/>
          <w:lang w:val="sk-SK"/>
        </w:rPr>
        <w:t>týchto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postupov</w:t>
      </w:r>
      <w:r w:rsidRPr="002442E0">
        <w:rPr>
          <w:rFonts w:ascii="Arial Narrow" w:hAnsi="Arial Narrow"/>
          <w:sz w:val="18"/>
          <w:szCs w:val="18"/>
          <w:lang w:val="sk-SK"/>
        </w:rPr>
        <w:t>.</w:t>
      </w:r>
    </w:p>
  </w:footnote>
  <w:footnote w:id="15">
    <w:p w14:paraId="3F0A2519" w14:textId="0DE98BF4" w:rsidR="00682150" w:rsidRPr="00637C8F" w:rsidRDefault="00682150" w:rsidP="00637C8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866CE6">
        <w:rPr>
          <w:lang w:val="sk-SK"/>
        </w:rPr>
        <w:t xml:space="preserve"> </w:t>
      </w:r>
      <w:r w:rsidRPr="00637C8F">
        <w:rPr>
          <w:rFonts w:ascii="Arial Narrow" w:hAnsi="Arial Narrow"/>
          <w:sz w:val="18"/>
          <w:szCs w:val="18"/>
          <w:lang w:val="sk-SK"/>
        </w:rPr>
        <w:t>Podrobnejšie k integračným akciám je uvedené v Metodickom pokyne CKO č. 28 k overovaniu vybraných podmienok poskytnutia príspevku prostredníctvom ITMS2014+, ktorý je dostupný na webovom sídle CKO http://www.partnerskadohoda.gov.sk/metodicke-pokyny-cko-a-uv-sr/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16">
    <w:p w14:paraId="6072109F" w14:textId="6345F062" w:rsidR="00682150" w:rsidRPr="002442E0" w:rsidRDefault="00682150" w:rsidP="008543A8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Do lehoty na vydanie rozhodnutia sa nezapočítava doba potrebná na predloženie náležitostí zo strany žiadateľa na základe výzvy zaslanej </w:t>
      </w:r>
      <w:r w:rsidR="000C5AAD">
        <w:rPr>
          <w:rFonts w:ascii="Arial Narrow" w:hAnsi="Arial Narrow"/>
          <w:sz w:val="18"/>
          <w:szCs w:val="18"/>
          <w:lang w:val="sk-SK"/>
        </w:rPr>
        <w:t>ORTP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 (t.</w:t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j. prerušuje sa v momente zaslania výzvy na doplnenie chýbajúcich náležitostí a začína plynúť momentom doručenia náležitostí na </w:t>
      </w:r>
      <w:r w:rsidR="000C5AAD">
        <w:rPr>
          <w:rFonts w:ascii="Arial Narrow" w:hAnsi="Arial Narrow"/>
          <w:sz w:val="18"/>
          <w:szCs w:val="18"/>
          <w:lang w:val="sk-SK"/>
        </w:rPr>
        <w:t>ORTP</w:t>
      </w:r>
      <w:r w:rsidRPr="002442E0">
        <w:rPr>
          <w:rFonts w:ascii="Arial Narrow" w:hAnsi="Arial Narrow"/>
          <w:sz w:val="18"/>
          <w:szCs w:val="18"/>
          <w:lang w:val="sk-SK"/>
        </w:rPr>
        <w:t>).</w:t>
      </w:r>
    </w:p>
  </w:footnote>
  <w:footnote w:id="17">
    <w:p w14:paraId="12F48805" w14:textId="338D720E" w:rsidR="00682150" w:rsidRPr="002442E0" w:rsidRDefault="00682150" w:rsidP="002442E0">
      <w:pPr>
        <w:pStyle w:val="Textpoznmkypodiarou"/>
        <w:tabs>
          <w:tab w:val="left" w:pos="5529"/>
        </w:tabs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</w:t>
      </w:r>
      <w:r>
        <w:rPr>
          <w:rFonts w:ascii="Arial Narrow" w:hAnsi="Arial Narrow"/>
          <w:sz w:val="18"/>
          <w:szCs w:val="18"/>
          <w:lang w:val="sk-SK"/>
        </w:rPr>
        <w:t xml:space="preserve"> súlade s časťou 2.2, ods. 4 týchto postupov. </w:t>
      </w:r>
    </w:p>
  </w:footnote>
  <w:footnote w:id="18">
    <w:p w14:paraId="4A12DCA4" w14:textId="18C3FF90" w:rsidR="00682150" w:rsidRPr="00866CE6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Vzor CKO č. 30 - Rozhodnutie o schválení žiadosti o poskytnutie nenávratného finančného príspevku (platí pre prípady, keď poskytovateľ a prijímateľ sú tá istá osoba)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82150" w:rsidRPr="004B516C" w14:paraId="7F84CE6D" w14:textId="77777777" w:rsidTr="004B516C">
      <w:trPr>
        <w:trHeight w:hRule="exact" w:val="284"/>
      </w:trPr>
      <w:tc>
        <w:tcPr>
          <w:tcW w:w="3794" w:type="dxa"/>
          <w:shd w:val="clear" w:color="auto" w:fill="auto"/>
          <w:vAlign w:val="center"/>
        </w:tcPr>
        <w:p w14:paraId="50627E8B" w14:textId="77777777" w:rsidR="00682150" w:rsidRPr="004B516C" w:rsidRDefault="00682150" w:rsidP="004B516C">
          <w:pPr>
            <w:pStyle w:val="Hlavika"/>
            <w:ind w:left="142" w:hanging="142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P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ostupy TP OPI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I</w:t>
          </w:r>
        </w:p>
      </w:tc>
      <w:tc>
        <w:tcPr>
          <w:tcW w:w="2126" w:type="dxa"/>
          <w:shd w:val="clear" w:color="auto" w:fill="auto"/>
          <w:vAlign w:val="center"/>
        </w:tcPr>
        <w:p w14:paraId="6D9D8AAA" w14:textId="677E92C4" w:rsidR="00682150" w:rsidRPr="004B516C" w:rsidRDefault="00682150" w:rsidP="00575633">
          <w:pPr>
            <w:pStyle w:val="Hlavika"/>
            <w:ind w:left="142" w:hanging="142"/>
            <w:jc w:val="center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Verzia 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1.</w:t>
          </w:r>
          <w:r w:rsidR="00575633">
            <w:rPr>
              <w:rFonts w:ascii="Arial Narrow" w:hAnsi="Arial Narrow" w:cs="Calibri"/>
              <w:sz w:val="18"/>
              <w:szCs w:val="18"/>
              <w:lang w:val="sk-SK"/>
            </w:rPr>
            <w:t>12</w:t>
          </w:r>
        </w:p>
      </w:tc>
      <w:tc>
        <w:tcPr>
          <w:tcW w:w="3402" w:type="dxa"/>
          <w:shd w:val="clear" w:color="auto" w:fill="auto"/>
          <w:vAlign w:val="center"/>
        </w:tcPr>
        <w:p w14:paraId="4FDD8003" w14:textId="7DD14D3B" w:rsidR="00682150" w:rsidRPr="004B516C" w:rsidRDefault="00682150" w:rsidP="0010172E">
          <w:pPr>
            <w:pStyle w:val="Hlavika"/>
            <w:ind w:left="142" w:hanging="142"/>
            <w:jc w:val="right"/>
            <w:rPr>
              <w:rFonts w:ascii="Arial Narrow" w:hAnsi="Arial Narrow" w:cs="Calibri"/>
              <w:sz w:val="18"/>
              <w:szCs w:val="18"/>
              <w:lang w:val="sk-SK"/>
            </w:rPr>
          </w:pPr>
          <w:r>
            <w:rPr>
              <w:rFonts w:ascii="Arial Narrow" w:hAnsi="Arial Narrow" w:cs="Calibri"/>
              <w:sz w:val="18"/>
              <w:szCs w:val="18"/>
              <w:lang w:val="sk-SK"/>
            </w:rPr>
            <w:t>Účinnos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ť:</w:t>
          </w:r>
          <w:r w:rsidR="00615281">
            <w:rPr>
              <w:rFonts w:ascii="Arial Narrow" w:hAnsi="Arial Narrow" w:cs="Calibri"/>
              <w:sz w:val="18"/>
              <w:szCs w:val="18"/>
              <w:lang w:val="sk-SK"/>
            </w:rPr>
            <w:t>.</w:t>
          </w:r>
          <w:r w:rsidR="0010172E">
            <w:rPr>
              <w:rFonts w:ascii="Arial Narrow" w:hAnsi="Arial Narrow" w:cs="Calibri"/>
              <w:sz w:val="18"/>
              <w:szCs w:val="18"/>
              <w:lang w:val="sk-SK"/>
            </w:rPr>
            <w:t>20</w:t>
          </w:r>
          <w:r w:rsidR="00E93C14">
            <w:rPr>
              <w:rFonts w:ascii="Arial Narrow" w:hAnsi="Arial Narrow" w:cs="Calibri"/>
              <w:sz w:val="18"/>
              <w:szCs w:val="18"/>
              <w:lang w:val="sk-SK"/>
            </w:rPr>
            <w:t>.5.</w:t>
          </w:r>
          <w:r w:rsidR="00180DEA" w:rsidRPr="00143C2E">
            <w:rPr>
              <w:rFonts w:ascii="Arial Narrow" w:hAnsi="Arial Narrow" w:cs="Calibri"/>
              <w:sz w:val="18"/>
              <w:szCs w:val="18"/>
              <w:lang w:val="sk-SK"/>
            </w:rPr>
            <w:t>20</w:t>
          </w:r>
          <w:r w:rsidR="00180DEA">
            <w:rPr>
              <w:rFonts w:ascii="Arial Narrow" w:hAnsi="Arial Narrow" w:cs="Calibri"/>
              <w:sz w:val="18"/>
              <w:szCs w:val="18"/>
              <w:lang w:val="sk-SK"/>
            </w:rPr>
            <w:t>22</w:t>
          </w:r>
        </w:p>
      </w:tc>
    </w:tr>
  </w:tbl>
  <w:p w14:paraId="24F0158C" w14:textId="77777777" w:rsidR="00682150" w:rsidRDefault="006821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1D50" w14:textId="2EFD8A16" w:rsidR="00682150" w:rsidRDefault="00D92051" w:rsidP="00623E43">
    <w:pPr>
      <w:pStyle w:val="Hlavika"/>
      <w:jc w:val="center"/>
      <w:rPr>
        <w:b/>
        <w:noProof/>
        <w:sz w:val="28"/>
        <w:szCs w:val="28"/>
        <w:lang w:val="sk-SK" w:eastAsia="sk-SK"/>
      </w:rPr>
    </w:pPr>
    <w:ins w:id="147" w:author="MDSR" w:date="2023-05-25T08:14:00Z">
      <w:r>
        <w:rPr>
          <w:noProof/>
          <w:lang w:val="sk-SK" w:eastAsia="sk-SK"/>
        </w:rPr>
        <w:pict w14:anchorId="18772C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2" o:spid="_x0000_i1025" type="#_x0000_t75" alt="logo OPII a MD_ESIF" style="width:334.9pt;height:40.2pt;visibility:visible;mso-wrap-style:square">
            <v:imagedata r:id="rId1" o:title="logo OPII a MD_ESIF"/>
          </v:shape>
        </w:pict>
      </w:r>
    </w:ins>
  </w:p>
  <w:p w14:paraId="313C3C49" w14:textId="77777777" w:rsidR="00682150" w:rsidRDefault="00682150" w:rsidP="00623E4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B4C"/>
    <w:multiLevelType w:val="hybridMultilevel"/>
    <w:tmpl w:val="A010F4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3AF"/>
    <w:multiLevelType w:val="hybridMultilevel"/>
    <w:tmpl w:val="7AE65BC6"/>
    <w:lvl w:ilvl="0" w:tplc="55F87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302D3A"/>
    <w:multiLevelType w:val="hybridMultilevel"/>
    <w:tmpl w:val="A9DAA094"/>
    <w:lvl w:ilvl="0" w:tplc="980699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6491"/>
    <w:multiLevelType w:val="hybridMultilevel"/>
    <w:tmpl w:val="C4462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33859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B55D6B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05668C"/>
    <w:multiLevelType w:val="hybridMultilevel"/>
    <w:tmpl w:val="A656B3B4"/>
    <w:lvl w:ilvl="0" w:tplc="72DA996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726C3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4FD"/>
    <w:multiLevelType w:val="hybridMultilevel"/>
    <w:tmpl w:val="1528E4BC"/>
    <w:lvl w:ilvl="0" w:tplc="129E9C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B73BB"/>
    <w:multiLevelType w:val="hybridMultilevel"/>
    <w:tmpl w:val="438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D63EF"/>
    <w:multiLevelType w:val="hybridMultilevel"/>
    <w:tmpl w:val="0E4C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40113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2AE49C6"/>
    <w:multiLevelType w:val="hybridMultilevel"/>
    <w:tmpl w:val="F0DCAFC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0073B"/>
    <w:multiLevelType w:val="hybridMultilevel"/>
    <w:tmpl w:val="26B43C72"/>
    <w:lvl w:ilvl="0" w:tplc="649E7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0EA1F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894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7" w15:restartNumberingAfterBreak="0">
    <w:nsid w:val="15AC258D"/>
    <w:multiLevelType w:val="hybridMultilevel"/>
    <w:tmpl w:val="826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4F07AF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6C82BB0"/>
    <w:multiLevelType w:val="hybridMultilevel"/>
    <w:tmpl w:val="8708C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6868BB"/>
    <w:multiLevelType w:val="hybridMultilevel"/>
    <w:tmpl w:val="EB6882E2"/>
    <w:lvl w:ilvl="0" w:tplc="8E96A0FA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4F1"/>
    <w:multiLevelType w:val="hybridMultilevel"/>
    <w:tmpl w:val="0E6C976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4B1C47"/>
    <w:multiLevelType w:val="hybridMultilevel"/>
    <w:tmpl w:val="0A30503C"/>
    <w:lvl w:ilvl="0" w:tplc="E1B226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224BB8"/>
    <w:multiLevelType w:val="hybridMultilevel"/>
    <w:tmpl w:val="098EC9F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FC3351E"/>
    <w:multiLevelType w:val="hybridMultilevel"/>
    <w:tmpl w:val="6DB40E42"/>
    <w:lvl w:ilvl="0" w:tplc="8E92F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691163"/>
    <w:multiLevelType w:val="hybridMultilevel"/>
    <w:tmpl w:val="D2D48D86"/>
    <w:lvl w:ilvl="0" w:tplc="CEF8B4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190279"/>
    <w:multiLevelType w:val="hybridMultilevel"/>
    <w:tmpl w:val="5F4EB2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9414D"/>
    <w:multiLevelType w:val="hybridMultilevel"/>
    <w:tmpl w:val="ACB6637C"/>
    <w:lvl w:ilvl="0" w:tplc="085ACAF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5E6458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289F05E6"/>
    <w:multiLevelType w:val="hybridMultilevel"/>
    <w:tmpl w:val="AFD87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E869FB"/>
    <w:multiLevelType w:val="hybridMultilevel"/>
    <w:tmpl w:val="41142DCC"/>
    <w:lvl w:ilvl="0" w:tplc="FC54D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422D76"/>
    <w:multiLevelType w:val="hybridMultilevel"/>
    <w:tmpl w:val="82464B2E"/>
    <w:lvl w:ilvl="0" w:tplc="C38A17E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4E053B"/>
    <w:multiLevelType w:val="hybridMultilevel"/>
    <w:tmpl w:val="7F1CDE8A"/>
    <w:lvl w:ilvl="0" w:tplc="F05CA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380048"/>
    <w:multiLevelType w:val="hybridMultilevel"/>
    <w:tmpl w:val="0564090A"/>
    <w:lvl w:ilvl="0" w:tplc="48DE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571A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F15758"/>
    <w:multiLevelType w:val="hybridMultilevel"/>
    <w:tmpl w:val="5366DCAE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47013"/>
    <w:multiLevelType w:val="hybridMultilevel"/>
    <w:tmpl w:val="A440D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3E0E81"/>
    <w:multiLevelType w:val="hybridMultilevel"/>
    <w:tmpl w:val="1078278C"/>
    <w:lvl w:ilvl="0" w:tplc="0582ACE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98EAE6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516337"/>
    <w:multiLevelType w:val="hybridMultilevel"/>
    <w:tmpl w:val="5664A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CD3E0E"/>
    <w:multiLevelType w:val="hybridMultilevel"/>
    <w:tmpl w:val="59E05C6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5ED11C8"/>
    <w:multiLevelType w:val="hybridMultilevel"/>
    <w:tmpl w:val="FB5CBDC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3601753F"/>
    <w:multiLevelType w:val="hybridMultilevel"/>
    <w:tmpl w:val="6772D59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61A30B2"/>
    <w:multiLevelType w:val="hybridMultilevel"/>
    <w:tmpl w:val="C61E0C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731A39"/>
    <w:multiLevelType w:val="hybridMultilevel"/>
    <w:tmpl w:val="6F0E01F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F33ED1"/>
    <w:multiLevelType w:val="hybridMultilevel"/>
    <w:tmpl w:val="283CF8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3C537250"/>
    <w:multiLevelType w:val="hybridMultilevel"/>
    <w:tmpl w:val="3840753C"/>
    <w:lvl w:ilvl="0" w:tplc="24D0BA0E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0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7F74C4"/>
    <w:multiLevelType w:val="hybridMultilevel"/>
    <w:tmpl w:val="9CCCEB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255E58"/>
    <w:multiLevelType w:val="hybridMultilevel"/>
    <w:tmpl w:val="460E107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F452AD"/>
    <w:multiLevelType w:val="hybridMultilevel"/>
    <w:tmpl w:val="2132069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46193A"/>
    <w:multiLevelType w:val="hybridMultilevel"/>
    <w:tmpl w:val="4FEC6116"/>
    <w:lvl w:ilvl="0" w:tplc="78FE0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43ED2DF3"/>
    <w:multiLevelType w:val="hybridMultilevel"/>
    <w:tmpl w:val="0AE2FA16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DF6CE1"/>
    <w:multiLevelType w:val="hybridMultilevel"/>
    <w:tmpl w:val="7C1CB8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4FC29E0"/>
    <w:multiLevelType w:val="hybridMultilevel"/>
    <w:tmpl w:val="C5B0891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027205"/>
    <w:multiLevelType w:val="hybridMultilevel"/>
    <w:tmpl w:val="D8C0F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A02474"/>
    <w:multiLevelType w:val="hybridMultilevel"/>
    <w:tmpl w:val="143A60B6"/>
    <w:lvl w:ilvl="0" w:tplc="D9621C80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1F0D19"/>
    <w:multiLevelType w:val="hybridMultilevel"/>
    <w:tmpl w:val="7A78DB00"/>
    <w:lvl w:ilvl="0" w:tplc="26A84C2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E5142B9"/>
    <w:multiLevelType w:val="hybridMultilevel"/>
    <w:tmpl w:val="013CBA36"/>
    <w:lvl w:ilvl="0" w:tplc="7A766B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531A91"/>
    <w:multiLevelType w:val="hybridMultilevel"/>
    <w:tmpl w:val="DC0EB00C"/>
    <w:lvl w:ilvl="0" w:tplc="6A68B9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936F90"/>
    <w:multiLevelType w:val="hybridMultilevel"/>
    <w:tmpl w:val="934083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C705A"/>
    <w:multiLevelType w:val="hybridMultilevel"/>
    <w:tmpl w:val="ED66ED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F0A64"/>
    <w:multiLevelType w:val="hybridMultilevel"/>
    <w:tmpl w:val="7F2C1EAA"/>
    <w:lvl w:ilvl="0" w:tplc="CA50E4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9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3514BE"/>
    <w:multiLevelType w:val="hybridMultilevel"/>
    <w:tmpl w:val="D77EB59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417CE"/>
    <w:multiLevelType w:val="hybridMultilevel"/>
    <w:tmpl w:val="C96CD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EA7764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DA5AFF"/>
    <w:multiLevelType w:val="hybridMultilevel"/>
    <w:tmpl w:val="82B859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E2D361C"/>
    <w:multiLevelType w:val="hybridMultilevel"/>
    <w:tmpl w:val="27F68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E6389"/>
    <w:multiLevelType w:val="hybridMultilevel"/>
    <w:tmpl w:val="9044E7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972257"/>
    <w:multiLevelType w:val="hybridMultilevel"/>
    <w:tmpl w:val="33F48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F01CA"/>
    <w:multiLevelType w:val="hybridMultilevel"/>
    <w:tmpl w:val="963A9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317EA6"/>
    <w:multiLevelType w:val="hybridMultilevel"/>
    <w:tmpl w:val="52F2A0F4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B951DE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817E07"/>
    <w:multiLevelType w:val="hybridMultilevel"/>
    <w:tmpl w:val="50C04B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D16F5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86986"/>
    <w:multiLevelType w:val="hybridMultilevel"/>
    <w:tmpl w:val="9E6C00E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EEC1A2A"/>
    <w:multiLevelType w:val="hybridMultilevel"/>
    <w:tmpl w:val="D38C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7E0BCF"/>
    <w:multiLevelType w:val="hybridMultilevel"/>
    <w:tmpl w:val="48EE4B3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4858C7"/>
    <w:multiLevelType w:val="hybridMultilevel"/>
    <w:tmpl w:val="DC4CC9BE"/>
    <w:lvl w:ilvl="0" w:tplc="04384F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1" w15:restartNumberingAfterBreak="0">
    <w:nsid w:val="70511AD2"/>
    <w:multiLevelType w:val="hybridMultilevel"/>
    <w:tmpl w:val="61881E58"/>
    <w:lvl w:ilvl="0" w:tplc="04020DF8">
      <w:start w:val="12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0439E2"/>
    <w:multiLevelType w:val="hybridMultilevel"/>
    <w:tmpl w:val="AD620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B4048E"/>
    <w:multiLevelType w:val="hybridMultilevel"/>
    <w:tmpl w:val="D44CE1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A040E0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6E91831"/>
    <w:multiLevelType w:val="hybridMultilevel"/>
    <w:tmpl w:val="6968224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6" w15:restartNumberingAfterBreak="0">
    <w:nsid w:val="786219FA"/>
    <w:multiLevelType w:val="hybridMultilevel"/>
    <w:tmpl w:val="9F3437C0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363027"/>
    <w:multiLevelType w:val="hybridMultilevel"/>
    <w:tmpl w:val="ADF2A686"/>
    <w:lvl w:ilvl="0" w:tplc="FCA6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942ADF"/>
    <w:multiLevelType w:val="hybridMultilevel"/>
    <w:tmpl w:val="EDF2D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55"/>
  </w:num>
  <w:num w:numId="3">
    <w:abstractNumId w:val="16"/>
  </w:num>
  <w:num w:numId="4">
    <w:abstractNumId w:val="82"/>
  </w:num>
  <w:num w:numId="5">
    <w:abstractNumId w:val="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11"/>
  </w:num>
  <w:num w:numId="9">
    <w:abstractNumId w:val="58"/>
  </w:num>
  <w:num w:numId="10">
    <w:abstractNumId w:val="75"/>
  </w:num>
  <w:num w:numId="11">
    <w:abstractNumId w:val="72"/>
  </w:num>
  <w:num w:numId="12">
    <w:abstractNumId w:val="98"/>
  </w:num>
  <w:num w:numId="13">
    <w:abstractNumId w:val="68"/>
  </w:num>
  <w:num w:numId="14">
    <w:abstractNumId w:val="95"/>
  </w:num>
  <w:num w:numId="15">
    <w:abstractNumId w:val="77"/>
  </w:num>
  <w:num w:numId="16">
    <w:abstractNumId w:val="25"/>
  </w:num>
  <w:num w:numId="17">
    <w:abstractNumId w:val="90"/>
  </w:num>
  <w:num w:numId="18">
    <w:abstractNumId w:val="44"/>
  </w:num>
  <w:num w:numId="19">
    <w:abstractNumId w:val="92"/>
  </w:num>
  <w:num w:numId="20">
    <w:abstractNumId w:val="19"/>
  </w:num>
  <w:num w:numId="21">
    <w:abstractNumId w:val="55"/>
  </w:num>
  <w:num w:numId="22">
    <w:abstractNumId w:val="55"/>
  </w:num>
  <w:num w:numId="23">
    <w:abstractNumId w:val="36"/>
  </w:num>
  <w:num w:numId="24">
    <w:abstractNumId w:val="55"/>
  </w:num>
  <w:num w:numId="25">
    <w:abstractNumId w:val="55"/>
  </w:num>
  <w:num w:numId="26">
    <w:abstractNumId w:val="38"/>
  </w:num>
  <w:num w:numId="27">
    <w:abstractNumId w:val="55"/>
  </w:num>
  <w:num w:numId="28">
    <w:abstractNumId w:val="31"/>
  </w:num>
  <w:num w:numId="29">
    <w:abstractNumId w:val="7"/>
  </w:num>
  <w:num w:numId="30">
    <w:abstractNumId w:val="97"/>
  </w:num>
  <w:num w:numId="31">
    <w:abstractNumId w:val="60"/>
  </w:num>
  <w:num w:numId="32">
    <w:abstractNumId w:val="86"/>
  </w:num>
  <w:num w:numId="33">
    <w:abstractNumId w:val="13"/>
  </w:num>
  <w:num w:numId="34">
    <w:abstractNumId w:val="55"/>
  </w:num>
  <w:num w:numId="35">
    <w:abstractNumId w:val="55"/>
  </w:num>
  <w:num w:numId="36">
    <w:abstractNumId w:val="55"/>
  </w:num>
  <w:num w:numId="37">
    <w:abstractNumId w:val="45"/>
  </w:num>
  <w:num w:numId="38">
    <w:abstractNumId w:val="71"/>
  </w:num>
  <w:num w:numId="39">
    <w:abstractNumId w:val="37"/>
  </w:num>
  <w:num w:numId="40">
    <w:abstractNumId w:val="80"/>
  </w:num>
  <w:num w:numId="41">
    <w:abstractNumId w:val="46"/>
  </w:num>
  <w:num w:numId="42">
    <w:abstractNumId w:val="96"/>
  </w:num>
  <w:num w:numId="43">
    <w:abstractNumId w:val="66"/>
  </w:num>
  <w:num w:numId="44">
    <w:abstractNumId w:val="89"/>
  </w:num>
  <w:num w:numId="45">
    <w:abstractNumId w:val="56"/>
  </w:num>
  <w:num w:numId="46">
    <w:abstractNumId w:val="14"/>
  </w:num>
  <w:num w:numId="47">
    <w:abstractNumId w:val="53"/>
  </w:num>
  <w:num w:numId="48">
    <w:abstractNumId w:val="54"/>
  </w:num>
  <w:num w:numId="49">
    <w:abstractNumId w:val="47"/>
  </w:num>
  <w:num w:numId="50">
    <w:abstractNumId w:val="85"/>
  </w:num>
  <w:num w:numId="51">
    <w:abstractNumId w:val="61"/>
  </w:num>
  <w:num w:numId="52">
    <w:abstractNumId w:val="0"/>
  </w:num>
  <w:num w:numId="53">
    <w:abstractNumId w:val="73"/>
  </w:num>
  <w:num w:numId="54">
    <w:abstractNumId w:val="4"/>
  </w:num>
  <w:num w:numId="55">
    <w:abstractNumId w:val="32"/>
  </w:num>
  <w:num w:numId="56">
    <w:abstractNumId w:val="39"/>
  </w:num>
  <w:num w:numId="57">
    <w:abstractNumId w:val="55"/>
  </w:num>
  <w:num w:numId="58">
    <w:abstractNumId w:val="33"/>
  </w:num>
  <w:num w:numId="59">
    <w:abstractNumId w:val="87"/>
  </w:num>
  <w:num w:numId="60">
    <w:abstractNumId w:val="50"/>
  </w:num>
  <w:num w:numId="61">
    <w:abstractNumId w:val="35"/>
  </w:num>
  <w:num w:numId="62">
    <w:abstractNumId w:val="34"/>
  </w:num>
  <w:num w:numId="63">
    <w:abstractNumId w:val="69"/>
  </w:num>
  <w:num w:numId="64">
    <w:abstractNumId w:val="1"/>
  </w:num>
  <w:num w:numId="65">
    <w:abstractNumId w:val="55"/>
  </w:num>
  <w:num w:numId="66">
    <w:abstractNumId w:val="55"/>
  </w:num>
  <w:num w:numId="67">
    <w:abstractNumId w:val="26"/>
  </w:num>
  <w:num w:numId="68">
    <w:abstractNumId w:val="55"/>
  </w:num>
  <w:num w:numId="69">
    <w:abstractNumId w:val="55"/>
  </w:num>
  <w:num w:numId="70">
    <w:abstractNumId w:val="15"/>
  </w:num>
  <w:num w:numId="71">
    <w:abstractNumId w:val="3"/>
  </w:num>
  <w:num w:numId="72">
    <w:abstractNumId w:val="55"/>
  </w:num>
  <w:num w:numId="73">
    <w:abstractNumId w:val="83"/>
  </w:num>
  <w:num w:numId="74">
    <w:abstractNumId w:val="55"/>
  </w:num>
  <w:num w:numId="75">
    <w:abstractNumId w:val="55"/>
  </w:num>
  <w:num w:numId="76">
    <w:abstractNumId w:val="28"/>
  </w:num>
  <w:num w:numId="77">
    <w:abstractNumId w:val="9"/>
  </w:num>
  <w:num w:numId="78">
    <w:abstractNumId w:val="64"/>
  </w:num>
  <w:num w:numId="79">
    <w:abstractNumId w:val="22"/>
  </w:num>
  <w:num w:numId="80">
    <w:abstractNumId w:val="41"/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2"/>
  </w:num>
  <w:num w:numId="83">
    <w:abstractNumId w:val="30"/>
  </w:num>
  <w:num w:numId="84">
    <w:abstractNumId w:val="49"/>
  </w:num>
  <w:num w:numId="85">
    <w:abstractNumId w:val="20"/>
  </w:num>
  <w:num w:numId="86">
    <w:abstractNumId w:val="40"/>
  </w:num>
  <w:num w:numId="87">
    <w:abstractNumId w:val="91"/>
  </w:num>
  <w:num w:numId="88">
    <w:abstractNumId w:val="65"/>
  </w:num>
  <w:num w:numId="89">
    <w:abstractNumId w:val="43"/>
  </w:num>
  <w:num w:numId="90">
    <w:abstractNumId w:val="17"/>
  </w:num>
  <w:num w:numId="91">
    <w:abstractNumId w:val="27"/>
  </w:num>
  <w:num w:numId="92">
    <w:abstractNumId w:val="59"/>
  </w:num>
  <w:num w:numId="93">
    <w:abstractNumId w:val="88"/>
  </w:num>
  <w:num w:numId="94">
    <w:abstractNumId w:val="63"/>
  </w:num>
  <w:num w:numId="95">
    <w:abstractNumId w:val="78"/>
  </w:num>
  <w:num w:numId="96">
    <w:abstractNumId w:val="79"/>
  </w:num>
  <w:num w:numId="97">
    <w:abstractNumId w:val="76"/>
  </w:num>
  <w:num w:numId="98">
    <w:abstractNumId w:val="57"/>
  </w:num>
  <w:num w:numId="99">
    <w:abstractNumId w:val="10"/>
  </w:num>
  <w:num w:numId="100">
    <w:abstractNumId w:val="23"/>
  </w:num>
  <w:num w:numId="101">
    <w:abstractNumId w:val="21"/>
  </w:num>
  <w:num w:numId="102">
    <w:abstractNumId w:val="81"/>
  </w:num>
  <w:num w:numId="103">
    <w:abstractNumId w:val="48"/>
  </w:num>
  <w:num w:numId="104">
    <w:abstractNumId w:val="51"/>
  </w:num>
  <w:num w:numId="105">
    <w:abstractNumId w:val="8"/>
  </w:num>
  <w:num w:numId="106">
    <w:abstractNumId w:val="5"/>
  </w:num>
  <w:num w:numId="107">
    <w:abstractNumId w:val="52"/>
  </w:num>
  <w:num w:numId="108">
    <w:abstractNumId w:val="6"/>
  </w:num>
  <w:num w:numId="109">
    <w:abstractNumId w:val="29"/>
  </w:num>
  <w:num w:numId="110">
    <w:abstractNumId w:val="12"/>
  </w:num>
  <w:num w:numId="111">
    <w:abstractNumId w:val="94"/>
  </w:num>
  <w:num w:numId="112">
    <w:abstractNumId w:val="18"/>
  </w:num>
  <w:num w:numId="113">
    <w:abstractNumId w:val="84"/>
  </w:num>
  <w:num w:numId="114">
    <w:abstractNumId w:val="67"/>
  </w:num>
  <w:num w:numId="115">
    <w:abstractNumId w:val="93"/>
  </w:num>
  <w:num w:numId="116">
    <w:abstractNumId w:val="70"/>
  </w:num>
  <w:num w:numId="117">
    <w:abstractNumId w:val="74"/>
  </w:num>
  <w:numIdMacAtCleanup w:val="1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DSR">
    <w15:presenceInfo w15:providerId="None" w15:userId="MDSR"/>
  </w15:person>
  <w15:person w15:author="Čech, Gabriel">
    <w15:presenceInfo w15:providerId="AD" w15:userId="S-1-5-21-770342266-1452753317-1341851483-16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566"/>
    <w:rsid w:val="0000021F"/>
    <w:rsid w:val="000016A5"/>
    <w:rsid w:val="00002C80"/>
    <w:rsid w:val="00002D67"/>
    <w:rsid w:val="0000379C"/>
    <w:rsid w:val="00003B45"/>
    <w:rsid w:val="00005222"/>
    <w:rsid w:val="0000587D"/>
    <w:rsid w:val="00005B9D"/>
    <w:rsid w:val="00006133"/>
    <w:rsid w:val="000068AD"/>
    <w:rsid w:val="000126BF"/>
    <w:rsid w:val="000131F0"/>
    <w:rsid w:val="0001378F"/>
    <w:rsid w:val="00014F06"/>
    <w:rsid w:val="000168E7"/>
    <w:rsid w:val="00016951"/>
    <w:rsid w:val="00016F9D"/>
    <w:rsid w:val="000178DA"/>
    <w:rsid w:val="00020A5B"/>
    <w:rsid w:val="00021543"/>
    <w:rsid w:val="0002238B"/>
    <w:rsid w:val="00023FFF"/>
    <w:rsid w:val="00024C27"/>
    <w:rsid w:val="00025453"/>
    <w:rsid w:val="0002565C"/>
    <w:rsid w:val="00026605"/>
    <w:rsid w:val="000306AD"/>
    <w:rsid w:val="00030A61"/>
    <w:rsid w:val="00030AE2"/>
    <w:rsid w:val="00030C5B"/>
    <w:rsid w:val="00032627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2B22"/>
    <w:rsid w:val="000458A5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4E5"/>
    <w:rsid w:val="00062BC2"/>
    <w:rsid w:val="00064310"/>
    <w:rsid w:val="00064873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53"/>
    <w:rsid w:val="00077311"/>
    <w:rsid w:val="00077F9D"/>
    <w:rsid w:val="000809AE"/>
    <w:rsid w:val="000846C7"/>
    <w:rsid w:val="00084DAE"/>
    <w:rsid w:val="00085421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E0"/>
    <w:rsid w:val="000A54D6"/>
    <w:rsid w:val="000A5FB4"/>
    <w:rsid w:val="000A6689"/>
    <w:rsid w:val="000A6752"/>
    <w:rsid w:val="000B024D"/>
    <w:rsid w:val="000B0AFA"/>
    <w:rsid w:val="000B20F3"/>
    <w:rsid w:val="000B2DCF"/>
    <w:rsid w:val="000B3B8B"/>
    <w:rsid w:val="000B46A1"/>
    <w:rsid w:val="000B4828"/>
    <w:rsid w:val="000B5295"/>
    <w:rsid w:val="000B61C8"/>
    <w:rsid w:val="000B74DE"/>
    <w:rsid w:val="000B7751"/>
    <w:rsid w:val="000C07D2"/>
    <w:rsid w:val="000C1287"/>
    <w:rsid w:val="000C52AA"/>
    <w:rsid w:val="000C5AAD"/>
    <w:rsid w:val="000D0CA3"/>
    <w:rsid w:val="000D0E2B"/>
    <w:rsid w:val="000D17BA"/>
    <w:rsid w:val="000D2346"/>
    <w:rsid w:val="000D32BE"/>
    <w:rsid w:val="000D344B"/>
    <w:rsid w:val="000D3DC8"/>
    <w:rsid w:val="000D4493"/>
    <w:rsid w:val="000D45A7"/>
    <w:rsid w:val="000D45AF"/>
    <w:rsid w:val="000D5640"/>
    <w:rsid w:val="000D64B7"/>
    <w:rsid w:val="000D6670"/>
    <w:rsid w:val="000D6757"/>
    <w:rsid w:val="000D76C8"/>
    <w:rsid w:val="000D7DB9"/>
    <w:rsid w:val="000E16A3"/>
    <w:rsid w:val="000E1B66"/>
    <w:rsid w:val="000E230D"/>
    <w:rsid w:val="000E2B53"/>
    <w:rsid w:val="000E2FDD"/>
    <w:rsid w:val="000E34B6"/>
    <w:rsid w:val="000E3563"/>
    <w:rsid w:val="000E3A9F"/>
    <w:rsid w:val="000E49F2"/>
    <w:rsid w:val="000E6452"/>
    <w:rsid w:val="000E6A89"/>
    <w:rsid w:val="000E71CE"/>
    <w:rsid w:val="000E765A"/>
    <w:rsid w:val="000F0DBF"/>
    <w:rsid w:val="000F1898"/>
    <w:rsid w:val="000F249A"/>
    <w:rsid w:val="000F2738"/>
    <w:rsid w:val="000F4546"/>
    <w:rsid w:val="000F5267"/>
    <w:rsid w:val="000F5E3D"/>
    <w:rsid w:val="000F707E"/>
    <w:rsid w:val="000F7A35"/>
    <w:rsid w:val="0010172E"/>
    <w:rsid w:val="00107348"/>
    <w:rsid w:val="00107596"/>
    <w:rsid w:val="00112F2E"/>
    <w:rsid w:val="00113F2A"/>
    <w:rsid w:val="00114550"/>
    <w:rsid w:val="001148D1"/>
    <w:rsid w:val="00115AF7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E1E"/>
    <w:rsid w:val="00141BC6"/>
    <w:rsid w:val="00143AD7"/>
    <w:rsid w:val="00143C2E"/>
    <w:rsid w:val="00143EBD"/>
    <w:rsid w:val="0014418B"/>
    <w:rsid w:val="001452B6"/>
    <w:rsid w:val="00146089"/>
    <w:rsid w:val="001460CD"/>
    <w:rsid w:val="00146657"/>
    <w:rsid w:val="0014683B"/>
    <w:rsid w:val="0014757D"/>
    <w:rsid w:val="001500D9"/>
    <w:rsid w:val="00150B65"/>
    <w:rsid w:val="00150D9C"/>
    <w:rsid w:val="00152955"/>
    <w:rsid w:val="001542F8"/>
    <w:rsid w:val="00154DB8"/>
    <w:rsid w:val="0015682D"/>
    <w:rsid w:val="001575D7"/>
    <w:rsid w:val="001578B3"/>
    <w:rsid w:val="001605D9"/>
    <w:rsid w:val="00161738"/>
    <w:rsid w:val="00161F6E"/>
    <w:rsid w:val="00162C73"/>
    <w:rsid w:val="001639B7"/>
    <w:rsid w:val="00165932"/>
    <w:rsid w:val="00165E25"/>
    <w:rsid w:val="00166363"/>
    <w:rsid w:val="001664C5"/>
    <w:rsid w:val="00166C7E"/>
    <w:rsid w:val="00167D5A"/>
    <w:rsid w:val="00171470"/>
    <w:rsid w:val="0017198C"/>
    <w:rsid w:val="001733BD"/>
    <w:rsid w:val="0017341C"/>
    <w:rsid w:val="0017349C"/>
    <w:rsid w:val="00174AF2"/>
    <w:rsid w:val="00174AFE"/>
    <w:rsid w:val="0017524E"/>
    <w:rsid w:val="00176C2C"/>
    <w:rsid w:val="001773B7"/>
    <w:rsid w:val="001778D8"/>
    <w:rsid w:val="00180077"/>
    <w:rsid w:val="00180DEA"/>
    <w:rsid w:val="00181A1B"/>
    <w:rsid w:val="00182252"/>
    <w:rsid w:val="00182989"/>
    <w:rsid w:val="00182C05"/>
    <w:rsid w:val="0018403E"/>
    <w:rsid w:val="00185ECC"/>
    <w:rsid w:val="001866F9"/>
    <w:rsid w:val="00190AD2"/>
    <w:rsid w:val="001914CB"/>
    <w:rsid w:val="00191BE4"/>
    <w:rsid w:val="00192836"/>
    <w:rsid w:val="00192E4F"/>
    <w:rsid w:val="00193474"/>
    <w:rsid w:val="00194029"/>
    <w:rsid w:val="00194D5D"/>
    <w:rsid w:val="0019558B"/>
    <w:rsid w:val="00196F7B"/>
    <w:rsid w:val="001A091A"/>
    <w:rsid w:val="001A143B"/>
    <w:rsid w:val="001A1687"/>
    <w:rsid w:val="001A19F7"/>
    <w:rsid w:val="001A3801"/>
    <w:rsid w:val="001A4571"/>
    <w:rsid w:val="001A4B95"/>
    <w:rsid w:val="001A4DD2"/>
    <w:rsid w:val="001A4E24"/>
    <w:rsid w:val="001B09BD"/>
    <w:rsid w:val="001B1020"/>
    <w:rsid w:val="001B3AD0"/>
    <w:rsid w:val="001B499E"/>
    <w:rsid w:val="001B4A49"/>
    <w:rsid w:val="001B510E"/>
    <w:rsid w:val="001B62F4"/>
    <w:rsid w:val="001B6467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6032"/>
    <w:rsid w:val="001C7422"/>
    <w:rsid w:val="001D0117"/>
    <w:rsid w:val="001D01EF"/>
    <w:rsid w:val="001D0FFE"/>
    <w:rsid w:val="001D1CDD"/>
    <w:rsid w:val="001D28FE"/>
    <w:rsid w:val="001D2D83"/>
    <w:rsid w:val="001D37A4"/>
    <w:rsid w:val="001D3B47"/>
    <w:rsid w:val="001D53F8"/>
    <w:rsid w:val="001D5697"/>
    <w:rsid w:val="001D6EF6"/>
    <w:rsid w:val="001D7619"/>
    <w:rsid w:val="001E19FE"/>
    <w:rsid w:val="001E209F"/>
    <w:rsid w:val="001E350D"/>
    <w:rsid w:val="001E4CC8"/>
    <w:rsid w:val="001E5387"/>
    <w:rsid w:val="001F0C13"/>
    <w:rsid w:val="001F2A69"/>
    <w:rsid w:val="001F4931"/>
    <w:rsid w:val="001F4B26"/>
    <w:rsid w:val="001F6057"/>
    <w:rsid w:val="001F6B72"/>
    <w:rsid w:val="002003CD"/>
    <w:rsid w:val="00200D0A"/>
    <w:rsid w:val="00201453"/>
    <w:rsid w:val="00201670"/>
    <w:rsid w:val="00201A11"/>
    <w:rsid w:val="00202D22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6732"/>
    <w:rsid w:val="00217FC1"/>
    <w:rsid w:val="00220042"/>
    <w:rsid w:val="0022327C"/>
    <w:rsid w:val="00223F5B"/>
    <w:rsid w:val="0022522A"/>
    <w:rsid w:val="002261AB"/>
    <w:rsid w:val="0022696B"/>
    <w:rsid w:val="00226FEB"/>
    <w:rsid w:val="0022728C"/>
    <w:rsid w:val="0022751E"/>
    <w:rsid w:val="00227F7C"/>
    <w:rsid w:val="002301E9"/>
    <w:rsid w:val="0023153B"/>
    <w:rsid w:val="00231C3D"/>
    <w:rsid w:val="002325B6"/>
    <w:rsid w:val="00233688"/>
    <w:rsid w:val="002336C3"/>
    <w:rsid w:val="00234423"/>
    <w:rsid w:val="00234F6E"/>
    <w:rsid w:val="00235D74"/>
    <w:rsid w:val="00236144"/>
    <w:rsid w:val="00236281"/>
    <w:rsid w:val="002374CA"/>
    <w:rsid w:val="002376FB"/>
    <w:rsid w:val="00240EC6"/>
    <w:rsid w:val="002427AE"/>
    <w:rsid w:val="00242F3F"/>
    <w:rsid w:val="00243A59"/>
    <w:rsid w:val="002442E0"/>
    <w:rsid w:val="00244AF3"/>
    <w:rsid w:val="002450D8"/>
    <w:rsid w:val="002453B5"/>
    <w:rsid w:val="0024576C"/>
    <w:rsid w:val="00246463"/>
    <w:rsid w:val="002465EC"/>
    <w:rsid w:val="00246D78"/>
    <w:rsid w:val="002474E5"/>
    <w:rsid w:val="002501B3"/>
    <w:rsid w:val="002508FC"/>
    <w:rsid w:val="00251D09"/>
    <w:rsid w:val="00253281"/>
    <w:rsid w:val="00253BF6"/>
    <w:rsid w:val="002557C9"/>
    <w:rsid w:val="00256B93"/>
    <w:rsid w:val="00256EC5"/>
    <w:rsid w:val="00257874"/>
    <w:rsid w:val="002605B8"/>
    <w:rsid w:val="00260A1D"/>
    <w:rsid w:val="002637F7"/>
    <w:rsid w:val="00267343"/>
    <w:rsid w:val="00270032"/>
    <w:rsid w:val="00271C8F"/>
    <w:rsid w:val="00272D3C"/>
    <w:rsid w:val="00272EE5"/>
    <w:rsid w:val="00273252"/>
    <w:rsid w:val="002737A5"/>
    <w:rsid w:val="002737F5"/>
    <w:rsid w:val="002742BE"/>
    <w:rsid w:val="002745F6"/>
    <w:rsid w:val="00274E01"/>
    <w:rsid w:val="0027555E"/>
    <w:rsid w:val="00275AAC"/>
    <w:rsid w:val="00276ADA"/>
    <w:rsid w:val="00280784"/>
    <w:rsid w:val="00281091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713"/>
    <w:rsid w:val="00290AA2"/>
    <w:rsid w:val="002917A0"/>
    <w:rsid w:val="00291FBD"/>
    <w:rsid w:val="00293C37"/>
    <w:rsid w:val="00294F6B"/>
    <w:rsid w:val="00296C0D"/>
    <w:rsid w:val="00296C99"/>
    <w:rsid w:val="002A053C"/>
    <w:rsid w:val="002A0A99"/>
    <w:rsid w:val="002A0B57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45"/>
    <w:rsid w:val="002B20DD"/>
    <w:rsid w:val="002B2FEA"/>
    <w:rsid w:val="002B44AF"/>
    <w:rsid w:val="002B4571"/>
    <w:rsid w:val="002B45E5"/>
    <w:rsid w:val="002B63AE"/>
    <w:rsid w:val="002B7751"/>
    <w:rsid w:val="002B7F8F"/>
    <w:rsid w:val="002C34CE"/>
    <w:rsid w:val="002C4760"/>
    <w:rsid w:val="002C583E"/>
    <w:rsid w:val="002D0625"/>
    <w:rsid w:val="002D2B76"/>
    <w:rsid w:val="002D2C35"/>
    <w:rsid w:val="002D5E8F"/>
    <w:rsid w:val="002D5FCD"/>
    <w:rsid w:val="002D7199"/>
    <w:rsid w:val="002D7602"/>
    <w:rsid w:val="002D7F5B"/>
    <w:rsid w:val="002E0D09"/>
    <w:rsid w:val="002E32BC"/>
    <w:rsid w:val="002E43B7"/>
    <w:rsid w:val="002E71B4"/>
    <w:rsid w:val="002F0B20"/>
    <w:rsid w:val="002F36D3"/>
    <w:rsid w:val="002F6909"/>
    <w:rsid w:val="002F6B30"/>
    <w:rsid w:val="00303357"/>
    <w:rsid w:val="003034C6"/>
    <w:rsid w:val="0030360A"/>
    <w:rsid w:val="003036F0"/>
    <w:rsid w:val="003038D5"/>
    <w:rsid w:val="00303A9F"/>
    <w:rsid w:val="003054E4"/>
    <w:rsid w:val="003059BB"/>
    <w:rsid w:val="00306BEB"/>
    <w:rsid w:val="003075D8"/>
    <w:rsid w:val="003103B5"/>
    <w:rsid w:val="00310BDC"/>
    <w:rsid w:val="003125D4"/>
    <w:rsid w:val="003126B4"/>
    <w:rsid w:val="00312F0C"/>
    <w:rsid w:val="00312F25"/>
    <w:rsid w:val="0031390F"/>
    <w:rsid w:val="00313AE6"/>
    <w:rsid w:val="00314C6C"/>
    <w:rsid w:val="0031599A"/>
    <w:rsid w:val="00315B6A"/>
    <w:rsid w:val="003173B1"/>
    <w:rsid w:val="00317A10"/>
    <w:rsid w:val="00317B8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27FA8"/>
    <w:rsid w:val="00330649"/>
    <w:rsid w:val="00332F08"/>
    <w:rsid w:val="00333F1F"/>
    <w:rsid w:val="00334A7C"/>
    <w:rsid w:val="0033514C"/>
    <w:rsid w:val="0033541A"/>
    <w:rsid w:val="0033583C"/>
    <w:rsid w:val="003367DA"/>
    <w:rsid w:val="00337294"/>
    <w:rsid w:val="00337EF6"/>
    <w:rsid w:val="00341854"/>
    <w:rsid w:val="00341883"/>
    <w:rsid w:val="0034293C"/>
    <w:rsid w:val="00342EB3"/>
    <w:rsid w:val="00343C08"/>
    <w:rsid w:val="00344A54"/>
    <w:rsid w:val="00345E86"/>
    <w:rsid w:val="003464DF"/>
    <w:rsid w:val="003474AD"/>
    <w:rsid w:val="00347665"/>
    <w:rsid w:val="00350826"/>
    <w:rsid w:val="0035286E"/>
    <w:rsid w:val="003530AF"/>
    <w:rsid w:val="0035528F"/>
    <w:rsid w:val="0035616E"/>
    <w:rsid w:val="00356178"/>
    <w:rsid w:val="00356917"/>
    <w:rsid w:val="00356B55"/>
    <w:rsid w:val="00357860"/>
    <w:rsid w:val="0035788E"/>
    <w:rsid w:val="00360290"/>
    <w:rsid w:val="003604A4"/>
    <w:rsid w:val="003604AC"/>
    <w:rsid w:val="0036057C"/>
    <w:rsid w:val="00360EB6"/>
    <w:rsid w:val="0036190C"/>
    <w:rsid w:val="00362BC5"/>
    <w:rsid w:val="00362D1E"/>
    <w:rsid w:val="00362D80"/>
    <w:rsid w:val="00363B44"/>
    <w:rsid w:val="00363C6B"/>
    <w:rsid w:val="00364335"/>
    <w:rsid w:val="00364D63"/>
    <w:rsid w:val="00365635"/>
    <w:rsid w:val="00371714"/>
    <w:rsid w:val="0037192E"/>
    <w:rsid w:val="00371F91"/>
    <w:rsid w:val="003729ED"/>
    <w:rsid w:val="00373566"/>
    <w:rsid w:val="00373689"/>
    <w:rsid w:val="00375271"/>
    <w:rsid w:val="00376A47"/>
    <w:rsid w:val="00376FE4"/>
    <w:rsid w:val="00377A48"/>
    <w:rsid w:val="00377C58"/>
    <w:rsid w:val="00380F6B"/>
    <w:rsid w:val="003815E4"/>
    <w:rsid w:val="003828EB"/>
    <w:rsid w:val="0038312C"/>
    <w:rsid w:val="003852D5"/>
    <w:rsid w:val="00387C71"/>
    <w:rsid w:val="003901E6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DC5"/>
    <w:rsid w:val="003A383F"/>
    <w:rsid w:val="003A3975"/>
    <w:rsid w:val="003A3F2A"/>
    <w:rsid w:val="003A5815"/>
    <w:rsid w:val="003A630D"/>
    <w:rsid w:val="003A643C"/>
    <w:rsid w:val="003A6490"/>
    <w:rsid w:val="003A7A27"/>
    <w:rsid w:val="003B00BA"/>
    <w:rsid w:val="003B03DE"/>
    <w:rsid w:val="003B1BF1"/>
    <w:rsid w:val="003B23EF"/>
    <w:rsid w:val="003B27B2"/>
    <w:rsid w:val="003B55B6"/>
    <w:rsid w:val="003B59E4"/>
    <w:rsid w:val="003B5B2D"/>
    <w:rsid w:val="003B5E72"/>
    <w:rsid w:val="003B617C"/>
    <w:rsid w:val="003B6EC5"/>
    <w:rsid w:val="003B7034"/>
    <w:rsid w:val="003C08C5"/>
    <w:rsid w:val="003C7343"/>
    <w:rsid w:val="003C7AB1"/>
    <w:rsid w:val="003D0665"/>
    <w:rsid w:val="003D19F9"/>
    <w:rsid w:val="003D2D01"/>
    <w:rsid w:val="003D3726"/>
    <w:rsid w:val="003D424B"/>
    <w:rsid w:val="003D4F02"/>
    <w:rsid w:val="003D544F"/>
    <w:rsid w:val="003D6630"/>
    <w:rsid w:val="003D6DF4"/>
    <w:rsid w:val="003E06A3"/>
    <w:rsid w:val="003E10C8"/>
    <w:rsid w:val="003E3FFA"/>
    <w:rsid w:val="003E46CA"/>
    <w:rsid w:val="003E54EB"/>
    <w:rsid w:val="003E70A5"/>
    <w:rsid w:val="003F089A"/>
    <w:rsid w:val="003F18CD"/>
    <w:rsid w:val="003F22DC"/>
    <w:rsid w:val="003F343D"/>
    <w:rsid w:val="003F607D"/>
    <w:rsid w:val="003F7B39"/>
    <w:rsid w:val="003F7F03"/>
    <w:rsid w:val="00400600"/>
    <w:rsid w:val="004012D4"/>
    <w:rsid w:val="00401446"/>
    <w:rsid w:val="0040246A"/>
    <w:rsid w:val="00402A29"/>
    <w:rsid w:val="00402CEC"/>
    <w:rsid w:val="00402DEA"/>
    <w:rsid w:val="004037E5"/>
    <w:rsid w:val="004040B0"/>
    <w:rsid w:val="00404728"/>
    <w:rsid w:val="00404CA3"/>
    <w:rsid w:val="00407B6C"/>
    <w:rsid w:val="00407F6C"/>
    <w:rsid w:val="00410AE8"/>
    <w:rsid w:val="00411661"/>
    <w:rsid w:val="00411A64"/>
    <w:rsid w:val="004129B0"/>
    <w:rsid w:val="00412CB5"/>
    <w:rsid w:val="00412CD2"/>
    <w:rsid w:val="00414E2D"/>
    <w:rsid w:val="00415FA8"/>
    <w:rsid w:val="004167DC"/>
    <w:rsid w:val="004169EC"/>
    <w:rsid w:val="00416B0C"/>
    <w:rsid w:val="0042148A"/>
    <w:rsid w:val="00422BC4"/>
    <w:rsid w:val="004257D7"/>
    <w:rsid w:val="00425B23"/>
    <w:rsid w:val="00426048"/>
    <w:rsid w:val="004274A1"/>
    <w:rsid w:val="004334C0"/>
    <w:rsid w:val="0043414B"/>
    <w:rsid w:val="00435425"/>
    <w:rsid w:val="0043594A"/>
    <w:rsid w:val="004360B5"/>
    <w:rsid w:val="0043654C"/>
    <w:rsid w:val="0043733B"/>
    <w:rsid w:val="00437E83"/>
    <w:rsid w:val="0044073A"/>
    <w:rsid w:val="00441746"/>
    <w:rsid w:val="004418FD"/>
    <w:rsid w:val="00441F5F"/>
    <w:rsid w:val="00442268"/>
    <w:rsid w:val="004433EF"/>
    <w:rsid w:val="00444C53"/>
    <w:rsid w:val="004457E7"/>
    <w:rsid w:val="0044748C"/>
    <w:rsid w:val="0045135E"/>
    <w:rsid w:val="00451FBB"/>
    <w:rsid w:val="0045245E"/>
    <w:rsid w:val="00453023"/>
    <w:rsid w:val="00453BA2"/>
    <w:rsid w:val="00454EC0"/>
    <w:rsid w:val="004550CB"/>
    <w:rsid w:val="004562E2"/>
    <w:rsid w:val="00456A4D"/>
    <w:rsid w:val="004571B0"/>
    <w:rsid w:val="00460483"/>
    <w:rsid w:val="00462BD6"/>
    <w:rsid w:val="00463FEF"/>
    <w:rsid w:val="00464526"/>
    <w:rsid w:val="00464BB0"/>
    <w:rsid w:val="00464BC8"/>
    <w:rsid w:val="0046525C"/>
    <w:rsid w:val="00465A61"/>
    <w:rsid w:val="004660B1"/>
    <w:rsid w:val="00466D9C"/>
    <w:rsid w:val="00471B1C"/>
    <w:rsid w:val="00471E40"/>
    <w:rsid w:val="004731AC"/>
    <w:rsid w:val="00473674"/>
    <w:rsid w:val="004738AB"/>
    <w:rsid w:val="00473E9C"/>
    <w:rsid w:val="004762A4"/>
    <w:rsid w:val="00476FCB"/>
    <w:rsid w:val="0047757C"/>
    <w:rsid w:val="00477A78"/>
    <w:rsid w:val="0048103F"/>
    <w:rsid w:val="00482853"/>
    <w:rsid w:val="004842AD"/>
    <w:rsid w:val="00485958"/>
    <w:rsid w:val="00486A25"/>
    <w:rsid w:val="00486FF6"/>
    <w:rsid w:val="00487871"/>
    <w:rsid w:val="00490045"/>
    <w:rsid w:val="00490078"/>
    <w:rsid w:val="0049010F"/>
    <w:rsid w:val="00491918"/>
    <w:rsid w:val="00492613"/>
    <w:rsid w:val="004927DB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3D5"/>
    <w:rsid w:val="004A06D5"/>
    <w:rsid w:val="004A1672"/>
    <w:rsid w:val="004A1787"/>
    <w:rsid w:val="004A2406"/>
    <w:rsid w:val="004A34A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A79FC"/>
    <w:rsid w:val="004A7F94"/>
    <w:rsid w:val="004B04C6"/>
    <w:rsid w:val="004B15AA"/>
    <w:rsid w:val="004B23A7"/>
    <w:rsid w:val="004B2AFF"/>
    <w:rsid w:val="004B2D18"/>
    <w:rsid w:val="004B3755"/>
    <w:rsid w:val="004B3AD2"/>
    <w:rsid w:val="004B4FFD"/>
    <w:rsid w:val="004B516C"/>
    <w:rsid w:val="004B5180"/>
    <w:rsid w:val="004B53E6"/>
    <w:rsid w:val="004B59DB"/>
    <w:rsid w:val="004B63C1"/>
    <w:rsid w:val="004B67CC"/>
    <w:rsid w:val="004B6E08"/>
    <w:rsid w:val="004B7652"/>
    <w:rsid w:val="004C10A3"/>
    <w:rsid w:val="004C2823"/>
    <w:rsid w:val="004C465F"/>
    <w:rsid w:val="004C56E1"/>
    <w:rsid w:val="004C6D0F"/>
    <w:rsid w:val="004D066C"/>
    <w:rsid w:val="004D06C6"/>
    <w:rsid w:val="004D0991"/>
    <w:rsid w:val="004D0F44"/>
    <w:rsid w:val="004D18B5"/>
    <w:rsid w:val="004D2C48"/>
    <w:rsid w:val="004D5375"/>
    <w:rsid w:val="004D53F0"/>
    <w:rsid w:val="004D6022"/>
    <w:rsid w:val="004E1558"/>
    <w:rsid w:val="004E1C5E"/>
    <w:rsid w:val="004E560F"/>
    <w:rsid w:val="004E6000"/>
    <w:rsid w:val="004E704A"/>
    <w:rsid w:val="004E7D00"/>
    <w:rsid w:val="004F23E6"/>
    <w:rsid w:val="004F370E"/>
    <w:rsid w:val="004F45ED"/>
    <w:rsid w:val="004F485A"/>
    <w:rsid w:val="004F5024"/>
    <w:rsid w:val="004F6CA1"/>
    <w:rsid w:val="004F6CC3"/>
    <w:rsid w:val="00501355"/>
    <w:rsid w:val="00502BD0"/>
    <w:rsid w:val="0050320A"/>
    <w:rsid w:val="005038B3"/>
    <w:rsid w:val="005042D5"/>
    <w:rsid w:val="005048C8"/>
    <w:rsid w:val="00505FF4"/>
    <w:rsid w:val="00507200"/>
    <w:rsid w:val="005106F9"/>
    <w:rsid w:val="00511041"/>
    <w:rsid w:val="00513AB0"/>
    <w:rsid w:val="00513AF5"/>
    <w:rsid w:val="0051486D"/>
    <w:rsid w:val="005165CB"/>
    <w:rsid w:val="005169B1"/>
    <w:rsid w:val="00516D05"/>
    <w:rsid w:val="0051740F"/>
    <w:rsid w:val="00517770"/>
    <w:rsid w:val="00520918"/>
    <w:rsid w:val="005237CF"/>
    <w:rsid w:val="00524C87"/>
    <w:rsid w:val="00525194"/>
    <w:rsid w:val="00526C59"/>
    <w:rsid w:val="0053045E"/>
    <w:rsid w:val="00532AA7"/>
    <w:rsid w:val="00532D0A"/>
    <w:rsid w:val="00533217"/>
    <w:rsid w:val="00534AC3"/>
    <w:rsid w:val="00534D3B"/>
    <w:rsid w:val="00534F06"/>
    <w:rsid w:val="0053671A"/>
    <w:rsid w:val="0053691E"/>
    <w:rsid w:val="005371FB"/>
    <w:rsid w:val="005408B0"/>
    <w:rsid w:val="00540CB8"/>
    <w:rsid w:val="0054248C"/>
    <w:rsid w:val="005427B3"/>
    <w:rsid w:val="00543661"/>
    <w:rsid w:val="00543666"/>
    <w:rsid w:val="00543A3E"/>
    <w:rsid w:val="00543B2D"/>
    <w:rsid w:val="00544100"/>
    <w:rsid w:val="00544CFC"/>
    <w:rsid w:val="00546E50"/>
    <w:rsid w:val="0054776E"/>
    <w:rsid w:val="005477B3"/>
    <w:rsid w:val="0055109D"/>
    <w:rsid w:val="005518AA"/>
    <w:rsid w:val="00551DCD"/>
    <w:rsid w:val="00552B01"/>
    <w:rsid w:val="005530BA"/>
    <w:rsid w:val="00553377"/>
    <w:rsid w:val="00556F7E"/>
    <w:rsid w:val="00560A41"/>
    <w:rsid w:val="00560CD5"/>
    <w:rsid w:val="00564717"/>
    <w:rsid w:val="0056506D"/>
    <w:rsid w:val="0056784D"/>
    <w:rsid w:val="00570A17"/>
    <w:rsid w:val="00571118"/>
    <w:rsid w:val="00571BEF"/>
    <w:rsid w:val="0057284A"/>
    <w:rsid w:val="0057292A"/>
    <w:rsid w:val="005729E8"/>
    <w:rsid w:val="00574E3A"/>
    <w:rsid w:val="00575543"/>
    <w:rsid w:val="00575633"/>
    <w:rsid w:val="00576148"/>
    <w:rsid w:val="005762AF"/>
    <w:rsid w:val="00576315"/>
    <w:rsid w:val="0057652E"/>
    <w:rsid w:val="00577C80"/>
    <w:rsid w:val="00582B72"/>
    <w:rsid w:val="00582D91"/>
    <w:rsid w:val="00583073"/>
    <w:rsid w:val="00583194"/>
    <w:rsid w:val="00583367"/>
    <w:rsid w:val="00583BB8"/>
    <w:rsid w:val="005842B9"/>
    <w:rsid w:val="005846CF"/>
    <w:rsid w:val="00585B53"/>
    <w:rsid w:val="00586215"/>
    <w:rsid w:val="005864BA"/>
    <w:rsid w:val="00586ED8"/>
    <w:rsid w:val="0059083A"/>
    <w:rsid w:val="00590F4B"/>
    <w:rsid w:val="005936FF"/>
    <w:rsid w:val="00593800"/>
    <w:rsid w:val="00593CA6"/>
    <w:rsid w:val="0059541C"/>
    <w:rsid w:val="005967AF"/>
    <w:rsid w:val="0059681D"/>
    <w:rsid w:val="00597F52"/>
    <w:rsid w:val="005A10CE"/>
    <w:rsid w:val="005A1938"/>
    <w:rsid w:val="005A2A8A"/>
    <w:rsid w:val="005A54FF"/>
    <w:rsid w:val="005A76F3"/>
    <w:rsid w:val="005A7888"/>
    <w:rsid w:val="005A7898"/>
    <w:rsid w:val="005B1EF4"/>
    <w:rsid w:val="005B1F0F"/>
    <w:rsid w:val="005B23A0"/>
    <w:rsid w:val="005B3409"/>
    <w:rsid w:val="005B34CA"/>
    <w:rsid w:val="005B4163"/>
    <w:rsid w:val="005B4814"/>
    <w:rsid w:val="005B4CAD"/>
    <w:rsid w:val="005B711C"/>
    <w:rsid w:val="005C0864"/>
    <w:rsid w:val="005C0880"/>
    <w:rsid w:val="005C10C3"/>
    <w:rsid w:val="005C1165"/>
    <w:rsid w:val="005C11FB"/>
    <w:rsid w:val="005C2878"/>
    <w:rsid w:val="005C2E1C"/>
    <w:rsid w:val="005C32FC"/>
    <w:rsid w:val="005C4603"/>
    <w:rsid w:val="005C4BCD"/>
    <w:rsid w:val="005C4E0A"/>
    <w:rsid w:val="005C58E2"/>
    <w:rsid w:val="005C5E98"/>
    <w:rsid w:val="005C6304"/>
    <w:rsid w:val="005C678E"/>
    <w:rsid w:val="005C6887"/>
    <w:rsid w:val="005D08C5"/>
    <w:rsid w:val="005D1199"/>
    <w:rsid w:val="005D2A73"/>
    <w:rsid w:val="005D3EAD"/>
    <w:rsid w:val="005D3F8E"/>
    <w:rsid w:val="005D41B0"/>
    <w:rsid w:val="005D670E"/>
    <w:rsid w:val="005D793D"/>
    <w:rsid w:val="005E056A"/>
    <w:rsid w:val="005E1B05"/>
    <w:rsid w:val="005E2188"/>
    <w:rsid w:val="005E2193"/>
    <w:rsid w:val="005F0693"/>
    <w:rsid w:val="005F1143"/>
    <w:rsid w:val="005F11FE"/>
    <w:rsid w:val="005F13C4"/>
    <w:rsid w:val="005F1DFB"/>
    <w:rsid w:val="005F2086"/>
    <w:rsid w:val="005F214D"/>
    <w:rsid w:val="005F24EF"/>
    <w:rsid w:val="005F36F5"/>
    <w:rsid w:val="005F39EF"/>
    <w:rsid w:val="005F5B43"/>
    <w:rsid w:val="005F6D45"/>
    <w:rsid w:val="005F7196"/>
    <w:rsid w:val="005F72CE"/>
    <w:rsid w:val="0060073E"/>
    <w:rsid w:val="00600B2B"/>
    <w:rsid w:val="006052D6"/>
    <w:rsid w:val="006054BE"/>
    <w:rsid w:val="00606BC7"/>
    <w:rsid w:val="00606CA3"/>
    <w:rsid w:val="00607B93"/>
    <w:rsid w:val="00610518"/>
    <w:rsid w:val="00610912"/>
    <w:rsid w:val="00610A9B"/>
    <w:rsid w:val="00610E17"/>
    <w:rsid w:val="006111FB"/>
    <w:rsid w:val="0061179E"/>
    <w:rsid w:val="00611F36"/>
    <w:rsid w:val="00612124"/>
    <w:rsid w:val="00613897"/>
    <w:rsid w:val="00613A89"/>
    <w:rsid w:val="00614F28"/>
    <w:rsid w:val="00614F9E"/>
    <w:rsid w:val="00615281"/>
    <w:rsid w:val="00617865"/>
    <w:rsid w:val="006208F6"/>
    <w:rsid w:val="00620B95"/>
    <w:rsid w:val="00621369"/>
    <w:rsid w:val="006226A7"/>
    <w:rsid w:val="006236B9"/>
    <w:rsid w:val="00623E43"/>
    <w:rsid w:val="00624DC2"/>
    <w:rsid w:val="0062537D"/>
    <w:rsid w:val="00625B4A"/>
    <w:rsid w:val="00625ED2"/>
    <w:rsid w:val="00627571"/>
    <w:rsid w:val="00632390"/>
    <w:rsid w:val="006328F5"/>
    <w:rsid w:val="00632F97"/>
    <w:rsid w:val="0063332A"/>
    <w:rsid w:val="00634883"/>
    <w:rsid w:val="0063561B"/>
    <w:rsid w:val="00636042"/>
    <w:rsid w:val="006372D6"/>
    <w:rsid w:val="00637723"/>
    <w:rsid w:val="006377F2"/>
    <w:rsid w:val="006378AF"/>
    <w:rsid w:val="00637C8F"/>
    <w:rsid w:val="00640314"/>
    <w:rsid w:val="00641DF3"/>
    <w:rsid w:val="006432F7"/>
    <w:rsid w:val="00644AB0"/>
    <w:rsid w:val="00645F9D"/>
    <w:rsid w:val="0064625C"/>
    <w:rsid w:val="00646B81"/>
    <w:rsid w:val="00646CD0"/>
    <w:rsid w:val="006477A1"/>
    <w:rsid w:val="006501B2"/>
    <w:rsid w:val="00650238"/>
    <w:rsid w:val="00650AE7"/>
    <w:rsid w:val="00653482"/>
    <w:rsid w:val="00655A59"/>
    <w:rsid w:val="00655B25"/>
    <w:rsid w:val="006617D9"/>
    <w:rsid w:val="006620EF"/>
    <w:rsid w:val="00664341"/>
    <w:rsid w:val="00665BA7"/>
    <w:rsid w:val="0066641F"/>
    <w:rsid w:val="006666A9"/>
    <w:rsid w:val="00667BC4"/>
    <w:rsid w:val="00670284"/>
    <w:rsid w:val="0067131B"/>
    <w:rsid w:val="0067160B"/>
    <w:rsid w:val="00673B4A"/>
    <w:rsid w:val="00673B55"/>
    <w:rsid w:val="00680C6A"/>
    <w:rsid w:val="006815B5"/>
    <w:rsid w:val="00681F13"/>
    <w:rsid w:val="00682150"/>
    <w:rsid w:val="0068253B"/>
    <w:rsid w:val="00682A2B"/>
    <w:rsid w:val="0068463D"/>
    <w:rsid w:val="00684A3D"/>
    <w:rsid w:val="00684B53"/>
    <w:rsid w:val="00684F28"/>
    <w:rsid w:val="006859B7"/>
    <w:rsid w:val="00685FA8"/>
    <w:rsid w:val="00686E5F"/>
    <w:rsid w:val="00690087"/>
    <w:rsid w:val="006911C2"/>
    <w:rsid w:val="006915A4"/>
    <w:rsid w:val="0069319E"/>
    <w:rsid w:val="00693ED9"/>
    <w:rsid w:val="006942CC"/>
    <w:rsid w:val="006942FD"/>
    <w:rsid w:val="00694370"/>
    <w:rsid w:val="00695761"/>
    <w:rsid w:val="0069598F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C4D"/>
    <w:rsid w:val="006B4272"/>
    <w:rsid w:val="006B44C5"/>
    <w:rsid w:val="006B5D33"/>
    <w:rsid w:val="006B61A7"/>
    <w:rsid w:val="006B70AA"/>
    <w:rsid w:val="006C06BB"/>
    <w:rsid w:val="006C0EB2"/>
    <w:rsid w:val="006C296C"/>
    <w:rsid w:val="006C33DC"/>
    <w:rsid w:val="006C345B"/>
    <w:rsid w:val="006C3736"/>
    <w:rsid w:val="006C4C02"/>
    <w:rsid w:val="006C7B45"/>
    <w:rsid w:val="006D0182"/>
    <w:rsid w:val="006D02FC"/>
    <w:rsid w:val="006D045A"/>
    <w:rsid w:val="006D04C5"/>
    <w:rsid w:val="006D35BB"/>
    <w:rsid w:val="006D4196"/>
    <w:rsid w:val="006D4807"/>
    <w:rsid w:val="006D523B"/>
    <w:rsid w:val="006D6107"/>
    <w:rsid w:val="006D62DA"/>
    <w:rsid w:val="006D7C77"/>
    <w:rsid w:val="006E1628"/>
    <w:rsid w:val="006E1648"/>
    <w:rsid w:val="006E20D2"/>
    <w:rsid w:val="006E241F"/>
    <w:rsid w:val="006E2C59"/>
    <w:rsid w:val="006E3176"/>
    <w:rsid w:val="006E404D"/>
    <w:rsid w:val="006E6851"/>
    <w:rsid w:val="006E763F"/>
    <w:rsid w:val="006E7C2F"/>
    <w:rsid w:val="006E7F7F"/>
    <w:rsid w:val="006F0033"/>
    <w:rsid w:val="006F1255"/>
    <w:rsid w:val="006F19A0"/>
    <w:rsid w:val="006F25C9"/>
    <w:rsid w:val="006F2C90"/>
    <w:rsid w:val="006F3F93"/>
    <w:rsid w:val="006F452F"/>
    <w:rsid w:val="006F46B0"/>
    <w:rsid w:val="006F4714"/>
    <w:rsid w:val="006F4DE7"/>
    <w:rsid w:val="006F4F59"/>
    <w:rsid w:val="006F6024"/>
    <w:rsid w:val="006F6663"/>
    <w:rsid w:val="006F6C05"/>
    <w:rsid w:val="006F6C51"/>
    <w:rsid w:val="006F71E5"/>
    <w:rsid w:val="007002CC"/>
    <w:rsid w:val="00700F94"/>
    <w:rsid w:val="00701AC7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7AC"/>
    <w:rsid w:val="00721CAE"/>
    <w:rsid w:val="0072268E"/>
    <w:rsid w:val="007229F9"/>
    <w:rsid w:val="00722BF3"/>
    <w:rsid w:val="00723F96"/>
    <w:rsid w:val="00724532"/>
    <w:rsid w:val="007251A1"/>
    <w:rsid w:val="007251D1"/>
    <w:rsid w:val="00725708"/>
    <w:rsid w:val="00725D94"/>
    <w:rsid w:val="007262F7"/>
    <w:rsid w:val="007264E0"/>
    <w:rsid w:val="00726878"/>
    <w:rsid w:val="00726CE6"/>
    <w:rsid w:val="00726FE1"/>
    <w:rsid w:val="00727BCF"/>
    <w:rsid w:val="00732509"/>
    <w:rsid w:val="00734269"/>
    <w:rsid w:val="007344D5"/>
    <w:rsid w:val="00741F36"/>
    <w:rsid w:val="00742561"/>
    <w:rsid w:val="00742C91"/>
    <w:rsid w:val="00743FE0"/>
    <w:rsid w:val="00745EED"/>
    <w:rsid w:val="0074621C"/>
    <w:rsid w:val="007467CE"/>
    <w:rsid w:val="00750341"/>
    <w:rsid w:val="0075046C"/>
    <w:rsid w:val="007516D8"/>
    <w:rsid w:val="00752E6A"/>
    <w:rsid w:val="007539FD"/>
    <w:rsid w:val="00754758"/>
    <w:rsid w:val="00755063"/>
    <w:rsid w:val="00755346"/>
    <w:rsid w:val="0075569A"/>
    <w:rsid w:val="00757015"/>
    <w:rsid w:val="0075785D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D68"/>
    <w:rsid w:val="0078551E"/>
    <w:rsid w:val="00786504"/>
    <w:rsid w:val="00786768"/>
    <w:rsid w:val="00786993"/>
    <w:rsid w:val="007877D4"/>
    <w:rsid w:val="007900F8"/>
    <w:rsid w:val="0079085D"/>
    <w:rsid w:val="00791D30"/>
    <w:rsid w:val="00794B44"/>
    <w:rsid w:val="0079594D"/>
    <w:rsid w:val="0079619A"/>
    <w:rsid w:val="007968A5"/>
    <w:rsid w:val="0079718E"/>
    <w:rsid w:val="00797F9C"/>
    <w:rsid w:val="007A06A4"/>
    <w:rsid w:val="007A1AEE"/>
    <w:rsid w:val="007A1FF8"/>
    <w:rsid w:val="007A44D3"/>
    <w:rsid w:val="007A4C16"/>
    <w:rsid w:val="007A606F"/>
    <w:rsid w:val="007A6911"/>
    <w:rsid w:val="007A6F69"/>
    <w:rsid w:val="007B057F"/>
    <w:rsid w:val="007B136D"/>
    <w:rsid w:val="007B1B9D"/>
    <w:rsid w:val="007B1F38"/>
    <w:rsid w:val="007B202D"/>
    <w:rsid w:val="007B426D"/>
    <w:rsid w:val="007B501A"/>
    <w:rsid w:val="007B51B6"/>
    <w:rsid w:val="007B6297"/>
    <w:rsid w:val="007B67B0"/>
    <w:rsid w:val="007B6941"/>
    <w:rsid w:val="007C00E9"/>
    <w:rsid w:val="007C14A2"/>
    <w:rsid w:val="007C1F67"/>
    <w:rsid w:val="007C2644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C83"/>
    <w:rsid w:val="007D22CE"/>
    <w:rsid w:val="007D368A"/>
    <w:rsid w:val="007D3B89"/>
    <w:rsid w:val="007D4483"/>
    <w:rsid w:val="007D5583"/>
    <w:rsid w:val="007D6732"/>
    <w:rsid w:val="007D697F"/>
    <w:rsid w:val="007D6B58"/>
    <w:rsid w:val="007D6B69"/>
    <w:rsid w:val="007D6EEA"/>
    <w:rsid w:val="007D7B7D"/>
    <w:rsid w:val="007E2064"/>
    <w:rsid w:val="007E24C3"/>
    <w:rsid w:val="007E2A88"/>
    <w:rsid w:val="007E2B53"/>
    <w:rsid w:val="007E30D2"/>
    <w:rsid w:val="007E3E9E"/>
    <w:rsid w:val="007E667D"/>
    <w:rsid w:val="007E6E70"/>
    <w:rsid w:val="007E7B3B"/>
    <w:rsid w:val="007F0525"/>
    <w:rsid w:val="007F0C28"/>
    <w:rsid w:val="007F1006"/>
    <w:rsid w:val="007F11EE"/>
    <w:rsid w:val="007F186F"/>
    <w:rsid w:val="007F18CD"/>
    <w:rsid w:val="007F5CF4"/>
    <w:rsid w:val="007F5CFD"/>
    <w:rsid w:val="00800D00"/>
    <w:rsid w:val="00802307"/>
    <w:rsid w:val="008029C8"/>
    <w:rsid w:val="008033A8"/>
    <w:rsid w:val="00804049"/>
    <w:rsid w:val="00805A0D"/>
    <w:rsid w:val="00805A65"/>
    <w:rsid w:val="00805C79"/>
    <w:rsid w:val="00810268"/>
    <w:rsid w:val="00811F6A"/>
    <w:rsid w:val="0081333D"/>
    <w:rsid w:val="008135E1"/>
    <w:rsid w:val="008139C6"/>
    <w:rsid w:val="00813D64"/>
    <w:rsid w:val="00815830"/>
    <w:rsid w:val="00816301"/>
    <w:rsid w:val="00817672"/>
    <w:rsid w:val="00817787"/>
    <w:rsid w:val="00817DFA"/>
    <w:rsid w:val="0082002F"/>
    <w:rsid w:val="008201A2"/>
    <w:rsid w:val="008202A5"/>
    <w:rsid w:val="00820A9A"/>
    <w:rsid w:val="00820EB5"/>
    <w:rsid w:val="0082108E"/>
    <w:rsid w:val="00821298"/>
    <w:rsid w:val="0082286C"/>
    <w:rsid w:val="00824D70"/>
    <w:rsid w:val="00824F73"/>
    <w:rsid w:val="008272F1"/>
    <w:rsid w:val="008323D9"/>
    <w:rsid w:val="008341B7"/>
    <w:rsid w:val="00834804"/>
    <w:rsid w:val="008353EA"/>
    <w:rsid w:val="00836BD1"/>
    <w:rsid w:val="00836DBC"/>
    <w:rsid w:val="00840735"/>
    <w:rsid w:val="00842194"/>
    <w:rsid w:val="00842802"/>
    <w:rsid w:val="00842850"/>
    <w:rsid w:val="00842875"/>
    <w:rsid w:val="00843E01"/>
    <w:rsid w:val="00844D1E"/>
    <w:rsid w:val="00844D4F"/>
    <w:rsid w:val="00845340"/>
    <w:rsid w:val="008458B2"/>
    <w:rsid w:val="00847C01"/>
    <w:rsid w:val="00847CA7"/>
    <w:rsid w:val="008503A8"/>
    <w:rsid w:val="008517F8"/>
    <w:rsid w:val="0085330D"/>
    <w:rsid w:val="00853F1B"/>
    <w:rsid w:val="00854010"/>
    <w:rsid w:val="008543A8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66CE6"/>
    <w:rsid w:val="00867298"/>
    <w:rsid w:val="00871F3B"/>
    <w:rsid w:val="00872179"/>
    <w:rsid w:val="00872796"/>
    <w:rsid w:val="008728B4"/>
    <w:rsid w:val="00872BB2"/>
    <w:rsid w:val="00874081"/>
    <w:rsid w:val="00875E04"/>
    <w:rsid w:val="008769A9"/>
    <w:rsid w:val="008776A7"/>
    <w:rsid w:val="00877EAB"/>
    <w:rsid w:val="00881CD6"/>
    <w:rsid w:val="0088309E"/>
    <w:rsid w:val="00884B54"/>
    <w:rsid w:val="0088510C"/>
    <w:rsid w:val="008863D3"/>
    <w:rsid w:val="00886A4B"/>
    <w:rsid w:val="008903E7"/>
    <w:rsid w:val="00892F31"/>
    <w:rsid w:val="00893C5D"/>
    <w:rsid w:val="00893D3E"/>
    <w:rsid w:val="0089445F"/>
    <w:rsid w:val="00895A64"/>
    <w:rsid w:val="00896C25"/>
    <w:rsid w:val="00896D95"/>
    <w:rsid w:val="00896F4F"/>
    <w:rsid w:val="00897C4B"/>
    <w:rsid w:val="008A037F"/>
    <w:rsid w:val="008A0940"/>
    <w:rsid w:val="008A173A"/>
    <w:rsid w:val="008A1FDB"/>
    <w:rsid w:val="008A22F9"/>
    <w:rsid w:val="008A35AD"/>
    <w:rsid w:val="008A425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6C5"/>
    <w:rsid w:val="008B7F79"/>
    <w:rsid w:val="008C0585"/>
    <w:rsid w:val="008C08C0"/>
    <w:rsid w:val="008C0E34"/>
    <w:rsid w:val="008C1861"/>
    <w:rsid w:val="008C1C94"/>
    <w:rsid w:val="008C25AC"/>
    <w:rsid w:val="008C30F5"/>
    <w:rsid w:val="008C35E7"/>
    <w:rsid w:val="008C3A49"/>
    <w:rsid w:val="008C3BF6"/>
    <w:rsid w:val="008C3FA4"/>
    <w:rsid w:val="008C4000"/>
    <w:rsid w:val="008C42D7"/>
    <w:rsid w:val="008C4679"/>
    <w:rsid w:val="008C4A13"/>
    <w:rsid w:val="008C5EDC"/>
    <w:rsid w:val="008C6391"/>
    <w:rsid w:val="008D2F9E"/>
    <w:rsid w:val="008D3755"/>
    <w:rsid w:val="008D38C7"/>
    <w:rsid w:val="008D40B6"/>
    <w:rsid w:val="008D4E95"/>
    <w:rsid w:val="008D4EC7"/>
    <w:rsid w:val="008D4FB1"/>
    <w:rsid w:val="008D5622"/>
    <w:rsid w:val="008D6073"/>
    <w:rsid w:val="008D68F1"/>
    <w:rsid w:val="008D77E0"/>
    <w:rsid w:val="008D7847"/>
    <w:rsid w:val="008E01AC"/>
    <w:rsid w:val="008E29B9"/>
    <w:rsid w:val="008E2B02"/>
    <w:rsid w:val="008E2BDE"/>
    <w:rsid w:val="008E2C8D"/>
    <w:rsid w:val="008E4023"/>
    <w:rsid w:val="008E4E07"/>
    <w:rsid w:val="008E59F7"/>
    <w:rsid w:val="008E5B69"/>
    <w:rsid w:val="008E63B9"/>
    <w:rsid w:val="008E6582"/>
    <w:rsid w:val="008E6769"/>
    <w:rsid w:val="008E6E76"/>
    <w:rsid w:val="008E711A"/>
    <w:rsid w:val="008E7E08"/>
    <w:rsid w:val="008E7ED1"/>
    <w:rsid w:val="008F0A87"/>
    <w:rsid w:val="008F2023"/>
    <w:rsid w:val="008F2FA1"/>
    <w:rsid w:val="008F3A86"/>
    <w:rsid w:val="008F4C12"/>
    <w:rsid w:val="008F4FFE"/>
    <w:rsid w:val="008F66F8"/>
    <w:rsid w:val="008F6A52"/>
    <w:rsid w:val="008F6B6F"/>
    <w:rsid w:val="008F6C20"/>
    <w:rsid w:val="00900826"/>
    <w:rsid w:val="00900923"/>
    <w:rsid w:val="0090483C"/>
    <w:rsid w:val="00904EC1"/>
    <w:rsid w:val="00904F35"/>
    <w:rsid w:val="0090582A"/>
    <w:rsid w:val="00907454"/>
    <w:rsid w:val="00907754"/>
    <w:rsid w:val="00907DC8"/>
    <w:rsid w:val="0091097D"/>
    <w:rsid w:val="009110BE"/>
    <w:rsid w:val="009133E7"/>
    <w:rsid w:val="00916B40"/>
    <w:rsid w:val="00916E5E"/>
    <w:rsid w:val="00917D81"/>
    <w:rsid w:val="00922003"/>
    <w:rsid w:val="009238B6"/>
    <w:rsid w:val="00923CD6"/>
    <w:rsid w:val="00923F84"/>
    <w:rsid w:val="00925376"/>
    <w:rsid w:val="00925D03"/>
    <w:rsid w:val="00926845"/>
    <w:rsid w:val="009304DE"/>
    <w:rsid w:val="009314BA"/>
    <w:rsid w:val="009326CC"/>
    <w:rsid w:val="009334D1"/>
    <w:rsid w:val="0093353B"/>
    <w:rsid w:val="00934180"/>
    <w:rsid w:val="009342CB"/>
    <w:rsid w:val="00934302"/>
    <w:rsid w:val="009348A6"/>
    <w:rsid w:val="00934A7D"/>
    <w:rsid w:val="00934E03"/>
    <w:rsid w:val="00935030"/>
    <w:rsid w:val="0094107F"/>
    <w:rsid w:val="00941301"/>
    <w:rsid w:val="0094180D"/>
    <w:rsid w:val="00941D37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F11"/>
    <w:rsid w:val="00962260"/>
    <w:rsid w:val="00962584"/>
    <w:rsid w:val="00964364"/>
    <w:rsid w:val="00964672"/>
    <w:rsid w:val="0096541D"/>
    <w:rsid w:val="00965813"/>
    <w:rsid w:val="00966BF3"/>
    <w:rsid w:val="009676D3"/>
    <w:rsid w:val="00970533"/>
    <w:rsid w:val="00970B10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1900"/>
    <w:rsid w:val="00983799"/>
    <w:rsid w:val="009839A8"/>
    <w:rsid w:val="00985833"/>
    <w:rsid w:val="009873DE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CC3"/>
    <w:rsid w:val="009A78C4"/>
    <w:rsid w:val="009A7FE5"/>
    <w:rsid w:val="009B00AD"/>
    <w:rsid w:val="009B024B"/>
    <w:rsid w:val="009B2057"/>
    <w:rsid w:val="009B4EC8"/>
    <w:rsid w:val="009B5923"/>
    <w:rsid w:val="009B7429"/>
    <w:rsid w:val="009B7980"/>
    <w:rsid w:val="009B7F64"/>
    <w:rsid w:val="009C003E"/>
    <w:rsid w:val="009C083B"/>
    <w:rsid w:val="009C0FA3"/>
    <w:rsid w:val="009C2482"/>
    <w:rsid w:val="009C2959"/>
    <w:rsid w:val="009C3368"/>
    <w:rsid w:val="009C373A"/>
    <w:rsid w:val="009C3817"/>
    <w:rsid w:val="009C3A9C"/>
    <w:rsid w:val="009C4A0F"/>
    <w:rsid w:val="009C4AF7"/>
    <w:rsid w:val="009C4D1D"/>
    <w:rsid w:val="009C5264"/>
    <w:rsid w:val="009C561D"/>
    <w:rsid w:val="009C588E"/>
    <w:rsid w:val="009C66BE"/>
    <w:rsid w:val="009C6EBE"/>
    <w:rsid w:val="009C7010"/>
    <w:rsid w:val="009D05C2"/>
    <w:rsid w:val="009D0805"/>
    <w:rsid w:val="009D0EC2"/>
    <w:rsid w:val="009D0F84"/>
    <w:rsid w:val="009D31E7"/>
    <w:rsid w:val="009D3CFE"/>
    <w:rsid w:val="009D5D63"/>
    <w:rsid w:val="009D6BA8"/>
    <w:rsid w:val="009D7ED9"/>
    <w:rsid w:val="009E0558"/>
    <w:rsid w:val="009E21D5"/>
    <w:rsid w:val="009E286C"/>
    <w:rsid w:val="009E2C26"/>
    <w:rsid w:val="009E3384"/>
    <w:rsid w:val="009E41A4"/>
    <w:rsid w:val="009E6366"/>
    <w:rsid w:val="009E680B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07896"/>
    <w:rsid w:val="00A07ED5"/>
    <w:rsid w:val="00A1011F"/>
    <w:rsid w:val="00A123E9"/>
    <w:rsid w:val="00A1259D"/>
    <w:rsid w:val="00A13732"/>
    <w:rsid w:val="00A13995"/>
    <w:rsid w:val="00A159CE"/>
    <w:rsid w:val="00A20FCF"/>
    <w:rsid w:val="00A21405"/>
    <w:rsid w:val="00A22F48"/>
    <w:rsid w:val="00A232B9"/>
    <w:rsid w:val="00A24277"/>
    <w:rsid w:val="00A27784"/>
    <w:rsid w:val="00A3032D"/>
    <w:rsid w:val="00A30D33"/>
    <w:rsid w:val="00A31414"/>
    <w:rsid w:val="00A31AF1"/>
    <w:rsid w:val="00A32452"/>
    <w:rsid w:val="00A32E1E"/>
    <w:rsid w:val="00A33E1B"/>
    <w:rsid w:val="00A35DDF"/>
    <w:rsid w:val="00A3622A"/>
    <w:rsid w:val="00A370B5"/>
    <w:rsid w:val="00A40230"/>
    <w:rsid w:val="00A40DDB"/>
    <w:rsid w:val="00A415F5"/>
    <w:rsid w:val="00A42576"/>
    <w:rsid w:val="00A42AAB"/>
    <w:rsid w:val="00A42F96"/>
    <w:rsid w:val="00A43045"/>
    <w:rsid w:val="00A435CD"/>
    <w:rsid w:val="00A456F9"/>
    <w:rsid w:val="00A45883"/>
    <w:rsid w:val="00A46574"/>
    <w:rsid w:val="00A509CA"/>
    <w:rsid w:val="00A512CC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2E8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5E6F"/>
    <w:rsid w:val="00A8693F"/>
    <w:rsid w:val="00A86C60"/>
    <w:rsid w:val="00A86E6B"/>
    <w:rsid w:val="00A87258"/>
    <w:rsid w:val="00A87846"/>
    <w:rsid w:val="00A911FC"/>
    <w:rsid w:val="00A918F7"/>
    <w:rsid w:val="00A94D90"/>
    <w:rsid w:val="00A95A5E"/>
    <w:rsid w:val="00A96016"/>
    <w:rsid w:val="00A97651"/>
    <w:rsid w:val="00AA007A"/>
    <w:rsid w:val="00AA0AF9"/>
    <w:rsid w:val="00AA0C78"/>
    <w:rsid w:val="00AA1DB9"/>
    <w:rsid w:val="00AA2A7F"/>
    <w:rsid w:val="00AA38AA"/>
    <w:rsid w:val="00AA3F4B"/>
    <w:rsid w:val="00AA44BC"/>
    <w:rsid w:val="00AA4500"/>
    <w:rsid w:val="00AA4F06"/>
    <w:rsid w:val="00AA55ED"/>
    <w:rsid w:val="00AA5B78"/>
    <w:rsid w:val="00AA6BBB"/>
    <w:rsid w:val="00AB158D"/>
    <w:rsid w:val="00AB1968"/>
    <w:rsid w:val="00AB1BAF"/>
    <w:rsid w:val="00AB2ED1"/>
    <w:rsid w:val="00AB5860"/>
    <w:rsid w:val="00AB5922"/>
    <w:rsid w:val="00AC1338"/>
    <w:rsid w:val="00AC14D1"/>
    <w:rsid w:val="00AC292D"/>
    <w:rsid w:val="00AC3496"/>
    <w:rsid w:val="00AC3DC8"/>
    <w:rsid w:val="00AC42E1"/>
    <w:rsid w:val="00AC4335"/>
    <w:rsid w:val="00AC4C59"/>
    <w:rsid w:val="00AC4D17"/>
    <w:rsid w:val="00AC4F57"/>
    <w:rsid w:val="00AC6019"/>
    <w:rsid w:val="00AC6892"/>
    <w:rsid w:val="00AD098C"/>
    <w:rsid w:val="00AD0F1E"/>
    <w:rsid w:val="00AD2D55"/>
    <w:rsid w:val="00AD2FB8"/>
    <w:rsid w:val="00AD41A1"/>
    <w:rsid w:val="00AE0A6A"/>
    <w:rsid w:val="00AE0D5E"/>
    <w:rsid w:val="00AE1F07"/>
    <w:rsid w:val="00AE2C3C"/>
    <w:rsid w:val="00AE54C5"/>
    <w:rsid w:val="00AE5FAD"/>
    <w:rsid w:val="00AF1A97"/>
    <w:rsid w:val="00AF1BEE"/>
    <w:rsid w:val="00AF241B"/>
    <w:rsid w:val="00AF3A53"/>
    <w:rsid w:val="00AF3E8D"/>
    <w:rsid w:val="00AF48AD"/>
    <w:rsid w:val="00AF5C48"/>
    <w:rsid w:val="00AF64B9"/>
    <w:rsid w:val="00AF7EB9"/>
    <w:rsid w:val="00B00F30"/>
    <w:rsid w:val="00B02CD9"/>
    <w:rsid w:val="00B0366F"/>
    <w:rsid w:val="00B04626"/>
    <w:rsid w:val="00B0636E"/>
    <w:rsid w:val="00B06C31"/>
    <w:rsid w:val="00B07649"/>
    <w:rsid w:val="00B07C9E"/>
    <w:rsid w:val="00B07DE3"/>
    <w:rsid w:val="00B1025E"/>
    <w:rsid w:val="00B10D12"/>
    <w:rsid w:val="00B11042"/>
    <w:rsid w:val="00B116F8"/>
    <w:rsid w:val="00B11FCA"/>
    <w:rsid w:val="00B12C89"/>
    <w:rsid w:val="00B13BE6"/>
    <w:rsid w:val="00B14308"/>
    <w:rsid w:val="00B171A1"/>
    <w:rsid w:val="00B1791A"/>
    <w:rsid w:val="00B17B18"/>
    <w:rsid w:val="00B202C5"/>
    <w:rsid w:val="00B20785"/>
    <w:rsid w:val="00B215CB"/>
    <w:rsid w:val="00B219B5"/>
    <w:rsid w:val="00B2254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BFF"/>
    <w:rsid w:val="00B33723"/>
    <w:rsid w:val="00B33FBF"/>
    <w:rsid w:val="00B3446C"/>
    <w:rsid w:val="00B34898"/>
    <w:rsid w:val="00B34E1A"/>
    <w:rsid w:val="00B35752"/>
    <w:rsid w:val="00B35F79"/>
    <w:rsid w:val="00B35FA0"/>
    <w:rsid w:val="00B3675D"/>
    <w:rsid w:val="00B36925"/>
    <w:rsid w:val="00B37663"/>
    <w:rsid w:val="00B40C97"/>
    <w:rsid w:val="00B41B0E"/>
    <w:rsid w:val="00B428A1"/>
    <w:rsid w:val="00B42AD0"/>
    <w:rsid w:val="00B43E78"/>
    <w:rsid w:val="00B4444E"/>
    <w:rsid w:val="00B4710E"/>
    <w:rsid w:val="00B506E0"/>
    <w:rsid w:val="00B50769"/>
    <w:rsid w:val="00B5110D"/>
    <w:rsid w:val="00B51B5E"/>
    <w:rsid w:val="00B52B85"/>
    <w:rsid w:val="00B52C1C"/>
    <w:rsid w:val="00B52CEE"/>
    <w:rsid w:val="00B54EA8"/>
    <w:rsid w:val="00B55899"/>
    <w:rsid w:val="00B56763"/>
    <w:rsid w:val="00B56F33"/>
    <w:rsid w:val="00B56F4B"/>
    <w:rsid w:val="00B6080C"/>
    <w:rsid w:val="00B608CA"/>
    <w:rsid w:val="00B60C55"/>
    <w:rsid w:val="00B60E92"/>
    <w:rsid w:val="00B6159A"/>
    <w:rsid w:val="00B6501E"/>
    <w:rsid w:val="00B66AB1"/>
    <w:rsid w:val="00B670CC"/>
    <w:rsid w:val="00B67C24"/>
    <w:rsid w:val="00B707DD"/>
    <w:rsid w:val="00B714F5"/>
    <w:rsid w:val="00B7190A"/>
    <w:rsid w:val="00B72378"/>
    <w:rsid w:val="00B731CE"/>
    <w:rsid w:val="00B7475F"/>
    <w:rsid w:val="00B75D0D"/>
    <w:rsid w:val="00B77969"/>
    <w:rsid w:val="00B82EA4"/>
    <w:rsid w:val="00B83275"/>
    <w:rsid w:val="00B840DF"/>
    <w:rsid w:val="00B8478F"/>
    <w:rsid w:val="00B8581B"/>
    <w:rsid w:val="00B86BD9"/>
    <w:rsid w:val="00B86DB3"/>
    <w:rsid w:val="00B87107"/>
    <w:rsid w:val="00B87221"/>
    <w:rsid w:val="00B87D52"/>
    <w:rsid w:val="00B90035"/>
    <w:rsid w:val="00B90890"/>
    <w:rsid w:val="00B92EAC"/>
    <w:rsid w:val="00B93319"/>
    <w:rsid w:val="00B936D5"/>
    <w:rsid w:val="00B95188"/>
    <w:rsid w:val="00B95764"/>
    <w:rsid w:val="00B96397"/>
    <w:rsid w:val="00B96532"/>
    <w:rsid w:val="00B97B2E"/>
    <w:rsid w:val="00BA0623"/>
    <w:rsid w:val="00BA09EC"/>
    <w:rsid w:val="00BA0BB0"/>
    <w:rsid w:val="00BA1490"/>
    <w:rsid w:val="00BA1CBA"/>
    <w:rsid w:val="00BA2807"/>
    <w:rsid w:val="00BA482B"/>
    <w:rsid w:val="00BB031B"/>
    <w:rsid w:val="00BB0AFB"/>
    <w:rsid w:val="00BB2B77"/>
    <w:rsid w:val="00BB3140"/>
    <w:rsid w:val="00BB3322"/>
    <w:rsid w:val="00BB3959"/>
    <w:rsid w:val="00BB3E52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812"/>
    <w:rsid w:val="00BC3F5E"/>
    <w:rsid w:val="00BC416C"/>
    <w:rsid w:val="00BC4820"/>
    <w:rsid w:val="00BC572F"/>
    <w:rsid w:val="00BC6090"/>
    <w:rsid w:val="00BD03FF"/>
    <w:rsid w:val="00BD0654"/>
    <w:rsid w:val="00BD0C71"/>
    <w:rsid w:val="00BD29DD"/>
    <w:rsid w:val="00BD3F24"/>
    <w:rsid w:val="00BD603C"/>
    <w:rsid w:val="00BD60C0"/>
    <w:rsid w:val="00BE06B9"/>
    <w:rsid w:val="00BE4527"/>
    <w:rsid w:val="00BE6734"/>
    <w:rsid w:val="00BF08CD"/>
    <w:rsid w:val="00BF0BD8"/>
    <w:rsid w:val="00BF15C2"/>
    <w:rsid w:val="00BF2D39"/>
    <w:rsid w:val="00BF2F8A"/>
    <w:rsid w:val="00BF3AD9"/>
    <w:rsid w:val="00BF414A"/>
    <w:rsid w:val="00BF4360"/>
    <w:rsid w:val="00C00238"/>
    <w:rsid w:val="00C01980"/>
    <w:rsid w:val="00C01C41"/>
    <w:rsid w:val="00C01DC8"/>
    <w:rsid w:val="00C03571"/>
    <w:rsid w:val="00C03CF5"/>
    <w:rsid w:val="00C03D46"/>
    <w:rsid w:val="00C0554D"/>
    <w:rsid w:val="00C05A08"/>
    <w:rsid w:val="00C064A9"/>
    <w:rsid w:val="00C0651F"/>
    <w:rsid w:val="00C109CE"/>
    <w:rsid w:val="00C10F29"/>
    <w:rsid w:val="00C11963"/>
    <w:rsid w:val="00C134BA"/>
    <w:rsid w:val="00C13C65"/>
    <w:rsid w:val="00C14829"/>
    <w:rsid w:val="00C15B68"/>
    <w:rsid w:val="00C166C4"/>
    <w:rsid w:val="00C21978"/>
    <w:rsid w:val="00C21C2C"/>
    <w:rsid w:val="00C2346A"/>
    <w:rsid w:val="00C2651C"/>
    <w:rsid w:val="00C26FE6"/>
    <w:rsid w:val="00C2705C"/>
    <w:rsid w:val="00C272A7"/>
    <w:rsid w:val="00C2734A"/>
    <w:rsid w:val="00C3039A"/>
    <w:rsid w:val="00C3278D"/>
    <w:rsid w:val="00C34974"/>
    <w:rsid w:val="00C3542B"/>
    <w:rsid w:val="00C35956"/>
    <w:rsid w:val="00C361AC"/>
    <w:rsid w:val="00C36548"/>
    <w:rsid w:val="00C36FCD"/>
    <w:rsid w:val="00C36FF7"/>
    <w:rsid w:val="00C374A4"/>
    <w:rsid w:val="00C40714"/>
    <w:rsid w:val="00C4268F"/>
    <w:rsid w:val="00C43B6B"/>
    <w:rsid w:val="00C444B3"/>
    <w:rsid w:val="00C4496F"/>
    <w:rsid w:val="00C452B5"/>
    <w:rsid w:val="00C45DCC"/>
    <w:rsid w:val="00C47D89"/>
    <w:rsid w:val="00C5211B"/>
    <w:rsid w:val="00C53519"/>
    <w:rsid w:val="00C5428A"/>
    <w:rsid w:val="00C5485C"/>
    <w:rsid w:val="00C54913"/>
    <w:rsid w:val="00C5678F"/>
    <w:rsid w:val="00C56A8C"/>
    <w:rsid w:val="00C57E4A"/>
    <w:rsid w:val="00C60815"/>
    <w:rsid w:val="00C60D23"/>
    <w:rsid w:val="00C6135E"/>
    <w:rsid w:val="00C623E0"/>
    <w:rsid w:val="00C62AB7"/>
    <w:rsid w:val="00C62AF3"/>
    <w:rsid w:val="00C62EDC"/>
    <w:rsid w:val="00C70BED"/>
    <w:rsid w:val="00C712D8"/>
    <w:rsid w:val="00C715C8"/>
    <w:rsid w:val="00C71875"/>
    <w:rsid w:val="00C73ED6"/>
    <w:rsid w:val="00C740A7"/>
    <w:rsid w:val="00C7502E"/>
    <w:rsid w:val="00C779D8"/>
    <w:rsid w:val="00C77DF7"/>
    <w:rsid w:val="00C8017B"/>
    <w:rsid w:val="00C805CA"/>
    <w:rsid w:val="00C82B5D"/>
    <w:rsid w:val="00C8333E"/>
    <w:rsid w:val="00C838D4"/>
    <w:rsid w:val="00C8614B"/>
    <w:rsid w:val="00C861A9"/>
    <w:rsid w:val="00C86203"/>
    <w:rsid w:val="00C86330"/>
    <w:rsid w:val="00C905F0"/>
    <w:rsid w:val="00C90826"/>
    <w:rsid w:val="00C91D6D"/>
    <w:rsid w:val="00C92EEB"/>
    <w:rsid w:val="00C93052"/>
    <w:rsid w:val="00C942DD"/>
    <w:rsid w:val="00C94DDF"/>
    <w:rsid w:val="00C95610"/>
    <w:rsid w:val="00C95A50"/>
    <w:rsid w:val="00C964C6"/>
    <w:rsid w:val="00C96526"/>
    <w:rsid w:val="00C97930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3CAA"/>
    <w:rsid w:val="00CB40D6"/>
    <w:rsid w:val="00CB41EC"/>
    <w:rsid w:val="00CB565A"/>
    <w:rsid w:val="00CB5A48"/>
    <w:rsid w:val="00CB5B92"/>
    <w:rsid w:val="00CB68F2"/>
    <w:rsid w:val="00CB7D27"/>
    <w:rsid w:val="00CC0147"/>
    <w:rsid w:val="00CC08EE"/>
    <w:rsid w:val="00CC2807"/>
    <w:rsid w:val="00CC2D52"/>
    <w:rsid w:val="00CC37AA"/>
    <w:rsid w:val="00CC3C75"/>
    <w:rsid w:val="00CC41EE"/>
    <w:rsid w:val="00CC5D02"/>
    <w:rsid w:val="00CC62F9"/>
    <w:rsid w:val="00CC63E4"/>
    <w:rsid w:val="00CD0772"/>
    <w:rsid w:val="00CD0ADC"/>
    <w:rsid w:val="00CD143E"/>
    <w:rsid w:val="00CD167F"/>
    <w:rsid w:val="00CD1F3C"/>
    <w:rsid w:val="00CD2D35"/>
    <w:rsid w:val="00CD42E8"/>
    <w:rsid w:val="00CD44BA"/>
    <w:rsid w:val="00CD4D8A"/>
    <w:rsid w:val="00CD52C9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0F52"/>
    <w:rsid w:val="00CF1C5D"/>
    <w:rsid w:val="00CF1FD5"/>
    <w:rsid w:val="00CF240A"/>
    <w:rsid w:val="00CF2D11"/>
    <w:rsid w:val="00CF301D"/>
    <w:rsid w:val="00CF3CF0"/>
    <w:rsid w:val="00CF4947"/>
    <w:rsid w:val="00CF4A67"/>
    <w:rsid w:val="00CF4D7B"/>
    <w:rsid w:val="00CF5241"/>
    <w:rsid w:val="00CF7B3D"/>
    <w:rsid w:val="00CF7FAB"/>
    <w:rsid w:val="00D02857"/>
    <w:rsid w:val="00D0463F"/>
    <w:rsid w:val="00D04E22"/>
    <w:rsid w:val="00D04ED6"/>
    <w:rsid w:val="00D05F38"/>
    <w:rsid w:val="00D07975"/>
    <w:rsid w:val="00D10C90"/>
    <w:rsid w:val="00D1104D"/>
    <w:rsid w:val="00D112B6"/>
    <w:rsid w:val="00D13DF3"/>
    <w:rsid w:val="00D14044"/>
    <w:rsid w:val="00D14DB8"/>
    <w:rsid w:val="00D15046"/>
    <w:rsid w:val="00D15187"/>
    <w:rsid w:val="00D15351"/>
    <w:rsid w:val="00D165F9"/>
    <w:rsid w:val="00D169C3"/>
    <w:rsid w:val="00D20C33"/>
    <w:rsid w:val="00D22C2A"/>
    <w:rsid w:val="00D24053"/>
    <w:rsid w:val="00D243B7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C7"/>
    <w:rsid w:val="00D43C0B"/>
    <w:rsid w:val="00D44FCE"/>
    <w:rsid w:val="00D46B89"/>
    <w:rsid w:val="00D4723C"/>
    <w:rsid w:val="00D50891"/>
    <w:rsid w:val="00D50A8E"/>
    <w:rsid w:val="00D51608"/>
    <w:rsid w:val="00D53974"/>
    <w:rsid w:val="00D54079"/>
    <w:rsid w:val="00D562A5"/>
    <w:rsid w:val="00D616D9"/>
    <w:rsid w:val="00D62F5D"/>
    <w:rsid w:val="00D62FB9"/>
    <w:rsid w:val="00D64CBA"/>
    <w:rsid w:val="00D65212"/>
    <w:rsid w:val="00D657CE"/>
    <w:rsid w:val="00D65828"/>
    <w:rsid w:val="00D7293D"/>
    <w:rsid w:val="00D733C6"/>
    <w:rsid w:val="00D73683"/>
    <w:rsid w:val="00D73D26"/>
    <w:rsid w:val="00D74A10"/>
    <w:rsid w:val="00D754C0"/>
    <w:rsid w:val="00D75C67"/>
    <w:rsid w:val="00D76EB9"/>
    <w:rsid w:val="00D81A50"/>
    <w:rsid w:val="00D83FF4"/>
    <w:rsid w:val="00D84D34"/>
    <w:rsid w:val="00D85DD7"/>
    <w:rsid w:val="00D863A1"/>
    <w:rsid w:val="00D8670F"/>
    <w:rsid w:val="00D873ED"/>
    <w:rsid w:val="00D92051"/>
    <w:rsid w:val="00D92A30"/>
    <w:rsid w:val="00D92F69"/>
    <w:rsid w:val="00D93A44"/>
    <w:rsid w:val="00D94987"/>
    <w:rsid w:val="00D9551A"/>
    <w:rsid w:val="00D96D38"/>
    <w:rsid w:val="00D97681"/>
    <w:rsid w:val="00D97BC7"/>
    <w:rsid w:val="00D97CB5"/>
    <w:rsid w:val="00DA296B"/>
    <w:rsid w:val="00DA2AF8"/>
    <w:rsid w:val="00DA2BD0"/>
    <w:rsid w:val="00DA47B0"/>
    <w:rsid w:val="00DA6C9E"/>
    <w:rsid w:val="00DA72D4"/>
    <w:rsid w:val="00DB14C9"/>
    <w:rsid w:val="00DB1668"/>
    <w:rsid w:val="00DB1FF9"/>
    <w:rsid w:val="00DB3288"/>
    <w:rsid w:val="00DB68C7"/>
    <w:rsid w:val="00DC00F4"/>
    <w:rsid w:val="00DC0EF1"/>
    <w:rsid w:val="00DC181C"/>
    <w:rsid w:val="00DC1DB7"/>
    <w:rsid w:val="00DC58C8"/>
    <w:rsid w:val="00DC5903"/>
    <w:rsid w:val="00DC6C4A"/>
    <w:rsid w:val="00DD01F3"/>
    <w:rsid w:val="00DD05F9"/>
    <w:rsid w:val="00DD106A"/>
    <w:rsid w:val="00DD31B4"/>
    <w:rsid w:val="00DD4ACA"/>
    <w:rsid w:val="00DD6EA8"/>
    <w:rsid w:val="00DD7A6A"/>
    <w:rsid w:val="00DD7ECB"/>
    <w:rsid w:val="00DE0693"/>
    <w:rsid w:val="00DE079F"/>
    <w:rsid w:val="00DE19DA"/>
    <w:rsid w:val="00DE1A62"/>
    <w:rsid w:val="00DE1FE0"/>
    <w:rsid w:val="00DE4B1A"/>
    <w:rsid w:val="00DE50F2"/>
    <w:rsid w:val="00DE5D4E"/>
    <w:rsid w:val="00DE6140"/>
    <w:rsid w:val="00DE6846"/>
    <w:rsid w:val="00DE69EF"/>
    <w:rsid w:val="00DE6D41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7EC"/>
    <w:rsid w:val="00E007EE"/>
    <w:rsid w:val="00E03800"/>
    <w:rsid w:val="00E05AC7"/>
    <w:rsid w:val="00E05D94"/>
    <w:rsid w:val="00E05F95"/>
    <w:rsid w:val="00E07A99"/>
    <w:rsid w:val="00E1065B"/>
    <w:rsid w:val="00E10A8D"/>
    <w:rsid w:val="00E12A1E"/>
    <w:rsid w:val="00E12F13"/>
    <w:rsid w:val="00E16883"/>
    <w:rsid w:val="00E22316"/>
    <w:rsid w:val="00E22770"/>
    <w:rsid w:val="00E23F79"/>
    <w:rsid w:val="00E2407E"/>
    <w:rsid w:val="00E2425D"/>
    <w:rsid w:val="00E24BF2"/>
    <w:rsid w:val="00E25981"/>
    <w:rsid w:val="00E25E6F"/>
    <w:rsid w:val="00E26395"/>
    <w:rsid w:val="00E267A6"/>
    <w:rsid w:val="00E26DAE"/>
    <w:rsid w:val="00E27846"/>
    <w:rsid w:val="00E27ECD"/>
    <w:rsid w:val="00E31C5B"/>
    <w:rsid w:val="00E33B4C"/>
    <w:rsid w:val="00E33BFE"/>
    <w:rsid w:val="00E33F85"/>
    <w:rsid w:val="00E341A1"/>
    <w:rsid w:val="00E36F3F"/>
    <w:rsid w:val="00E37BD3"/>
    <w:rsid w:val="00E37BEF"/>
    <w:rsid w:val="00E421C0"/>
    <w:rsid w:val="00E42428"/>
    <w:rsid w:val="00E42491"/>
    <w:rsid w:val="00E425C2"/>
    <w:rsid w:val="00E425EE"/>
    <w:rsid w:val="00E456D6"/>
    <w:rsid w:val="00E46665"/>
    <w:rsid w:val="00E46AE8"/>
    <w:rsid w:val="00E4734A"/>
    <w:rsid w:val="00E52515"/>
    <w:rsid w:val="00E52785"/>
    <w:rsid w:val="00E52CCD"/>
    <w:rsid w:val="00E5387B"/>
    <w:rsid w:val="00E545C9"/>
    <w:rsid w:val="00E54830"/>
    <w:rsid w:val="00E54E96"/>
    <w:rsid w:val="00E55A22"/>
    <w:rsid w:val="00E55EFC"/>
    <w:rsid w:val="00E56096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086"/>
    <w:rsid w:val="00E77CE6"/>
    <w:rsid w:val="00E80865"/>
    <w:rsid w:val="00E81047"/>
    <w:rsid w:val="00E8151A"/>
    <w:rsid w:val="00E82094"/>
    <w:rsid w:val="00E8482E"/>
    <w:rsid w:val="00E8581A"/>
    <w:rsid w:val="00E85AC3"/>
    <w:rsid w:val="00E85E3B"/>
    <w:rsid w:val="00E86C7A"/>
    <w:rsid w:val="00E86D36"/>
    <w:rsid w:val="00E905FF"/>
    <w:rsid w:val="00E9162F"/>
    <w:rsid w:val="00E91AD4"/>
    <w:rsid w:val="00E91EAE"/>
    <w:rsid w:val="00E92616"/>
    <w:rsid w:val="00E93301"/>
    <w:rsid w:val="00E93C14"/>
    <w:rsid w:val="00E93E79"/>
    <w:rsid w:val="00E952F6"/>
    <w:rsid w:val="00E95C36"/>
    <w:rsid w:val="00E970EA"/>
    <w:rsid w:val="00EA0057"/>
    <w:rsid w:val="00EA2014"/>
    <w:rsid w:val="00EA29EC"/>
    <w:rsid w:val="00EA5C12"/>
    <w:rsid w:val="00EA7878"/>
    <w:rsid w:val="00EB10EC"/>
    <w:rsid w:val="00EB193E"/>
    <w:rsid w:val="00EB328D"/>
    <w:rsid w:val="00EB597D"/>
    <w:rsid w:val="00EB72AF"/>
    <w:rsid w:val="00EC0CF4"/>
    <w:rsid w:val="00EC135D"/>
    <w:rsid w:val="00EC145A"/>
    <w:rsid w:val="00EC1A9F"/>
    <w:rsid w:val="00EC35A5"/>
    <w:rsid w:val="00EC39EA"/>
    <w:rsid w:val="00EC51CC"/>
    <w:rsid w:val="00EC5540"/>
    <w:rsid w:val="00EC6A3C"/>
    <w:rsid w:val="00EC73D8"/>
    <w:rsid w:val="00EC7573"/>
    <w:rsid w:val="00ED39F8"/>
    <w:rsid w:val="00ED51EE"/>
    <w:rsid w:val="00ED5DEC"/>
    <w:rsid w:val="00ED5FFA"/>
    <w:rsid w:val="00ED65A0"/>
    <w:rsid w:val="00ED6B25"/>
    <w:rsid w:val="00EE0357"/>
    <w:rsid w:val="00EE0B0C"/>
    <w:rsid w:val="00EE1D69"/>
    <w:rsid w:val="00EE1E2E"/>
    <w:rsid w:val="00EE2694"/>
    <w:rsid w:val="00EE4964"/>
    <w:rsid w:val="00EE4C9C"/>
    <w:rsid w:val="00EE4FB6"/>
    <w:rsid w:val="00EE544F"/>
    <w:rsid w:val="00EE54B9"/>
    <w:rsid w:val="00EE5A47"/>
    <w:rsid w:val="00EE67A7"/>
    <w:rsid w:val="00EE6E6A"/>
    <w:rsid w:val="00EE6F69"/>
    <w:rsid w:val="00EE7AB6"/>
    <w:rsid w:val="00EF0E12"/>
    <w:rsid w:val="00EF20AE"/>
    <w:rsid w:val="00EF2A91"/>
    <w:rsid w:val="00EF3FCF"/>
    <w:rsid w:val="00EF4168"/>
    <w:rsid w:val="00EF47B5"/>
    <w:rsid w:val="00EF4965"/>
    <w:rsid w:val="00EF4C2A"/>
    <w:rsid w:val="00EF57B1"/>
    <w:rsid w:val="00EF6368"/>
    <w:rsid w:val="00F004CF"/>
    <w:rsid w:val="00F02EA4"/>
    <w:rsid w:val="00F03882"/>
    <w:rsid w:val="00F0558E"/>
    <w:rsid w:val="00F06DA9"/>
    <w:rsid w:val="00F079F2"/>
    <w:rsid w:val="00F07B14"/>
    <w:rsid w:val="00F100E6"/>
    <w:rsid w:val="00F10383"/>
    <w:rsid w:val="00F111B7"/>
    <w:rsid w:val="00F11A24"/>
    <w:rsid w:val="00F123B0"/>
    <w:rsid w:val="00F12F94"/>
    <w:rsid w:val="00F14921"/>
    <w:rsid w:val="00F1595C"/>
    <w:rsid w:val="00F1784D"/>
    <w:rsid w:val="00F17F4C"/>
    <w:rsid w:val="00F22702"/>
    <w:rsid w:val="00F23626"/>
    <w:rsid w:val="00F23B5E"/>
    <w:rsid w:val="00F24CBF"/>
    <w:rsid w:val="00F24FB1"/>
    <w:rsid w:val="00F2676F"/>
    <w:rsid w:val="00F27339"/>
    <w:rsid w:val="00F3231C"/>
    <w:rsid w:val="00F3268D"/>
    <w:rsid w:val="00F32FE4"/>
    <w:rsid w:val="00F348B7"/>
    <w:rsid w:val="00F34BD1"/>
    <w:rsid w:val="00F35321"/>
    <w:rsid w:val="00F368B7"/>
    <w:rsid w:val="00F37026"/>
    <w:rsid w:val="00F375F2"/>
    <w:rsid w:val="00F377D5"/>
    <w:rsid w:val="00F4042C"/>
    <w:rsid w:val="00F408B0"/>
    <w:rsid w:val="00F41592"/>
    <w:rsid w:val="00F425C6"/>
    <w:rsid w:val="00F42CF3"/>
    <w:rsid w:val="00F433F7"/>
    <w:rsid w:val="00F44337"/>
    <w:rsid w:val="00F444B9"/>
    <w:rsid w:val="00F444F9"/>
    <w:rsid w:val="00F46FDE"/>
    <w:rsid w:val="00F47C76"/>
    <w:rsid w:val="00F500DD"/>
    <w:rsid w:val="00F515EE"/>
    <w:rsid w:val="00F52116"/>
    <w:rsid w:val="00F537F8"/>
    <w:rsid w:val="00F53B50"/>
    <w:rsid w:val="00F54C6A"/>
    <w:rsid w:val="00F5603E"/>
    <w:rsid w:val="00F56364"/>
    <w:rsid w:val="00F57B70"/>
    <w:rsid w:val="00F60038"/>
    <w:rsid w:val="00F60C3B"/>
    <w:rsid w:val="00F61493"/>
    <w:rsid w:val="00F62021"/>
    <w:rsid w:val="00F6223A"/>
    <w:rsid w:val="00F62292"/>
    <w:rsid w:val="00F63C06"/>
    <w:rsid w:val="00F64CEC"/>
    <w:rsid w:val="00F659E8"/>
    <w:rsid w:val="00F65BCE"/>
    <w:rsid w:val="00F67486"/>
    <w:rsid w:val="00F675F6"/>
    <w:rsid w:val="00F707EB"/>
    <w:rsid w:val="00F70AC8"/>
    <w:rsid w:val="00F726EB"/>
    <w:rsid w:val="00F731BD"/>
    <w:rsid w:val="00F760FE"/>
    <w:rsid w:val="00F76301"/>
    <w:rsid w:val="00F76787"/>
    <w:rsid w:val="00F772CB"/>
    <w:rsid w:val="00F775D0"/>
    <w:rsid w:val="00F77AEE"/>
    <w:rsid w:val="00F81F1F"/>
    <w:rsid w:val="00F8379F"/>
    <w:rsid w:val="00F85BF8"/>
    <w:rsid w:val="00F85DDA"/>
    <w:rsid w:val="00F863EF"/>
    <w:rsid w:val="00F865D4"/>
    <w:rsid w:val="00F8687A"/>
    <w:rsid w:val="00F903F0"/>
    <w:rsid w:val="00F9045A"/>
    <w:rsid w:val="00F913E3"/>
    <w:rsid w:val="00F92764"/>
    <w:rsid w:val="00F92EF3"/>
    <w:rsid w:val="00F93335"/>
    <w:rsid w:val="00F93A80"/>
    <w:rsid w:val="00F93F8A"/>
    <w:rsid w:val="00F93FF8"/>
    <w:rsid w:val="00F96392"/>
    <w:rsid w:val="00F973EA"/>
    <w:rsid w:val="00F97C6B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170B"/>
    <w:rsid w:val="00FB1B71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3788"/>
    <w:rsid w:val="00FC403D"/>
    <w:rsid w:val="00FC409C"/>
    <w:rsid w:val="00FC41B7"/>
    <w:rsid w:val="00FC607E"/>
    <w:rsid w:val="00FC6194"/>
    <w:rsid w:val="00FC61A8"/>
    <w:rsid w:val="00FC638E"/>
    <w:rsid w:val="00FC6AD7"/>
    <w:rsid w:val="00FC6C53"/>
    <w:rsid w:val="00FC7BBB"/>
    <w:rsid w:val="00FD1938"/>
    <w:rsid w:val="00FD1A0A"/>
    <w:rsid w:val="00FD2BA4"/>
    <w:rsid w:val="00FD31B9"/>
    <w:rsid w:val="00FD3469"/>
    <w:rsid w:val="00FD428E"/>
    <w:rsid w:val="00FD447C"/>
    <w:rsid w:val="00FD5829"/>
    <w:rsid w:val="00FD60E3"/>
    <w:rsid w:val="00FD67B3"/>
    <w:rsid w:val="00FD7A98"/>
    <w:rsid w:val="00FE07E4"/>
    <w:rsid w:val="00FE20A4"/>
    <w:rsid w:val="00FE238F"/>
    <w:rsid w:val="00FE3445"/>
    <w:rsid w:val="00FE35CD"/>
    <w:rsid w:val="00FE4342"/>
    <w:rsid w:val="00FE46AF"/>
    <w:rsid w:val="00FE4788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588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1F320731"/>
  <w15:docId w15:val="{05120965-0BB4-4E48-900A-26508B6A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en-US" w:eastAsia="en-US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iPriority w:val="99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link w:val="Nadpis4"/>
    <w:uiPriority w:val="99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link w:val="Nadpis5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aliases w:val="Reference numb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aliases w:val="Reference number Char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150B65"/>
    <w:pPr>
      <w:tabs>
        <w:tab w:val="left" w:pos="1200"/>
        <w:tab w:val="right" w:leader="dot" w:pos="9060"/>
      </w:tabs>
      <w:ind w:left="482"/>
    </w:pPr>
    <w:rPr>
      <w:sz w:val="24"/>
    </w:rPr>
  </w:style>
  <w:style w:type="character" w:styleId="Hypertextovprepojenie">
    <w:name w:val="Hyperlink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Colorful List - Accent 11,List Paragraph"/>
    <w:basedOn w:val="Normlny"/>
    <w:link w:val="OdsekzoznamuChar"/>
    <w:uiPriority w:val="34"/>
    <w:qFormat/>
    <w:rsid w:val="00EF3FCF"/>
    <w:pPr>
      <w:ind w:left="720"/>
      <w:contextualSpacing/>
    </w:pPr>
    <w:rPr>
      <w:sz w:val="24"/>
      <w:lang w:val="sk-SK" w:eastAsia="cs-CZ"/>
    </w:rPr>
  </w:style>
  <w:style w:type="character" w:styleId="PouitHypertextovPrepojenie">
    <w:name w:val="FollowedHyperlink"/>
    <w:rsid w:val="00C03D46"/>
    <w:rPr>
      <w:color w:val="C9DD03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  <w:lang w:val="en-US" w:eastAsia="en-US" w:bidi="ar-SA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 w:eastAsia="x-none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qFormat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customStyle="1" w:styleId="Textkoncovejpoznmky">
    <w:name w:val="Text koncovej poznámky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link w:val="Textkoncovejpoznmky"/>
    <w:uiPriority w:val="99"/>
    <w:rsid w:val="00360290"/>
    <w:rPr>
      <w:lang w:val="sk-SK" w:eastAsia="sk-SK"/>
    </w:rPr>
  </w:style>
  <w:style w:type="character" w:customStyle="1" w:styleId="Odkaznakoncovpoznmku">
    <w:name w:val="Odkaz na koncovú poznámku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paragraph" w:customStyle="1" w:styleId="Tab">
    <w:name w:val="_Tab."/>
    <w:basedOn w:val="Normlny"/>
    <w:rsid w:val="00C93052"/>
    <w:pPr>
      <w:numPr>
        <w:numId w:val="6"/>
      </w:numPr>
      <w:spacing w:before="180"/>
    </w:pPr>
    <w:rPr>
      <w:rFonts w:ascii="Calibri" w:eastAsia="Calibri" w:hAnsi="Calibri"/>
      <w:sz w:val="20"/>
      <w:szCs w:val="20"/>
      <w:lang w:val="sk-SK" w:eastAsia="cs-CZ"/>
    </w:rPr>
  </w:style>
  <w:style w:type="character" w:customStyle="1" w:styleId="OdsekzoznamuChar">
    <w:name w:val="Odsek zoznamu Char"/>
    <w:aliases w:val="body Char,Colorful List - Accent 11 Char,List Paragraph Char"/>
    <w:link w:val="Odsekzoznamu"/>
    <w:uiPriority w:val="34"/>
    <w:rsid w:val="00C93052"/>
    <w:rPr>
      <w:rFonts w:ascii="Arial" w:hAnsi="Arial" w:cs="Arial"/>
      <w:sz w:val="24"/>
      <w:szCs w:val="24"/>
      <w:lang w:val="sk-SK" w:eastAsia="cs-CZ"/>
    </w:rPr>
  </w:style>
  <w:style w:type="paragraph" w:customStyle="1" w:styleId="ListNumber1">
    <w:name w:val="List Number 1"/>
    <w:basedOn w:val="Normlny"/>
    <w:rsid w:val="00B3446C"/>
    <w:pPr>
      <w:widowControl w:val="0"/>
      <w:numPr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B3446C"/>
    <w:pPr>
      <w:widowControl w:val="0"/>
      <w:numPr>
        <w:ilvl w:val="1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B3446C"/>
    <w:pPr>
      <w:widowControl w:val="0"/>
      <w:numPr>
        <w:ilvl w:val="2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B3446C"/>
    <w:pPr>
      <w:widowControl w:val="0"/>
      <w:numPr>
        <w:ilvl w:val="3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RKNorm">
    <w:name w:val="SRK Norm."/>
    <w:basedOn w:val="Normlny"/>
    <w:next w:val="Normlny"/>
    <w:rsid w:val="00AC14D1"/>
    <w:pPr>
      <w:numPr>
        <w:numId w:val="59"/>
      </w:numPr>
      <w:spacing w:before="200" w:after="200"/>
      <w:contextualSpacing/>
      <w:jc w:val="both"/>
    </w:pPr>
    <w:rPr>
      <w:rFonts w:ascii="Times New Roman" w:eastAsia="Calibri" w:hAnsi="Times New Roman"/>
      <w:sz w:val="24"/>
      <w:lang w:val="sk-SK" w:eastAsia="sk-SK"/>
    </w:rPr>
  </w:style>
  <w:style w:type="table" w:styleId="Motvtabuky">
    <w:name w:val="Table Theme"/>
    <w:basedOn w:val="Normlnatabuka"/>
    <w:rsid w:val="00F8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rtnerskadohoda.gov.sk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ii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302-sk/usmernenia-a-manualy/" TargetMode="External"/><Relationship Id="rId2" Type="http://schemas.openxmlformats.org/officeDocument/2006/relationships/hyperlink" Target="https://slovensko.sk/sk/navody" TargetMode="External"/><Relationship Id="rId1" Type="http://schemas.openxmlformats.org/officeDocument/2006/relationships/hyperlink" Target="http://www.partnerskadohoda.gov.sk" TargetMode="External"/><Relationship Id="rId4" Type="http://schemas.openxmlformats.org/officeDocument/2006/relationships/hyperlink" Target="http://www.partnerskadohoda.gov.sk/302-sk/usmernenia-a-manual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087381-4D30-4957-BFB0-0B18DD27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14</Pages>
  <Words>5921</Words>
  <Characters>33751</Characters>
  <Application>Microsoft Office Word</Application>
  <DocSecurity>0</DocSecurity>
  <Lines>281</Lines>
  <Paragraphs>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39593</CharactersWithSpaces>
  <SharedDoc>false</SharedDoc>
  <HLinks>
    <vt:vector size="216" baseType="variant">
      <vt:variant>
        <vt:i4>131166</vt:i4>
      </vt:variant>
      <vt:variant>
        <vt:i4>159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156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3276849</vt:i4>
      </vt:variant>
      <vt:variant>
        <vt:i4>144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6291523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kapitola_3211_ods_8</vt:lpwstr>
      </vt:variant>
      <vt:variant>
        <vt:i4>131166</vt:i4>
      </vt:variant>
      <vt:variant>
        <vt:i4>138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135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_Toc438623721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_Toc438623720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_Toc438623719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_Toc438623718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_Toc438623717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_Toc438623716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_Toc438623715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_Toc438623714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_Toc438623713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_Toc438623712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_Toc438623711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_Toc438623710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_Toc438623709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_Toc438623708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_Toc438623707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_Toc438623706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_Toc438623705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_Toc438623704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_Toc438623703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_Toc438623702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_Toc438623701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_Toc438623700</vt:lpwstr>
      </vt:variant>
      <vt:variant>
        <vt:i4>4390977</vt:i4>
      </vt:variant>
      <vt:variant>
        <vt:i4>18</vt:i4>
      </vt:variant>
      <vt:variant>
        <vt:i4>0</vt:i4>
      </vt:variant>
      <vt:variant>
        <vt:i4>5</vt:i4>
      </vt:variant>
      <vt:variant>
        <vt:lpwstr>http://www.gender.gov.sk/</vt:lpwstr>
      </vt:variant>
      <vt:variant>
        <vt:lpwstr/>
      </vt:variant>
      <vt:variant>
        <vt:i4>8061033</vt:i4>
      </vt:variant>
      <vt:variant>
        <vt:i4>15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8061033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3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Čech, Gabriel</cp:lastModifiedBy>
  <cp:revision>58</cp:revision>
  <cp:lastPrinted>2018-10-17T13:10:00Z</cp:lastPrinted>
  <dcterms:created xsi:type="dcterms:W3CDTF">2016-11-30T15:11:00Z</dcterms:created>
  <dcterms:modified xsi:type="dcterms:W3CDTF">2023-05-26T08:37:00Z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