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F96F06" w:rsidRPr="00CE5014" w:rsidRDefault="00F96F06" w:rsidP="00F96F06">
            <w:pPr>
              <w:rPr>
                <w:rFonts w:cs="Times New Roman"/>
                <w:i/>
                <w:color w:val="0000FF"/>
                <w:sz w:val="18"/>
                <w:szCs w:val="18"/>
              </w:rPr>
            </w:pPr>
            <w:r w:rsidRPr="00CE5014">
              <w:rPr>
                <w:rFonts w:cs="Times New Roman"/>
                <w:i/>
                <w:color w:val="0000FF"/>
                <w:sz w:val="18"/>
                <w:szCs w:val="18"/>
              </w:rPr>
              <w:t xml:space="preserve">COV = NFP (EÚ zdroj + spolufinancovanie zo ŠR) + vlastné zdroje prijímateľa </w:t>
            </w:r>
          </w:p>
          <w:p w:rsidR="00C75939" w:rsidRPr="007A3FFB" w:rsidRDefault="00C75939" w:rsidP="00C75939">
            <w:pPr>
              <w:rPr>
                <w:sz w:val="18"/>
                <w:szCs w:val="18"/>
              </w:rPr>
            </w:pPr>
            <w:bookmarkStart w:id="0" w:name="_GoBack"/>
            <w:bookmarkEnd w:id="0"/>
            <w:r>
              <w:rPr>
                <w:rFonts w:cstheme="minorHAnsi"/>
                <w:i/>
                <w:color w:val="FF0000"/>
                <w:sz w:val="18"/>
                <w:szCs w:val="18"/>
              </w:rPr>
              <w:t xml:space="preserve">Príklad: 1 000 €  </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Pr="007A3FFB" w:rsidRDefault="00C75939" w:rsidP="00C75939">
            <w:pPr>
              <w:rPr>
                <w:sz w:val="18"/>
                <w:szCs w:val="18"/>
              </w:rPr>
            </w:pPr>
            <w:r>
              <w:rPr>
                <w:rFonts w:cstheme="minorHAnsi"/>
                <w:i/>
                <w:color w:val="FF0000"/>
                <w:sz w:val="18"/>
                <w:szCs w:val="18"/>
              </w:rPr>
              <w:t>Príklad: 950 €</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lastRenderedPageBreak/>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3E0CB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 xml:space="preserve">hodujúci sa s názvom projektu uvedeným v zozname projektov, ktorý vyjadruje zámer projektu a ktorý bude vo všetkých relevantných častiach ŽoNFP vrátane všetkých príloh </w:t>
            </w:r>
            <w:r w:rsidRPr="002D4CDB">
              <w:rPr>
                <w:rFonts w:cstheme="minorHAnsi"/>
                <w:i/>
                <w:color w:val="0000FF"/>
                <w:sz w:val="18"/>
                <w:szCs w:val="18"/>
              </w:rPr>
              <w:lastRenderedPageBreak/>
              <w:t>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V prípade fázovaného projektu uviesť názov projektu a: „- druhá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 xml:space="preserve">V prípade projektov, ktoré nemajú jednoznačne </w:t>
            </w:r>
            <w:r w:rsidRPr="003E40E3">
              <w:rPr>
                <w:sz w:val="18"/>
                <w:szCs w:val="18"/>
              </w:rPr>
              <w:lastRenderedPageBreak/>
              <w:t>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Pr="007A3FFB"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3E0CBA"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p w:rsidR="00D037C3" w:rsidRPr="007A3FFB" w:rsidRDefault="00D037C3" w:rsidP="003E0CBA">
            <w:pPr>
              <w:rPr>
                <w:sz w:val="18"/>
                <w:szCs w:val="18"/>
              </w:rPr>
            </w:pPr>
            <w:r w:rsidRPr="000771A5">
              <w:rPr>
                <w:rFonts w:cstheme="minorHAnsi"/>
                <w:i/>
                <w:color w:val="FF0000"/>
                <w:sz w:val="18"/>
                <w:szCs w:val="18"/>
              </w:rPr>
              <w:t xml:space="preserve">V prípade fázovaných projektov žiadateľ </w:t>
            </w:r>
            <w:r w:rsidRPr="00F50863">
              <w:rPr>
                <w:rFonts w:cstheme="minorHAnsi"/>
                <w:i/>
                <w:color w:val="FF0000"/>
                <w:sz w:val="18"/>
                <w:szCs w:val="18"/>
              </w:rPr>
              <w:t xml:space="preserve"> </w:t>
            </w:r>
            <w:r w:rsidRPr="00242C4D">
              <w:rPr>
                <w:rFonts w:cstheme="minorHAnsi"/>
                <w:i/>
                <w:color w:val="FF0000"/>
                <w:sz w:val="18"/>
                <w:szCs w:val="18"/>
              </w:rPr>
              <w:t>uvedie informáciu, že projekt nadväzuje na prvú fázu projektu</w:t>
            </w:r>
            <w:r>
              <w:rPr>
                <w:rFonts w:cstheme="minorHAns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 xml:space="preserve">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w:t>
            </w:r>
            <w:r>
              <w:rPr>
                <w:rFonts w:ascii="Calibri" w:hAnsi="Calibri" w:cs="Calibri"/>
                <w:i/>
                <w:color w:val="0000FF"/>
                <w:sz w:val="18"/>
                <w:szCs w:val="18"/>
              </w:rPr>
              <w:lastRenderedPageBreak/>
              <w:t>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P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9. Harmonogram realizácie aktivít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10. Aktivity projektu a očakávané merateľné ukazovatele</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D037C3" w:rsidRDefault="00D037C3" w:rsidP="00D037C3">
            <w:pPr>
              <w:rPr>
                <w:rFonts w:cstheme="minorHAnsi"/>
                <w:i/>
                <w:color w:val="FF0000"/>
                <w:sz w:val="18"/>
                <w:szCs w:val="18"/>
              </w:rPr>
            </w:pPr>
            <w:r w:rsidRPr="008A4F7E">
              <w:rPr>
                <w:rFonts w:cstheme="minorHAnsi"/>
                <w:i/>
                <w:color w:val="FF0000"/>
                <w:sz w:val="18"/>
                <w:szCs w:val="18"/>
              </w:rPr>
              <w:t xml:space="preserve">V prípade fázovaných projektov žiadateľ uvedie aktivity druhej fázy projektu. </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037C3" w:rsidP="00D037C3">
            <w:pPr>
              <w:rPr>
                <w:rFonts w:cstheme="minorHAnsi"/>
                <w:i/>
                <w:color w:val="FF0000"/>
                <w:sz w:val="18"/>
                <w:szCs w:val="18"/>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údaje pre druhú fázu projektu</w:t>
            </w:r>
            <w:r>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4A71C3" w:rsidP="004A71C3">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sumu aj pre informačné </w:t>
            </w:r>
            <w:r>
              <w:rPr>
                <w:rFonts w:cstheme="minorHAnsi"/>
                <w:i/>
                <w:color w:val="FF0000"/>
                <w:sz w:val="18"/>
                <w:szCs w:val="18"/>
              </w:rPr>
              <w:t xml:space="preserve">aktivity </w:t>
            </w:r>
            <w:r w:rsidRPr="00242C4D">
              <w:rPr>
                <w:rFonts w:cstheme="minorHAnsi"/>
                <w:i/>
                <w:color w:val="FF0000"/>
                <w:sz w:val="18"/>
                <w:szCs w:val="18"/>
              </w:rPr>
              <w:t>a pamätnú tabuľu druhej fáz</w:t>
            </w:r>
            <w:r>
              <w:rPr>
                <w:rFonts w:cstheme="minorHAnsi"/>
                <w:i/>
                <w:color w:val="FF0000"/>
                <w:sz w:val="18"/>
                <w:szCs w:val="18"/>
              </w:rPr>
              <w:t>y</w:t>
            </w:r>
            <w:r w:rsidRPr="00242C4D">
              <w:rPr>
                <w:rFonts w:cstheme="minorHAnsi"/>
                <w:i/>
                <w:color w:val="FF0000"/>
                <w:sz w:val="18"/>
                <w:szCs w:val="18"/>
              </w:rPr>
              <w:t xml:space="preserve">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Pr="00362D5C"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28"/>
                <w:szCs w:val="28"/>
              </w:rPr>
              <w:t>11.C  Požadovaná výška 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p w:rsidR="004A71C3" w:rsidRPr="00F96FAE" w:rsidRDefault="004A71C3" w:rsidP="004A71C3">
            <w:pPr>
              <w:widowControl w:val="0"/>
              <w:autoSpaceDE w:val="0"/>
              <w:autoSpaceDN w:val="0"/>
              <w:adjustRightInd w:val="0"/>
              <w:rPr>
                <w:rFonts w:ascii="Roboto" w:hAnsi="Roboto"/>
                <w:sz w:val="24"/>
                <w:szCs w:val="24"/>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 xml:space="preserve"> informácie o verejnom obstarávaní realizovanom aj v rámci prvej fázy projektu.</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p w:rsidR="004A71C3" w:rsidRPr="00E47F5C" w:rsidRDefault="004A71C3" w:rsidP="004A71C3">
            <w:pPr>
              <w:rPr>
                <w:sz w:val="18"/>
                <w:szCs w:val="18"/>
              </w:rPr>
            </w:pPr>
            <w:r w:rsidRPr="00BE657D">
              <w:rPr>
                <w:rFonts w:cstheme="minorHAnsi"/>
                <w:i/>
                <w:color w:val="FF0000"/>
                <w:sz w:val="18"/>
                <w:szCs w:val="18"/>
              </w:rPr>
              <w:t>V prípade fázovaných projektov žiadateľ špecifikuje, či bola v prvej fáze projektu dokumentácia z verejného obstarávania predmetom administratívnej kontroly na RO OPD a uvedie výsledky tejto kontroly.</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941112" w:rsidRPr="00941112" w:rsidRDefault="00941112" w:rsidP="004A71C3">
            <w:pPr>
              <w:pStyle w:val="Odsekzoznamu"/>
              <w:numPr>
                <w:ilvl w:val="0"/>
                <w:numId w:val="3"/>
              </w:numPr>
              <w:spacing w:before="120" w:after="120"/>
              <w:ind w:left="142" w:hanging="142"/>
              <w:contextualSpacing w:val="0"/>
              <w:rPr>
                <w:rFonts w:asciiTheme="minorHAnsi" w:hAnsiTheme="minorHAnsi" w:cstheme="minorHAnsi"/>
                <w:i/>
                <w:color w:val="000000"/>
                <w:szCs w:val="24"/>
              </w:rPr>
            </w:pPr>
            <w:r w:rsidRPr="00941112">
              <w:rPr>
                <w:rFonts w:asciiTheme="minorHAnsi" w:hAnsiTheme="minorHAnsi" w:cstheme="minorHAnsi"/>
                <w:i/>
                <w:color w:val="000000"/>
                <w:szCs w:val="24"/>
              </w:rPr>
              <w:t>žiadateľ nie je evidovaný v Systéme včasného odhaľovania rizika a vylúčenia (EDES) ako vylúčená osoba alebo subjekt (v zmysle článku 135 a nasledujúcich nariadenia č. 2018/1046)</w:t>
            </w:r>
            <w:r>
              <w:rPr>
                <w:rFonts w:asciiTheme="minorHAnsi" w:hAnsiTheme="minorHAnsi" w:cstheme="minorHAnsi"/>
                <w:i/>
                <w:color w:val="000000"/>
                <w:szCs w:val="24"/>
              </w:rPr>
              <w:t>,</w:t>
            </w:r>
          </w:p>
          <w:p w:rsidR="004A71C3" w:rsidRPr="00251EE7"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64" w:rsidRDefault="00A87764" w:rsidP="006B0271">
      <w:pPr>
        <w:spacing w:after="0" w:line="240" w:lineRule="auto"/>
      </w:pPr>
      <w:r>
        <w:separator/>
      </w:r>
    </w:p>
  </w:endnote>
  <w:endnote w:type="continuationSeparator" w:id="0">
    <w:p w:rsidR="00A87764" w:rsidRDefault="00A87764"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64" w:rsidRDefault="00A87764" w:rsidP="006B0271">
      <w:pPr>
        <w:spacing w:after="0" w:line="240" w:lineRule="auto"/>
      </w:pPr>
      <w:r>
        <w:separator/>
      </w:r>
    </w:p>
  </w:footnote>
  <w:footnote w:type="continuationSeparator" w:id="0">
    <w:p w:rsidR="00A87764" w:rsidRDefault="00A87764" w:rsidP="006B0271">
      <w:pPr>
        <w:spacing w:after="0" w:line="240" w:lineRule="auto"/>
      </w:pPr>
      <w:r>
        <w:continuationSeparator/>
      </w:r>
    </w:p>
  </w:footnote>
  <w:footnote w:id="1">
    <w:p w:rsidR="00A87764" w:rsidRPr="00AD41AC" w:rsidRDefault="00A87764">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A71C3" w:rsidRDefault="004A71C3">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764" w:rsidRPr="00C75939" w:rsidRDefault="00A87764" w:rsidP="00C75939">
    <w:pPr>
      <w:pStyle w:val="Hlavika"/>
    </w:pPr>
    <w:r w:rsidRPr="00542411">
      <w:rPr>
        <w:noProof/>
      </w:rPr>
      <w:drawing>
        <wp:inline distT="0" distB="0" distL="0" distR="0" wp14:anchorId="344A9D33" wp14:editId="2D7D6A98">
          <wp:extent cx="5695950" cy="5429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72E1"/>
    <w:rsid w:val="0004125C"/>
    <w:rsid w:val="00047466"/>
    <w:rsid w:val="000526CB"/>
    <w:rsid w:val="00077FFA"/>
    <w:rsid w:val="00083EE0"/>
    <w:rsid w:val="000B12C1"/>
    <w:rsid w:val="000D49D8"/>
    <w:rsid w:val="0013199A"/>
    <w:rsid w:val="00145958"/>
    <w:rsid w:val="00147F98"/>
    <w:rsid w:val="00150A66"/>
    <w:rsid w:val="00171407"/>
    <w:rsid w:val="0017291D"/>
    <w:rsid w:val="00174657"/>
    <w:rsid w:val="001A25D8"/>
    <w:rsid w:val="001B790C"/>
    <w:rsid w:val="001C1753"/>
    <w:rsid w:val="001D0AE3"/>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96B5F"/>
    <w:rsid w:val="005A2188"/>
    <w:rsid w:val="005B52AD"/>
    <w:rsid w:val="005C2BE7"/>
    <w:rsid w:val="005E0226"/>
    <w:rsid w:val="005E371A"/>
    <w:rsid w:val="005F6932"/>
    <w:rsid w:val="0060374C"/>
    <w:rsid w:val="00606AC2"/>
    <w:rsid w:val="00610BFC"/>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E7594"/>
    <w:rsid w:val="00713492"/>
    <w:rsid w:val="00714FE1"/>
    <w:rsid w:val="00724292"/>
    <w:rsid w:val="00730486"/>
    <w:rsid w:val="00744DC7"/>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4DAF"/>
    <w:rsid w:val="008462DC"/>
    <w:rsid w:val="008472AB"/>
    <w:rsid w:val="00861995"/>
    <w:rsid w:val="008746E8"/>
    <w:rsid w:val="008752EF"/>
    <w:rsid w:val="00890637"/>
    <w:rsid w:val="00893D4F"/>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C12BE2"/>
    <w:rsid w:val="00C22DB6"/>
    <w:rsid w:val="00C411DA"/>
    <w:rsid w:val="00C527FC"/>
    <w:rsid w:val="00C63BFC"/>
    <w:rsid w:val="00C659E0"/>
    <w:rsid w:val="00C714D8"/>
    <w:rsid w:val="00C72C57"/>
    <w:rsid w:val="00C75939"/>
    <w:rsid w:val="00C80099"/>
    <w:rsid w:val="00CA2751"/>
    <w:rsid w:val="00CA4FE8"/>
    <w:rsid w:val="00CB2DD2"/>
    <w:rsid w:val="00CB6654"/>
    <w:rsid w:val="00CD54FE"/>
    <w:rsid w:val="00CE2726"/>
    <w:rsid w:val="00CE588A"/>
    <w:rsid w:val="00CE606D"/>
    <w:rsid w:val="00CF49ED"/>
    <w:rsid w:val="00CF7F74"/>
    <w:rsid w:val="00D01119"/>
    <w:rsid w:val="00D037C3"/>
    <w:rsid w:val="00D829A8"/>
    <w:rsid w:val="00D95A19"/>
    <w:rsid w:val="00DB2BB2"/>
    <w:rsid w:val="00DC23D9"/>
    <w:rsid w:val="00DD2B9E"/>
    <w:rsid w:val="00DD2F99"/>
    <w:rsid w:val="00DE15A6"/>
    <w:rsid w:val="00DF1130"/>
    <w:rsid w:val="00DF276D"/>
    <w:rsid w:val="00E07D1A"/>
    <w:rsid w:val="00E25D57"/>
    <w:rsid w:val="00E3518E"/>
    <w:rsid w:val="00E44A65"/>
    <w:rsid w:val="00E47F5C"/>
    <w:rsid w:val="00E6425C"/>
    <w:rsid w:val="00E6447D"/>
    <w:rsid w:val="00E85D77"/>
    <w:rsid w:val="00ED4B0B"/>
    <w:rsid w:val="00EE6E6B"/>
    <w:rsid w:val="00F02338"/>
    <w:rsid w:val="00F049F2"/>
    <w:rsid w:val="00F14578"/>
    <w:rsid w:val="00F17692"/>
    <w:rsid w:val="00F27B48"/>
    <w:rsid w:val="00F31590"/>
    <w:rsid w:val="00F408C2"/>
    <w:rsid w:val="00F633E5"/>
    <w:rsid w:val="00F66696"/>
    <w:rsid w:val="00F71557"/>
    <w:rsid w:val="00F71CAF"/>
    <w:rsid w:val="00F805C9"/>
    <w:rsid w:val="00F84C0B"/>
    <w:rsid w:val="00F96F06"/>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6512</Words>
  <Characters>37122</Characters>
  <Application>Microsoft Office Word</Application>
  <DocSecurity>0</DocSecurity>
  <Lines>309</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2020-06-10T08:09:00Z</dcterms:modified>
</cp:coreProperties>
</file>