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4A4A91AE" w:rsidR="00784ECE" w:rsidRPr="000A0463" w:rsidRDefault="00784ECE" w:rsidP="000A0463">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0004D3" w:rsidRPr="000004D3">
        <w:rPr>
          <w:rFonts w:ascii="Arial Narrow" w:hAnsi="Arial Narrow" w:cstheme="minorHAnsi"/>
          <w:color w:val="auto"/>
          <w:sz w:val="28"/>
          <w:szCs w:val="28"/>
        </w:rPr>
        <w:t>OPII-106-1.3-ZSSK-ZKV3</w:t>
      </w:r>
    </w:p>
    <w:p w14:paraId="4881E0E8" w14:textId="59265BB2"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C56E87">
        <w:rPr>
          <w:rFonts w:ascii="Arial Narrow" w:hAnsi="Arial Narrow"/>
          <w:b/>
          <w:lang w:eastAsia="sk-SK"/>
        </w:rPr>
        <w:t>i</w:t>
      </w:r>
      <w:r w:rsidR="00935EF1" w:rsidRPr="00935EF1">
        <w:rPr>
          <w:rFonts w:ascii="Arial Narrow" w:hAnsi="Arial Narrow"/>
          <w:b/>
          <w:lang w:eastAsia="sk-SK"/>
        </w:rPr>
        <w:t xml:space="preserve"> o NFP pre národn</w:t>
      </w:r>
      <w:r w:rsidR="00C56E87">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D31E0D">
        <w:rPr>
          <w:rFonts w:ascii="Arial Narrow" w:hAnsi="Arial Narrow"/>
          <w:b/>
          <w:lang w:eastAsia="sk-SK"/>
        </w:rPr>
        <w:t>1</w:t>
      </w:r>
      <w:r w:rsidR="0038730A">
        <w:rPr>
          <w:rFonts w:ascii="Arial Narrow" w:hAnsi="Arial Narrow"/>
          <w:b/>
          <w:lang w:eastAsia="sk-SK"/>
        </w:rPr>
        <w:t xml:space="preserve"> OPII</w:t>
      </w:r>
      <w:ins w:id="0" w:author="GC" w:date="2021-06-15T10:01:00Z">
        <w:r w:rsidR="00D17887">
          <w:rPr>
            <w:rFonts w:ascii="Arial Narrow" w:hAnsi="Arial Narrow"/>
            <w:b/>
            <w:lang w:eastAsia="sk-SK"/>
          </w:rPr>
          <w:t xml:space="preserve"> v znení zmeny č. 1 (konsolidovaná verzia)</w:t>
        </w:r>
      </w:ins>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52719E"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52719E" w:rsidRPr="00F1589B" w:rsidRDefault="0052719E"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65061D7E" w:rsidR="0052719E" w:rsidRPr="00472A05" w:rsidRDefault="00D31E0D" w:rsidP="00822CBB">
            <w:pPr>
              <w:spacing w:before="120" w:after="120" w:line="240" w:lineRule="auto"/>
              <w:rPr>
                <w:rFonts w:ascii="Arial Narrow" w:hAnsi="Arial Narrow"/>
                <w:bCs/>
              </w:rPr>
            </w:pPr>
            <w:r>
              <w:rPr>
                <w:rFonts w:ascii="Arial Narrow" w:hAnsi="Arial Narrow"/>
                <w:bCs/>
              </w:rPr>
              <w:t>1</w:t>
            </w:r>
            <w:r w:rsidRPr="00472A05">
              <w:rPr>
                <w:rFonts w:ascii="Arial Narrow" w:hAnsi="Arial Narrow"/>
                <w:bCs/>
              </w:rPr>
              <w:t xml:space="preserve"> – </w:t>
            </w:r>
            <w:r w:rsidRPr="00822CBB">
              <w:rPr>
                <w:rFonts w:ascii="Arial Narrow" w:hAnsi="Arial Narrow"/>
                <w:bCs/>
              </w:rPr>
              <w:t>Železničná infraštruktúra (TEN-T CORE) a</w:t>
            </w:r>
            <w:r>
              <w:rPr>
                <w:rFonts w:ascii="Arial Narrow" w:hAnsi="Arial Narrow"/>
                <w:bCs/>
              </w:rPr>
              <w:t> </w:t>
            </w:r>
            <w:r w:rsidRPr="00822CBB">
              <w:rPr>
                <w:rFonts w:ascii="Arial Narrow" w:hAnsi="Arial Narrow"/>
                <w:bCs/>
              </w:rPr>
              <w:t>obnova</w:t>
            </w:r>
            <w:r>
              <w:rPr>
                <w:rFonts w:ascii="Arial Narrow" w:hAnsi="Arial Narrow"/>
                <w:bCs/>
              </w:rPr>
              <w:t xml:space="preserve"> </w:t>
            </w:r>
            <w:r w:rsidRPr="00822CBB">
              <w:rPr>
                <w:rFonts w:ascii="Arial Narrow" w:hAnsi="Arial Narrow"/>
                <w:bCs/>
              </w:rPr>
              <w:t>mobilných prostriedkov</w:t>
            </w:r>
          </w:p>
        </w:tc>
      </w:tr>
      <w:tr w:rsidR="000004D3"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0004D3" w:rsidRPr="00F1589B" w:rsidRDefault="000004D3" w:rsidP="000004D3">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6246922F" w:rsidR="000004D3" w:rsidRPr="00472A05" w:rsidRDefault="000004D3" w:rsidP="000004D3">
            <w:pPr>
              <w:spacing w:before="120" w:after="120" w:line="240" w:lineRule="auto"/>
              <w:rPr>
                <w:rFonts w:ascii="Arial Narrow" w:hAnsi="Arial Narrow"/>
                <w:lang w:eastAsia="de-DE"/>
              </w:rPr>
            </w:pPr>
            <w:r w:rsidRPr="00822CBB">
              <w:rPr>
                <w:rFonts w:ascii="Arial Narrow" w:hAnsi="Arial Narrow"/>
                <w:bCs/>
              </w:rPr>
              <w:t>7iii): Vývoj a modernizácia komplexných, interoperabilných</w:t>
            </w:r>
            <w:r>
              <w:rPr>
                <w:rFonts w:ascii="Arial Narrow" w:hAnsi="Arial Narrow"/>
                <w:bCs/>
              </w:rPr>
              <w:t xml:space="preserve"> </w:t>
            </w:r>
            <w:r w:rsidRPr="00822CBB">
              <w:rPr>
                <w:rFonts w:ascii="Arial Narrow" w:hAnsi="Arial Narrow"/>
                <w:bCs/>
              </w:rPr>
              <w:t>železničných systémov vysokej kvality a podpora opatrení na znižovanie hluku</w:t>
            </w:r>
          </w:p>
        </w:tc>
      </w:tr>
      <w:tr w:rsidR="000004D3"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0004D3" w:rsidRPr="00F1589B" w:rsidRDefault="000004D3" w:rsidP="000004D3">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184603BB" w:rsidR="000004D3" w:rsidRPr="00472A05" w:rsidRDefault="000004D3" w:rsidP="000004D3">
            <w:pPr>
              <w:spacing w:before="120" w:after="120" w:line="240" w:lineRule="auto"/>
              <w:rPr>
                <w:rFonts w:ascii="Arial Narrow" w:hAnsi="Arial Narrow"/>
              </w:rPr>
            </w:pPr>
            <w:r>
              <w:rPr>
                <w:rFonts w:ascii="Arial Narrow" w:hAnsi="Arial Narrow"/>
              </w:rPr>
              <w:t>1.3</w:t>
            </w:r>
            <w:r w:rsidRPr="00360174">
              <w:rPr>
                <w:rFonts w:ascii="Arial Narrow" w:hAnsi="Arial Narrow"/>
              </w:rPr>
              <w:t xml:space="preserve"> </w:t>
            </w:r>
            <w:r w:rsidRPr="00822CBB">
              <w:rPr>
                <w:rFonts w:ascii="Arial Narrow" w:hAnsi="Arial Narrow"/>
              </w:rPr>
              <w:t>Zvýšenie atraktivity a kvality služieb železničnej verejnej osobnej</w:t>
            </w:r>
            <w:r>
              <w:rPr>
                <w:rFonts w:ascii="Arial Narrow" w:hAnsi="Arial Narrow"/>
              </w:rPr>
              <w:t xml:space="preserve"> </w:t>
            </w:r>
            <w:r w:rsidRPr="00822CBB">
              <w:rPr>
                <w:rFonts w:ascii="Arial Narrow" w:hAnsi="Arial Narrow"/>
              </w:rPr>
              <w:t>dopravy prostredníctvom obnovy mobilných prostriedkov</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0355A340" w:rsidR="007E5C50" w:rsidRPr="00472A05" w:rsidRDefault="000004D3" w:rsidP="00F1589B">
            <w:pPr>
              <w:spacing w:before="120" w:after="120" w:line="240" w:lineRule="auto"/>
              <w:rPr>
                <w:rFonts w:ascii="Arial Narrow" w:hAnsi="Arial Narrow" w:cstheme="minorHAnsi"/>
              </w:rPr>
            </w:pPr>
            <w:r w:rsidRPr="00D515E0">
              <w:rPr>
                <w:rFonts w:ascii="Arial Narrow" w:hAnsi="Arial Narrow" w:cstheme="minorHAnsi"/>
              </w:rPr>
              <w:t>Železničná spoločnosť Slovensko, a. s.</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741ACEAF" w:rsidR="005A2101" w:rsidRPr="00360174" w:rsidRDefault="000004D3" w:rsidP="0052719E">
            <w:pPr>
              <w:spacing w:before="120" w:after="120" w:line="240" w:lineRule="auto"/>
              <w:rPr>
                <w:rFonts w:ascii="Arial Narrow" w:hAnsi="Arial Narrow" w:cstheme="minorHAnsi"/>
                <w:b/>
              </w:rPr>
            </w:pPr>
            <w:r w:rsidRPr="000004D3">
              <w:rPr>
                <w:rFonts w:ascii="Arial Narrow" w:hAnsi="Arial Narrow" w:cstheme="minorHAnsi"/>
                <w:b/>
              </w:rPr>
              <w:t>Modernizácia vozového parku ŽKV v rámci OPII – 3. časť</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3EB654D6" w14:textId="77777777" w:rsidTr="00F1589B">
        <w:tc>
          <w:tcPr>
            <w:tcW w:w="2376" w:type="dxa"/>
            <w:shd w:val="clear" w:color="auto" w:fill="D9D9D9" w:themeFill="background1" w:themeFillShade="D9"/>
            <w:vAlign w:val="center"/>
          </w:tcPr>
          <w:p w14:paraId="06ADF66F"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5AD3C4E2"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0934F3A9"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4F7460E7"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4D746BEF" w:rsidR="00B574AD" w:rsidRPr="003D389F" w:rsidRDefault="00D5459B" w:rsidP="0052719E">
            <w:pPr>
              <w:spacing w:before="120" w:after="120" w:line="240" w:lineRule="auto"/>
              <w:rPr>
                <w:rFonts w:ascii="Arial Narrow" w:hAnsi="Arial Narrow" w:cstheme="minorHAnsi"/>
              </w:rPr>
            </w:pPr>
            <w:r w:rsidRPr="00D5459B">
              <w:rPr>
                <w:rFonts w:ascii="Arial Narrow" w:hAnsi="Arial Narrow" w:cstheme="minorHAnsi"/>
              </w:rPr>
              <w:t>5. júna 2021</w:t>
            </w:r>
            <w:bookmarkStart w:id="1" w:name="_GoBack"/>
            <w:bookmarkEnd w:id="1"/>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37AA82D8"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lastRenderedPageBreak/>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0004D3" w:rsidRPr="000004D3">
              <w:rPr>
                <w:rFonts w:ascii="Arial Narrow" w:hAnsi="Arial Narrow" w:cstheme="minorHAnsi"/>
                <w:b/>
              </w:rPr>
              <w:t>70 057 159</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77777777" w:rsidR="00785609" w:rsidRPr="00F1589B" w:rsidRDefault="00AB4D3C" w:rsidP="000004D3">
            <w:pPr>
              <w:spacing w:before="120" w:after="12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11070A3D" w14:textId="77777777" w:rsidR="000004D3" w:rsidRPr="00C83866" w:rsidRDefault="000004D3" w:rsidP="000004D3">
                  <w:pPr>
                    <w:spacing w:after="0" w:line="240" w:lineRule="auto"/>
                    <w:rPr>
                      <w:rFonts w:ascii="Arial Narrow" w:eastAsia="Times New Roman" w:hAnsi="Arial Narrow"/>
                      <w:color w:val="000000"/>
                      <w:lang w:eastAsia="sk-SK"/>
                    </w:rPr>
                  </w:pPr>
                  <w:r w:rsidRPr="00886F74">
                    <w:rPr>
                      <w:rFonts w:ascii="Arial Narrow" w:eastAsia="Times New Roman" w:hAnsi="Arial Narrow"/>
                      <w:color w:val="000000"/>
                      <w:lang w:eastAsia="sk-SK"/>
                    </w:rPr>
                    <w:t>Železničná spoločnosť Slovensko</w:t>
                  </w:r>
                  <w:r w:rsidRPr="00C83866">
                    <w:rPr>
                      <w:rFonts w:ascii="Arial Narrow" w:eastAsia="Times New Roman" w:hAnsi="Arial Narrow"/>
                      <w:color w:val="000000"/>
                      <w:lang w:eastAsia="sk-SK"/>
                    </w:rPr>
                    <w:t>, a. s.</w:t>
                  </w:r>
                </w:p>
                <w:p w14:paraId="554A9011" w14:textId="56208087" w:rsidR="00420DF5" w:rsidRPr="00F1589B" w:rsidRDefault="000004D3" w:rsidP="000004D3">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10805065" w:rsidR="00B7057B" w:rsidRPr="00F1589B" w:rsidRDefault="0052719E" w:rsidP="00743FE5">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743FE5">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5F3D305C" w:rsidR="00B7057B" w:rsidRPr="00F1589B" w:rsidRDefault="00743FE5"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0</w:t>
                  </w:r>
                </w:p>
              </w:tc>
            </w:tr>
          </w:tbl>
          <w:p w14:paraId="3CD0D278" w14:textId="6D00430E" w:rsidR="00132B1C" w:rsidRPr="005768FA" w:rsidRDefault="00C4623D" w:rsidP="000004D3">
            <w:pPr>
              <w:spacing w:after="12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0004D3">
            <w:pPr>
              <w:pStyle w:val="Default"/>
              <w:spacing w:before="120" w:after="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9E52957" w14:textId="77777777" w:rsidR="00025BA7" w:rsidRDefault="00025BA7" w:rsidP="00025BA7">
            <w:pPr>
              <w:spacing w:before="120"/>
              <w:rPr>
                <w:rFonts w:ascii="Arial Narrow" w:hAnsi="Arial Narrow"/>
              </w:rPr>
            </w:pPr>
            <w:r w:rsidRPr="009A1CCD">
              <w:rPr>
                <w:rFonts w:ascii="Arial Narrow" w:hAnsi="Arial Narrow"/>
              </w:rPr>
              <w:lastRenderedPageBreak/>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v písomnej forme</w:t>
            </w:r>
            <w:r w:rsidRPr="009A1CCD">
              <w:rPr>
                <w:rFonts w:ascii="Arial Narrow" w:hAnsi="Arial Narrow"/>
              </w:rPr>
              <w:t xml:space="preserve">. </w:t>
            </w:r>
          </w:p>
          <w:p w14:paraId="776FC8D1"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1677EE71"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120329EA"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E6BA6B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22E77082"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23D3DD48"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11DCD38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5FAB7047"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4EFF4143" w14:textId="77777777"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31778FA4"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52CE5A6C"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516FC4E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47E128A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23E0A579"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7C38C588"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28FEE38D"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556C567D" w14:textId="77777777" w:rsidR="00C9602A" w:rsidRDefault="0040115F"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383ED114" w14:textId="77777777" w:rsidR="004212C8" w:rsidRDefault="004212C8" w:rsidP="004212C8">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385B1F26" w:rsidR="004212C8" w:rsidRPr="00450B6F" w:rsidRDefault="004212C8" w:rsidP="000004D3">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w:t>
            </w:r>
            <w:r w:rsidR="00AC1470">
              <w:rPr>
                <w:rFonts w:ascii="Arial Narrow" w:hAnsi="Arial Narrow"/>
                <w:b/>
              </w:rPr>
              <w:t xml:space="preserve">§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FB07D23" w14:textId="77777777" w:rsidR="00AC1470" w:rsidRPr="00F1589B" w:rsidRDefault="00AC1470" w:rsidP="00AC147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00BD544D" w14:textId="77777777" w:rsidR="00AC1470" w:rsidRPr="000C3A95" w:rsidRDefault="00AC1470" w:rsidP="00AC1470">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16F89D33" w14:textId="71F0FB54" w:rsidR="000004D3" w:rsidRDefault="000004D3" w:rsidP="000004D3">
            <w:pPr>
              <w:spacing w:before="120" w:after="0" w:line="240" w:lineRule="auto"/>
              <w:jc w:val="both"/>
              <w:rPr>
                <w:rFonts w:ascii="Arial Narrow" w:hAnsi="Arial Narrow"/>
                <w:b/>
              </w:rPr>
            </w:pPr>
            <w:r w:rsidRPr="00BD5A87">
              <w:rPr>
                <w:rFonts w:ascii="Arial Narrow" w:hAnsi="Arial Narrow"/>
                <w:b/>
              </w:rPr>
              <w:t>Železničná spoločnosť Slovensko</w:t>
            </w:r>
            <w:r w:rsidRPr="003E24DD">
              <w:rPr>
                <w:rFonts w:ascii="Arial Narrow" w:hAnsi="Arial Narrow"/>
                <w:b/>
              </w:rPr>
              <w:t>, a.</w:t>
            </w:r>
            <w:r>
              <w:rPr>
                <w:rFonts w:ascii="Arial Narrow" w:hAnsi="Arial Narrow"/>
                <w:b/>
              </w:rPr>
              <w:t xml:space="preserve"> </w:t>
            </w:r>
            <w:r w:rsidRPr="003E24DD">
              <w:rPr>
                <w:rFonts w:ascii="Arial Narrow" w:hAnsi="Arial Narrow"/>
                <w:b/>
              </w:rPr>
              <w:t>s.</w:t>
            </w:r>
          </w:p>
          <w:p w14:paraId="19CAA97B" w14:textId="77777777"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D81307" w:rsidRPr="00954355" w14:paraId="4217235D" w14:textId="77777777" w:rsidTr="00F863CD">
        <w:trPr>
          <w:trHeight w:val="20"/>
        </w:trPr>
        <w:tc>
          <w:tcPr>
            <w:tcW w:w="674" w:type="dxa"/>
            <w:shd w:val="clear" w:color="auto" w:fill="D9D9D9" w:themeFill="background1" w:themeFillShade="D9"/>
          </w:tcPr>
          <w:p w14:paraId="71824506" w14:textId="77777777" w:rsidR="00D81307" w:rsidRPr="00D45093" w:rsidRDefault="00D81307"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D9EDB83" w14:textId="61E6BF21" w:rsidR="00D81307" w:rsidRDefault="00D81307" w:rsidP="0047453E">
            <w:pPr>
              <w:pStyle w:val="Default"/>
              <w:spacing w:before="120"/>
              <w:rPr>
                <w:rFonts w:ascii="Arial Narrow" w:hAnsi="Arial Narrow"/>
                <w:b/>
                <w:bCs/>
                <w:sz w:val="22"/>
                <w:szCs w:val="22"/>
              </w:rPr>
            </w:pPr>
            <w:r w:rsidRPr="00D81307">
              <w:rPr>
                <w:rFonts w:ascii="Arial Narrow" w:hAnsi="Arial Narrow"/>
                <w:b/>
                <w:bCs/>
                <w:sz w:val="22"/>
                <w:szCs w:val="22"/>
              </w:rPr>
              <w:t>Podmienka nebyť dlžníkom na daniach, vedených miestne príslušným daňovým úradom</w:t>
            </w:r>
          </w:p>
        </w:tc>
        <w:tc>
          <w:tcPr>
            <w:tcW w:w="6349" w:type="dxa"/>
            <w:gridSpan w:val="3"/>
            <w:shd w:val="clear" w:color="auto" w:fill="auto"/>
          </w:tcPr>
          <w:p w14:paraId="4257EC75" w14:textId="6884F52E" w:rsidR="00D81307" w:rsidRPr="00761E7E" w:rsidRDefault="00D81307" w:rsidP="00F82DB4">
            <w:pPr>
              <w:spacing w:before="120" w:after="0" w:line="240" w:lineRule="auto"/>
              <w:jc w:val="both"/>
              <w:rPr>
                <w:rFonts w:ascii="Arial Narrow" w:hAnsi="Arial Narrow"/>
              </w:rPr>
            </w:pPr>
            <w:r w:rsidRPr="00D81307">
              <w:rPr>
                <w:rFonts w:ascii="Arial Narrow" w:hAnsi="Arial Narrow"/>
              </w:rPr>
              <w:t>Žiadateľ nesmie byť dlžníkom na daniach.</w:t>
            </w:r>
          </w:p>
        </w:tc>
      </w:tr>
      <w:tr w:rsidR="00D81307" w:rsidRPr="00954355" w14:paraId="1DF5ABE2" w14:textId="77777777" w:rsidTr="00F863CD">
        <w:trPr>
          <w:trHeight w:val="20"/>
        </w:trPr>
        <w:tc>
          <w:tcPr>
            <w:tcW w:w="674" w:type="dxa"/>
            <w:shd w:val="clear" w:color="auto" w:fill="D9D9D9" w:themeFill="background1" w:themeFillShade="D9"/>
          </w:tcPr>
          <w:p w14:paraId="74772A43" w14:textId="77777777" w:rsidR="00D81307" w:rsidRPr="00D45093" w:rsidRDefault="00D81307"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A9D47C0" w14:textId="1459F932" w:rsidR="00D81307" w:rsidRDefault="00D81307" w:rsidP="0047453E">
            <w:pPr>
              <w:pStyle w:val="Default"/>
              <w:spacing w:before="120"/>
              <w:rPr>
                <w:rFonts w:ascii="Arial Narrow" w:hAnsi="Arial Narrow"/>
                <w:b/>
                <w:bCs/>
                <w:sz w:val="22"/>
                <w:szCs w:val="22"/>
              </w:rPr>
            </w:pPr>
            <w:r w:rsidRPr="00D81307">
              <w:rPr>
                <w:rFonts w:ascii="Arial Narrow" w:hAnsi="Arial Narrow"/>
                <w:b/>
                <w:bCs/>
                <w:sz w:val="22"/>
                <w:szCs w:val="22"/>
              </w:rPr>
              <w:t>Podmienka nebyť dlžníkom poistného na zdravotnom poistení</w:t>
            </w:r>
          </w:p>
        </w:tc>
        <w:tc>
          <w:tcPr>
            <w:tcW w:w="6349" w:type="dxa"/>
            <w:gridSpan w:val="3"/>
            <w:shd w:val="clear" w:color="auto" w:fill="auto"/>
          </w:tcPr>
          <w:p w14:paraId="4D49C596" w14:textId="77777777" w:rsidR="00D81307" w:rsidRPr="00D81307" w:rsidRDefault="00D81307" w:rsidP="00D81307">
            <w:pPr>
              <w:spacing w:before="120" w:after="0" w:line="240" w:lineRule="auto"/>
              <w:jc w:val="both"/>
              <w:rPr>
                <w:rFonts w:ascii="Arial Narrow" w:hAnsi="Arial Narrow"/>
              </w:rPr>
            </w:pPr>
            <w:r w:rsidRPr="00D81307">
              <w:rPr>
                <w:rFonts w:ascii="Arial Narrow" w:hAnsi="Arial Narrow"/>
              </w:rPr>
              <w:t>Žiadateľ nesmie byť dlžníkom poistného na zdravotnom poistení v žiadnej zdravotnej poisťovni poskytujúcej verejné zdravotné poistenie v SR.</w:t>
            </w:r>
          </w:p>
          <w:p w14:paraId="222DE03D" w14:textId="77777777" w:rsidR="00D81307" w:rsidRPr="00D81307" w:rsidRDefault="00D81307" w:rsidP="00D81307">
            <w:pPr>
              <w:spacing w:before="120" w:after="0" w:line="240" w:lineRule="auto"/>
              <w:jc w:val="both"/>
              <w:rPr>
                <w:rFonts w:ascii="Arial Narrow" w:hAnsi="Arial Narrow"/>
              </w:rPr>
            </w:pPr>
            <w:r w:rsidRPr="00D81307">
              <w:rPr>
                <w:rFonts w:ascii="Arial Narrow" w:hAnsi="Arial Narrow"/>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p w14:paraId="1ED64A86" w14:textId="55004858" w:rsidR="00D81307" w:rsidRPr="00761E7E" w:rsidRDefault="00D81307" w:rsidP="00D81307">
            <w:pPr>
              <w:spacing w:before="120" w:after="0" w:line="240" w:lineRule="auto"/>
              <w:jc w:val="both"/>
              <w:rPr>
                <w:rFonts w:ascii="Arial Narrow" w:hAnsi="Arial Narrow"/>
              </w:rPr>
            </w:pPr>
            <w:r w:rsidRPr="00D81307">
              <w:rPr>
                <w:rFonts w:ascii="Arial Narrow" w:hAnsi="Arial Narrow"/>
              </w:rPr>
              <w:t>Dlh sa posudzuje vo vzťahu ku každej jednej zdravotnej poisťovni samostatne.</w:t>
            </w:r>
          </w:p>
        </w:tc>
      </w:tr>
      <w:tr w:rsidR="00D81307" w:rsidRPr="00954355" w14:paraId="62BCCBBD" w14:textId="77777777" w:rsidTr="00F863CD">
        <w:trPr>
          <w:trHeight w:val="20"/>
        </w:trPr>
        <w:tc>
          <w:tcPr>
            <w:tcW w:w="674" w:type="dxa"/>
            <w:shd w:val="clear" w:color="auto" w:fill="D9D9D9" w:themeFill="background1" w:themeFillShade="D9"/>
          </w:tcPr>
          <w:p w14:paraId="374A8A54" w14:textId="77777777" w:rsidR="00D81307" w:rsidRPr="00D45093" w:rsidRDefault="00D81307"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1A98C96" w14:textId="6C0BD586" w:rsidR="00D81307" w:rsidRDefault="00D81307" w:rsidP="0047453E">
            <w:pPr>
              <w:pStyle w:val="Default"/>
              <w:spacing w:before="120"/>
              <w:rPr>
                <w:rFonts w:ascii="Arial Narrow" w:hAnsi="Arial Narrow"/>
                <w:b/>
                <w:bCs/>
                <w:sz w:val="22"/>
                <w:szCs w:val="22"/>
              </w:rPr>
            </w:pPr>
            <w:r w:rsidRPr="00D81307">
              <w:rPr>
                <w:rFonts w:ascii="Arial Narrow" w:hAnsi="Arial Narrow"/>
                <w:b/>
                <w:bCs/>
                <w:sz w:val="22"/>
                <w:szCs w:val="22"/>
              </w:rPr>
              <w:t>Podmienka nebyť dlžníkom na sociálnom poistení</w:t>
            </w:r>
          </w:p>
        </w:tc>
        <w:tc>
          <w:tcPr>
            <w:tcW w:w="6349" w:type="dxa"/>
            <w:gridSpan w:val="3"/>
            <w:shd w:val="clear" w:color="auto" w:fill="auto"/>
          </w:tcPr>
          <w:p w14:paraId="208328B1" w14:textId="2C2C9B5B" w:rsidR="00D81307" w:rsidRPr="00761E7E" w:rsidRDefault="00D81307" w:rsidP="00F82DB4">
            <w:pPr>
              <w:spacing w:before="120" w:after="0" w:line="240" w:lineRule="auto"/>
              <w:jc w:val="both"/>
              <w:rPr>
                <w:rFonts w:ascii="Arial Narrow" w:hAnsi="Arial Narrow"/>
              </w:rPr>
            </w:pPr>
            <w:r w:rsidRPr="00D81307">
              <w:rPr>
                <w:rFonts w:ascii="Arial Narrow" w:hAnsi="Arial Narrow"/>
              </w:rPr>
              <w:t>Žiadateľ nesmie byť dlžníkom na sociálnom poistení.</w:t>
            </w:r>
          </w:p>
        </w:tc>
      </w:tr>
      <w:tr w:rsidR="00D81307" w:rsidRPr="00954355" w14:paraId="603C6FE1" w14:textId="77777777" w:rsidTr="00F863CD">
        <w:trPr>
          <w:trHeight w:val="20"/>
        </w:trPr>
        <w:tc>
          <w:tcPr>
            <w:tcW w:w="674" w:type="dxa"/>
            <w:shd w:val="clear" w:color="auto" w:fill="D9D9D9" w:themeFill="background1" w:themeFillShade="D9"/>
          </w:tcPr>
          <w:p w14:paraId="4D0CDE78" w14:textId="77777777" w:rsidR="00D81307" w:rsidRPr="00D45093" w:rsidRDefault="00D81307"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1BF7093" w14:textId="3AFDDA15" w:rsidR="00D81307" w:rsidRDefault="00D81307" w:rsidP="0047453E">
            <w:pPr>
              <w:pStyle w:val="Default"/>
              <w:spacing w:before="120"/>
              <w:rPr>
                <w:rFonts w:ascii="Arial Narrow" w:hAnsi="Arial Narrow"/>
                <w:b/>
                <w:bCs/>
                <w:sz w:val="22"/>
                <w:szCs w:val="22"/>
              </w:rPr>
            </w:pPr>
            <w:r w:rsidRPr="00D81307">
              <w:rPr>
                <w:rFonts w:ascii="Arial Narrow" w:hAnsi="Arial Narrow"/>
                <w:b/>
                <w:bCs/>
                <w:sz w:val="22"/>
                <w:szCs w:val="22"/>
              </w:rPr>
              <w:t xml:space="preserve">Podmienka, že voči žiadateľovi nie je vedené konkurzné konanie, reštrukturalizačné konanie, nie je v konkurze alebo v reštrukturalizácii  </w:t>
            </w:r>
          </w:p>
        </w:tc>
        <w:tc>
          <w:tcPr>
            <w:tcW w:w="6349" w:type="dxa"/>
            <w:gridSpan w:val="3"/>
            <w:shd w:val="clear" w:color="auto" w:fill="auto"/>
          </w:tcPr>
          <w:p w14:paraId="284E55C0" w14:textId="2DFE35BB" w:rsidR="00D81307" w:rsidRPr="00761E7E" w:rsidRDefault="00D81307" w:rsidP="00F82DB4">
            <w:pPr>
              <w:spacing w:before="120" w:after="0" w:line="240" w:lineRule="auto"/>
              <w:jc w:val="both"/>
              <w:rPr>
                <w:rFonts w:ascii="Arial Narrow" w:hAnsi="Arial Narrow"/>
              </w:rPr>
            </w:pPr>
            <w:r w:rsidRPr="00D81307">
              <w:rPr>
                <w:rFonts w:ascii="Arial Narrow" w:hAnsi="Arial Narrow"/>
              </w:rPr>
              <w:t>Voči žiadateľovi nesmie byť vedené konkurzné konanie ani reštrukturalizačné konanie, žiadateľ nesmie byť v konkurze alebo v</w:t>
            </w:r>
            <w:r>
              <w:rPr>
                <w:rFonts w:ascii="Arial Narrow" w:hAnsi="Arial Narrow"/>
              </w:rPr>
              <w:t> </w:t>
            </w:r>
            <w:r w:rsidRPr="00D81307">
              <w:rPr>
                <w:rFonts w:ascii="Arial Narrow" w:hAnsi="Arial Narrow"/>
              </w:rPr>
              <w:t>reštrukturalizácii</w:t>
            </w:r>
            <w:r>
              <w:rPr>
                <w:rFonts w:ascii="Arial Narrow" w:hAnsi="Arial Narrow"/>
              </w:rPr>
              <w:t>.</w:t>
            </w:r>
          </w:p>
        </w:tc>
      </w:tr>
      <w:tr w:rsidR="004A0630" w:rsidRPr="00954355" w14:paraId="62DAADD9" w14:textId="77777777" w:rsidTr="00F863CD">
        <w:trPr>
          <w:trHeight w:val="20"/>
        </w:trPr>
        <w:tc>
          <w:tcPr>
            <w:tcW w:w="674" w:type="dxa"/>
            <w:shd w:val="clear" w:color="auto" w:fill="D9D9D9" w:themeFill="background1" w:themeFillShade="D9"/>
          </w:tcPr>
          <w:p w14:paraId="0CD5E49A" w14:textId="77777777" w:rsidR="004A0630" w:rsidRPr="00AD5B71" w:rsidRDefault="004A0630" w:rsidP="004A063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4AF9894" w14:textId="77777777" w:rsidR="004A0630" w:rsidRPr="00C83866" w:rsidRDefault="004A0630" w:rsidP="004A0630">
            <w:pPr>
              <w:pStyle w:val="Default"/>
              <w:spacing w:before="120"/>
              <w:rPr>
                <w:rFonts w:ascii="Arial Narrow" w:hAnsi="Arial Narrow"/>
                <w:b/>
                <w:bCs/>
                <w:color w:val="auto"/>
                <w:sz w:val="22"/>
                <w:szCs w:val="22"/>
              </w:rPr>
            </w:pPr>
            <w:r w:rsidRPr="00C83866">
              <w:rPr>
                <w:rFonts w:ascii="Arial Narrow" w:hAnsi="Arial Narrow"/>
                <w:b/>
                <w:bCs/>
                <w:color w:val="auto"/>
                <w:sz w:val="22"/>
                <w:szCs w:val="22"/>
              </w:rPr>
              <w:t>Podmienka zákazu vedenia  výkonu rozhodnutia voči žiadateľovi</w:t>
            </w:r>
          </w:p>
          <w:p w14:paraId="5F7D14D2" w14:textId="77777777" w:rsidR="004A0630" w:rsidRPr="002302FC" w:rsidRDefault="004A0630" w:rsidP="004A0630">
            <w:pPr>
              <w:pStyle w:val="Default"/>
              <w:spacing w:before="120"/>
              <w:rPr>
                <w:rFonts w:ascii="Arial Narrow" w:hAnsi="Arial Narrow"/>
                <w:b/>
                <w:bCs/>
                <w:sz w:val="22"/>
                <w:szCs w:val="22"/>
              </w:rPr>
            </w:pPr>
          </w:p>
        </w:tc>
        <w:tc>
          <w:tcPr>
            <w:tcW w:w="6349" w:type="dxa"/>
            <w:gridSpan w:val="3"/>
            <w:shd w:val="clear" w:color="auto" w:fill="auto"/>
          </w:tcPr>
          <w:p w14:paraId="5C9498D3" w14:textId="1E5BD981" w:rsidR="004A0630" w:rsidRDefault="004A0630" w:rsidP="004A0630">
            <w:pPr>
              <w:pStyle w:val="Default"/>
              <w:spacing w:before="120"/>
              <w:jc w:val="both"/>
              <w:rPr>
                <w:rFonts w:ascii="Arial Narrow" w:hAnsi="Arial Narrow"/>
                <w:color w:val="auto"/>
                <w:sz w:val="22"/>
                <w:szCs w:val="22"/>
              </w:rPr>
            </w:pPr>
            <w:r w:rsidRPr="00C83866">
              <w:rPr>
                <w:rFonts w:ascii="Arial Narrow" w:hAnsi="Arial Narrow"/>
                <w:color w:val="auto"/>
                <w:sz w:val="22"/>
                <w:szCs w:val="22"/>
              </w:rPr>
              <w:t>Voči žiadateľovi nesmie byť vedený výkon rozhodnutia</w:t>
            </w:r>
            <w:r w:rsidR="00D3742A">
              <w:rPr>
                <w:rFonts w:ascii="Arial Narrow" w:hAnsi="Arial Narrow"/>
                <w:color w:val="auto"/>
                <w:sz w:val="22"/>
                <w:szCs w:val="22"/>
              </w:rPr>
              <w:t xml:space="preserve">, </w:t>
            </w:r>
            <w:r w:rsidR="00D3742A">
              <w:rPr>
                <w:rFonts w:ascii="Arial Narrow" w:hAnsi="Arial Narrow"/>
                <w:sz w:val="20"/>
                <w:szCs w:val="20"/>
              </w:rPr>
              <w:t>ktorý priamo alebo nepriamo súvisí s projektom, ktorý je predmetom ŽoNFP</w:t>
            </w:r>
            <w:r w:rsidR="00A640CF">
              <w:rPr>
                <w:rFonts w:ascii="Arial Narrow" w:hAnsi="Arial Narrow"/>
                <w:color w:val="auto"/>
                <w:sz w:val="22"/>
                <w:szCs w:val="22"/>
              </w:rPr>
              <w:t>.</w:t>
            </w:r>
          </w:p>
          <w:p w14:paraId="4BB7BD01" w14:textId="77777777" w:rsidR="00D3742A" w:rsidRPr="00D3742A" w:rsidRDefault="00D3742A" w:rsidP="004A0630">
            <w:pPr>
              <w:pStyle w:val="Default"/>
              <w:spacing w:before="120"/>
              <w:jc w:val="both"/>
              <w:rPr>
                <w:rFonts w:ascii="Arial Narrow" w:hAnsi="Arial Narrow"/>
                <w:color w:val="auto"/>
                <w:sz w:val="22"/>
                <w:szCs w:val="22"/>
              </w:rPr>
            </w:pPr>
            <w:r w:rsidRPr="00D3742A">
              <w:rPr>
                <w:rFonts w:ascii="Arial Narrow" w:hAnsi="Arial Narrow"/>
                <w:color w:val="auto"/>
                <w:sz w:val="22"/>
                <w:szCs w:val="22"/>
              </w:rPr>
              <w:t>Projekt nesmie zahŕňať činnosti, ktoré boli súčasťou operácie, v prípade ktorej sa začalo alebo malo začať vymáhacie konanie v súlade s článkom 71 všeobecného nariadenia.</w:t>
            </w:r>
          </w:p>
        </w:tc>
      </w:tr>
      <w:tr w:rsidR="00122F41" w:rsidRPr="00954355" w14:paraId="0A6366E7" w14:textId="77777777" w:rsidTr="00F863CD">
        <w:trPr>
          <w:trHeight w:val="20"/>
        </w:trPr>
        <w:tc>
          <w:tcPr>
            <w:tcW w:w="674" w:type="dxa"/>
            <w:shd w:val="clear" w:color="auto" w:fill="D9D9D9" w:themeFill="background1" w:themeFillShade="D9"/>
          </w:tcPr>
          <w:p w14:paraId="7A4C398B"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9486FEC" w14:textId="77777777"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4AFA9643" w14:textId="77777777"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D81307" w:rsidRPr="00954355" w14:paraId="1AF46719" w14:textId="77777777" w:rsidTr="00F863CD">
        <w:trPr>
          <w:trHeight w:val="20"/>
        </w:trPr>
        <w:tc>
          <w:tcPr>
            <w:tcW w:w="674" w:type="dxa"/>
            <w:shd w:val="clear" w:color="auto" w:fill="D9D9D9" w:themeFill="background1" w:themeFillShade="D9"/>
          </w:tcPr>
          <w:p w14:paraId="080DE07A" w14:textId="77777777" w:rsidR="00D81307" w:rsidRDefault="00D81307"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7695DD2" w14:textId="47D328C4" w:rsidR="00D81307" w:rsidRPr="00CB47DC" w:rsidRDefault="00A82621" w:rsidP="005A015D">
            <w:pPr>
              <w:pStyle w:val="Default"/>
              <w:spacing w:before="120"/>
              <w:rPr>
                <w:rFonts w:ascii="Arial Narrow" w:hAnsi="Arial Narrow"/>
                <w:b/>
                <w:bCs/>
                <w:sz w:val="22"/>
                <w:szCs w:val="22"/>
              </w:rPr>
            </w:pPr>
            <w:r w:rsidRPr="00A82621">
              <w:rPr>
                <w:rFonts w:ascii="Arial Narrow" w:hAnsi="Arial Narrow"/>
                <w:b/>
                <w:bCs/>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349" w:type="dxa"/>
            <w:gridSpan w:val="3"/>
            <w:shd w:val="clear" w:color="auto" w:fill="auto"/>
          </w:tcPr>
          <w:p w14:paraId="40410F4A" w14:textId="6348DEA8" w:rsidR="00D81307" w:rsidRPr="00A82621" w:rsidRDefault="00A82621" w:rsidP="00A82621">
            <w:pPr>
              <w:pStyle w:val="Default"/>
              <w:rPr>
                <w:rFonts w:ascii="Arial Narrow" w:hAnsi="Arial Narrow"/>
              </w:rPr>
            </w:pPr>
            <w:r w:rsidRPr="00A82621">
              <w:rPr>
                <w:rFonts w:ascii="Arial Narrow" w:hAnsi="Arial Narrow"/>
              </w:rPr>
              <w:t>Žiadateľ, ktorým je právnická osoba, nesmie mať právoplatným rozsudkom uložený trest zákazu prijímať dotácie alebo subvencie, trest zákazu prijímať pomoc a podporu poskytovanú z fondov Európskej únie alebo trest zákazu účasti vo verejnom obstará</w:t>
            </w:r>
            <w:r>
              <w:rPr>
                <w:rFonts w:ascii="Arial Narrow" w:hAnsi="Arial Narrow"/>
              </w:rPr>
              <w:t>vaní podľa osobitného predpisu.</w:t>
            </w:r>
          </w:p>
        </w:tc>
      </w:tr>
      <w:tr w:rsidR="00F840A0" w:rsidRPr="00954355" w14:paraId="69194EAA" w14:textId="77777777" w:rsidTr="00F863CD">
        <w:trPr>
          <w:trHeight w:val="20"/>
        </w:trPr>
        <w:tc>
          <w:tcPr>
            <w:tcW w:w="674" w:type="dxa"/>
            <w:shd w:val="clear" w:color="auto" w:fill="D9D9D9" w:themeFill="background1" w:themeFillShade="D9"/>
          </w:tcPr>
          <w:p w14:paraId="1C8150FD"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0CC763"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5"/>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14F380C3" w14:textId="42D578FD" w:rsidR="0052719E" w:rsidRDefault="0052719E" w:rsidP="0052719E">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D779DA" w:rsidRPr="00D779DA">
              <w:rPr>
                <w:rFonts w:ascii="Arial Narrow" w:hAnsi="Arial Narrow"/>
                <w:b/>
                <w:color w:val="auto"/>
                <w:sz w:val="22"/>
                <w:szCs w:val="22"/>
              </w:rPr>
              <w:t xml:space="preserve">1.3 Zvýšenie atraktivity a kvality služieb železničnej verejnej osobnej dopravy prostredníctvom obnovy mobilných prostriedkov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710446A1" w14:textId="7B6D8A82" w:rsidR="005C26C6" w:rsidRDefault="00D779DA" w:rsidP="00C56E87">
            <w:pPr>
              <w:spacing w:before="120" w:after="0" w:line="240" w:lineRule="auto"/>
              <w:jc w:val="both"/>
              <w:rPr>
                <w:rFonts w:ascii="Arial Narrow" w:hAnsi="Arial Narrow" w:cs="Arial"/>
                <w:b/>
                <w:lang w:eastAsia="sk-SK"/>
              </w:rPr>
            </w:pPr>
            <w:r w:rsidRPr="00D779DA">
              <w:rPr>
                <w:rFonts w:ascii="Arial Narrow" w:hAnsi="Arial Narrow" w:cs="Arial"/>
                <w:b/>
                <w:lang w:eastAsia="sk-SK"/>
              </w:rPr>
              <w:t>B. Obnova mobilných prostriedkov železničnej verejnej osobnej dopravy</w:t>
            </w:r>
            <w:r w:rsidR="00A82621">
              <w:rPr>
                <w:rFonts w:ascii="Arial Narrow" w:hAnsi="Arial Narrow" w:cs="Arial"/>
                <w:b/>
                <w:lang w:eastAsia="sk-SK"/>
              </w:rPr>
              <w:t>.</w:t>
            </w:r>
          </w:p>
          <w:p w14:paraId="2EFE1B6D" w14:textId="296DB6A3" w:rsidR="005A015D" w:rsidRPr="00C56E87" w:rsidRDefault="0052719E" w:rsidP="00C56E87">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1"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5"/>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41F16304" w:rsidR="005A015D" w:rsidRPr="008F26C8" w:rsidRDefault="00D779DA" w:rsidP="006A3152">
            <w:pPr>
              <w:spacing w:after="0" w:line="240" w:lineRule="auto"/>
              <w:jc w:val="both"/>
              <w:rPr>
                <w:rFonts w:ascii="Arial Narrow" w:hAnsi="Arial Narrow"/>
                <w:color w:val="FF0000"/>
              </w:rPr>
            </w:pPr>
            <w:r>
              <w:rPr>
                <w:rFonts w:ascii="Arial Narrow" w:hAnsi="Arial Narrow"/>
                <w:b/>
              </w:rPr>
              <w:t>Košický</w:t>
            </w:r>
            <w:r w:rsidR="006A3152">
              <w:rPr>
                <w:rFonts w:ascii="Arial Narrow" w:hAnsi="Arial Narrow"/>
                <w:b/>
              </w:rPr>
              <w:t xml:space="preserve"> kraj</w:t>
            </w:r>
            <w:r>
              <w:rPr>
                <w:rFonts w:ascii="Arial Narrow" w:hAnsi="Arial Narrow"/>
                <w:b/>
              </w:rPr>
              <w:t xml:space="preserve"> a Prešovský kraj</w:t>
            </w:r>
          </w:p>
        </w:tc>
      </w:tr>
      <w:tr w:rsidR="005A015D" w:rsidRPr="00954355" w14:paraId="558DADF3" w14:textId="77777777" w:rsidTr="00F863CD">
        <w:trPr>
          <w:trHeight w:val="20"/>
        </w:trPr>
        <w:tc>
          <w:tcPr>
            <w:tcW w:w="9524" w:type="dxa"/>
            <w:gridSpan w:val="5"/>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1B82DFF2" w:rsidR="005A015D" w:rsidRPr="008F26C8" w:rsidRDefault="005A015D" w:rsidP="00654BB0">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654BB0">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351ADDF" w14:textId="77777777" w:rsidTr="00F863CD">
        <w:trPr>
          <w:trHeight w:val="20"/>
        </w:trPr>
        <w:tc>
          <w:tcPr>
            <w:tcW w:w="9524" w:type="dxa"/>
            <w:gridSpan w:val="5"/>
            <w:shd w:val="clear" w:color="auto" w:fill="D9D9D9" w:themeFill="background1" w:themeFillShade="D9"/>
          </w:tcPr>
          <w:p w14:paraId="660C5CD1"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F91335A" w14:textId="77777777" w:rsidTr="00F863CD">
        <w:trPr>
          <w:trHeight w:val="20"/>
        </w:trPr>
        <w:tc>
          <w:tcPr>
            <w:tcW w:w="674" w:type="dxa"/>
            <w:shd w:val="clear" w:color="auto" w:fill="D9D9D9" w:themeFill="background1" w:themeFillShade="D9"/>
          </w:tcPr>
          <w:p w14:paraId="611FE52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0C0A7E74"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09A1E43D"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6C07A185" w14:textId="77777777" w:rsidTr="00F863CD">
        <w:trPr>
          <w:trHeight w:val="20"/>
        </w:trPr>
        <w:tc>
          <w:tcPr>
            <w:tcW w:w="674" w:type="dxa"/>
            <w:shd w:val="clear" w:color="auto" w:fill="D9D9D9" w:themeFill="background1" w:themeFillShade="D9"/>
          </w:tcPr>
          <w:p w14:paraId="606BFD01"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C933BA5" w14:textId="77777777" w:rsidTr="00F863CD">
        <w:trPr>
          <w:trHeight w:val="20"/>
        </w:trPr>
        <w:tc>
          <w:tcPr>
            <w:tcW w:w="9524" w:type="dxa"/>
            <w:gridSpan w:val="5"/>
            <w:shd w:val="clear" w:color="auto" w:fill="D9D9D9" w:themeFill="background1" w:themeFillShade="D9"/>
          </w:tcPr>
          <w:p w14:paraId="7BCC6D8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07CBC" w:rsidRPr="00954355" w14:paraId="3F3A3711" w14:textId="77777777" w:rsidTr="00F863CD">
        <w:trPr>
          <w:trHeight w:val="20"/>
        </w:trPr>
        <w:tc>
          <w:tcPr>
            <w:tcW w:w="674" w:type="dxa"/>
            <w:shd w:val="clear" w:color="auto" w:fill="D9D9D9" w:themeFill="background1" w:themeFillShade="D9"/>
          </w:tcPr>
          <w:p w14:paraId="007C0B67"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1CE1D2D" w14:textId="325E8AAC" w:rsidR="00407CBC" w:rsidRPr="009E1294" w:rsidRDefault="00407CBC" w:rsidP="00407CBC">
            <w:pPr>
              <w:pStyle w:val="Default"/>
              <w:spacing w:before="120"/>
              <w:rPr>
                <w:rFonts w:ascii="Arial Narrow" w:hAnsi="Arial Narrow"/>
                <w:b/>
                <w:bCs/>
                <w:color w:val="auto"/>
                <w:sz w:val="22"/>
                <w:szCs w:val="22"/>
              </w:rPr>
            </w:pPr>
            <w:r w:rsidRPr="009E1294">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6FFAA8D8" w14:textId="77777777" w:rsidR="00407CBC" w:rsidRPr="009E1294" w:rsidRDefault="00407CBC" w:rsidP="00407CBC">
            <w:pPr>
              <w:spacing w:before="120" w:after="0" w:line="240" w:lineRule="auto"/>
              <w:jc w:val="both"/>
              <w:rPr>
                <w:rFonts w:ascii="Arial Narrow" w:hAnsi="Arial Narrow"/>
                <w:sz w:val="24"/>
                <w:szCs w:val="24"/>
              </w:rPr>
            </w:pPr>
            <w:r w:rsidRPr="009E1294">
              <w:rPr>
                <w:rFonts w:ascii="Arial Narrow" w:hAnsi="Arial Narrow"/>
                <w:sz w:val="24"/>
                <w:szCs w:val="24"/>
              </w:rPr>
              <w:t xml:space="preserve">Projekt, ktorý je predmetom ŽoNFP, musí byť v súlade s požiadavkami v oblasti posudzovania vplyvov navrhovanej činnosti, najmä so zákonom o posudzovaní vplyvov . </w:t>
            </w:r>
          </w:p>
          <w:p w14:paraId="7E2C67CB" w14:textId="77777777" w:rsidR="00407CBC" w:rsidRPr="009E1294" w:rsidRDefault="00407CBC" w:rsidP="00407CBC">
            <w:pPr>
              <w:spacing w:before="120" w:after="0" w:line="240" w:lineRule="auto"/>
              <w:jc w:val="both"/>
              <w:rPr>
                <w:rFonts w:ascii="Arial Narrow" w:hAnsi="Arial Narrow"/>
                <w:sz w:val="24"/>
                <w:szCs w:val="24"/>
              </w:rPr>
            </w:pPr>
            <w:r w:rsidRPr="009E1294">
              <w:rPr>
                <w:rFonts w:ascii="Arial Narrow" w:hAnsi="Arial Narrow"/>
                <w:sz w:val="24"/>
                <w:szCs w:val="24"/>
              </w:rPr>
              <w:t xml:space="preserve">V prípade, ak v rámci navrhovanej činnosti došlo k zmene, zmena navrhovanej činnosti musí byť rovnako v súlade s požiadavkami v oblasti posudzovania vplyvu navrhovanej činnosti v súlade so zákonom o posudzovaní vplyvov. </w:t>
            </w:r>
          </w:p>
          <w:p w14:paraId="4B420803" w14:textId="0896C45F" w:rsidR="00407CBC" w:rsidRPr="009E1294" w:rsidRDefault="00407CBC" w:rsidP="00407CBC">
            <w:pPr>
              <w:spacing w:before="120" w:after="0" w:line="240" w:lineRule="auto"/>
              <w:jc w:val="both"/>
              <w:rPr>
                <w:rFonts w:ascii="Arial Narrow" w:hAnsi="Arial Narrow"/>
                <w:sz w:val="24"/>
                <w:szCs w:val="24"/>
              </w:rPr>
            </w:pPr>
            <w:r w:rsidRPr="009E1294">
              <w:rPr>
                <w:rFonts w:ascii="Arial Narrow" w:hAnsi="Arial Narrow"/>
                <w:sz w:val="24"/>
                <w:szCs w:val="24"/>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407CBC" w:rsidRPr="00954355" w14:paraId="346306E0" w14:textId="77777777" w:rsidTr="00F863CD">
        <w:trPr>
          <w:trHeight w:val="20"/>
        </w:trPr>
        <w:tc>
          <w:tcPr>
            <w:tcW w:w="674" w:type="dxa"/>
            <w:shd w:val="clear" w:color="auto" w:fill="D9D9D9" w:themeFill="background1" w:themeFillShade="D9"/>
          </w:tcPr>
          <w:p w14:paraId="6E366CD1"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F992C6" w14:textId="575C5BDC" w:rsidR="00407CBC" w:rsidRPr="00DF6198" w:rsidRDefault="00407CBC" w:rsidP="00407CBC">
            <w:pPr>
              <w:pStyle w:val="Default"/>
              <w:spacing w:before="120"/>
              <w:rPr>
                <w:rFonts w:ascii="Arial Narrow" w:hAnsi="Arial Narrow"/>
                <w:b/>
                <w:bCs/>
                <w:color w:val="auto"/>
                <w:sz w:val="22"/>
                <w:szCs w:val="22"/>
              </w:rPr>
            </w:pPr>
            <w:r w:rsidRPr="009E1294">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598091B7" w14:textId="1F4D8B69" w:rsidR="00407CBC" w:rsidRPr="009E1294" w:rsidRDefault="00407CBC" w:rsidP="00407CBC">
            <w:pPr>
              <w:pStyle w:val="Default"/>
              <w:spacing w:before="120"/>
              <w:jc w:val="both"/>
              <w:rPr>
                <w:rFonts w:ascii="Arial Narrow" w:hAnsi="Arial Narrow"/>
                <w:color w:val="auto"/>
              </w:rPr>
            </w:pPr>
            <w:r w:rsidRPr="009E1294">
              <w:rPr>
                <w:rFonts w:ascii="Arial Narrow" w:hAnsi="Arial Narrow"/>
                <w:color w:val="auto"/>
              </w:rPr>
              <w:t>Projekt, ktorý je predmetom ŽoNFP pravdepodobne nebude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407CBC" w:rsidRPr="00954355" w14:paraId="2126637B" w14:textId="77777777" w:rsidTr="00F863CD">
        <w:trPr>
          <w:trHeight w:val="20"/>
        </w:trPr>
        <w:tc>
          <w:tcPr>
            <w:tcW w:w="674" w:type="dxa"/>
            <w:shd w:val="clear" w:color="auto" w:fill="D9D9D9" w:themeFill="background1" w:themeFillShade="D9"/>
          </w:tcPr>
          <w:p w14:paraId="539669AA"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C6070E1" w14:textId="1B37F64E" w:rsidR="00407CBC" w:rsidRPr="009E1294" w:rsidRDefault="00407CBC" w:rsidP="00407CBC">
            <w:pPr>
              <w:pStyle w:val="Default"/>
              <w:spacing w:before="120"/>
              <w:rPr>
                <w:rFonts w:ascii="Arial Narrow" w:hAnsi="Arial Narrow"/>
                <w:b/>
                <w:bCs/>
                <w:color w:val="auto"/>
                <w:sz w:val="22"/>
                <w:szCs w:val="22"/>
              </w:rPr>
            </w:pPr>
            <w:r w:rsidRPr="009E1294">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2AD7500A" w14:textId="53BC8AA8" w:rsidR="00407CBC" w:rsidRPr="009E1294" w:rsidRDefault="00407CBC" w:rsidP="00407CBC">
            <w:pPr>
              <w:pStyle w:val="Default"/>
              <w:spacing w:before="120"/>
              <w:jc w:val="both"/>
              <w:rPr>
                <w:rFonts w:ascii="Arial Narrow" w:hAnsi="Arial Narrow"/>
                <w:color w:val="auto"/>
              </w:rPr>
            </w:pPr>
            <w:r w:rsidRPr="009E1294">
              <w:rPr>
                <w:rFonts w:ascii="Arial Narrow" w:hAnsi="Arial Narrow"/>
                <w:color w:val="auto"/>
              </w:rPr>
              <w:t>Žiadateľ/prijímateľ (v rámci projektov realizovaných z PO 1 - 6 OPII)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407CBC" w:rsidRPr="00954355" w14:paraId="0B7EFB39" w14:textId="77777777" w:rsidTr="00F863CD">
        <w:trPr>
          <w:trHeight w:val="20"/>
        </w:trPr>
        <w:tc>
          <w:tcPr>
            <w:tcW w:w="674" w:type="dxa"/>
            <w:shd w:val="clear" w:color="auto" w:fill="D9D9D9" w:themeFill="background1" w:themeFillShade="D9"/>
          </w:tcPr>
          <w:p w14:paraId="08064B88"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48C463E" w14:textId="767895A7" w:rsidR="00407CBC" w:rsidRPr="0083299A" w:rsidRDefault="00407CBC" w:rsidP="00407CBC">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12875754" w14:textId="77777777" w:rsidR="00407CBC" w:rsidRPr="0083299A" w:rsidRDefault="00407CBC" w:rsidP="00407CBC">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46FAE50" w14:textId="6D2DDCE6" w:rsidR="00407CBC" w:rsidRPr="0083299A" w:rsidRDefault="00407CBC" w:rsidP="00407CBC">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407CBC" w:rsidRPr="00954355" w14:paraId="75DAF0E8" w14:textId="77777777" w:rsidTr="00F863CD">
        <w:trPr>
          <w:trHeight w:val="20"/>
        </w:trPr>
        <w:tc>
          <w:tcPr>
            <w:tcW w:w="674" w:type="dxa"/>
            <w:shd w:val="clear" w:color="auto" w:fill="D9D9D9" w:themeFill="background1" w:themeFillShade="D9"/>
          </w:tcPr>
          <w:p w14:paraId="524128B9"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4222A" w14:textId="7E3EB61C" w:rsidR="00407CBC" w:rsidRPr="00DF6198" w:rsidRDefault="00407CBC" w:rsidP="00407CBC">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075F80C0" w14:textId="46DD5CBD" w:rsidR="00407CBC" w:rsidRPr="00DF6198" w:rsidRDefault="00407CBC" w:rsidP="00407CBC">
            <w:pPr>
              <w:pStyle w:val="Default"/>
              <w:spacing w:before="120"/>
              <w:jc w:val="both"/>
              <w:rPr>
                <w:rFonts w:ascii="Arial Narrow" w:hAnsi="Arial Narrow"/>
                <w:color w:val="auto"/>
                <w:sz w:val="22"/>
                <w:szCs w:val="22"/>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Pr>
                <w:rFonts w:ascii="Arial Narrow" w:hAnsi="Arial Narrow"/>
                <w:sz w:val="22"/>
                <w:szCs w:val="22"/>
              </w:rPr>
              <w:t xml:space="preserve">- </w:t>
            </w:r>
            <w:hyperlink r:id="rId12" w:history="1">
              <w:r w:rsidRPr="00DA056D">
                <w:rPr>
                  <w:rStyle w:val="Hypertextovprepojenie"/>
                  <w:rFonts w:ascii="Arial Narrow" w:hAnsi="Arial Narrow"/>
                  <w:sz w:val="22"/>
                  <w:szCs w:val="22"/>
                </w:rPr>
                <w:t>Príručka k oprávnenosti výdavkov - OPII - Operačný program Integrovaná infraštruktúra</w:t>
              </w:r>
            </w:hyperlink>
            <w:r>
              <w:rPr>
                <w:rStyle w:val="Hypertextovprepojenie"/>
                <w:rFonts w:ascii="Arial Narrow" w:hAnsi="Arial Narrow"/>
                <w:sz w:val="22"/>
                <w:szCs w:val="22"/>
              </w:rPr>
              <w:t>.</w:t>
            </w:r>
          </w:p>
        </w:tc>
      </w:tr>
      <w:tr w:rsidR="00407CBC" w:rsidRPr="00954355" w14:paraId="0C069CDF" w14:textId="77777777" w:rsidTr="00F863CD">
        <w:trPr>
          <w:trHeight w:val="20"/>
        </w:trPr>
        <w:tc>
          <w:tcPr>
            <w:tcW w:w="674" w:type="dxa"/>
            <w:shd w:val="clear" w:color="auto" w:fill="D9D9D9" w:themeFill="background1" w:themeFillShade="D9"/>
          </w:tcPr>
          <w:p w14:paraId="65113239"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FC0A46C" w14:textId="77777777" w:rsidR="00407CBC" w:rsidRPr="00F1589B" w:rsidRDefault="00407CBC" w:rsidP="00407CBC">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7C70BCC4" w14:textId="77777777" w:rsidR="00407CBC" w:rsidRPr="00D45093" w:rsidRDefault="00407CBC" w:rsidP="00407CBC">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Pr="00DA056D">
                <w:rPr>
                  <w:rStyle w:val="Hypertextovprepojenie"/>
                  <w:rFonts w:ascii="Arial Narrow" w:hAnsi="Arial Narrow"/>
                </w:rPr>
                <w:t>Prehľad ukazovateľov OPII - OPII - Operačný program Integrovaná infraštruktúra</w:t>
              </w:r>
            </w:hyperlink>
            <w:r>
              <w:rPr>
                <w:rStyle w:val="Hypertextovprepojenie"/>
                <w:rFonts w:ascii="Arial Narrow" w:hAnsi="Arial Narrow"/>
              </w:rPr>
              <w:t>.</w:t>
            </w:r>
          </w:p>
        </w:tc>
      </w:tr>
      <w:tr w:rsidR="00407CBC" w:rsidRPr="00954355" w14:paraId="1F498735" w14:textId="77777777" w:rsidTr="00F863CD">
        <w:trPr>
          <w:trHeight w:val="20"/>
        </w:trPr>
        <w:tc>
          <w:tcPr>
            <w:tcW w:w="674" w:type="dxa"/>
            <w:shd w:val="clear" w:color="auto" w:fill="D9D9D9" w:themeFill="background1" w:themeFillShade="D9"/>
          </w:tcPr>
          <w:p w14:paraId="370C4923"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D5EA33F" w14:textId="03CF8989" w:rsidR="00407CBC" w:rsidRDefault="00407CBC" w:rsidP="00407CBC">
            <w:pPr>
              <w:pStyle w:val="Default"/>
              <w:spacing w:before="120"/>
              <w:rPr>
                <w:rFonts w:ascii="Arial Narrow" w:hAnsi="Arial Narrow"/>
                <w:b/>
                <w:bCs/>
                <w:sz w:val="22"/>
                <w:szCs w:val="22"/>
              </w:rPr>
            </w:pPr>
            <w:r w:rsidRPr="00230DC8">
              <w:rPr>
                <w:rFonts w:ascii="Arial Narrow" w:hAnsi="Arial Narrow"/>
                <w:b/>
                <w:bCs/>
                <w:sz w:val="22"/>
                <w:szCs w:val="22"/>
              </w:rPr>
              <w:t>Podmienka, že žiadateľ má vypracovanú štúdiu realizovateľnosti</w:t>
            </w:r>
          </w:p>
        </w:tc>
        <w:tc>
          <w:tcPr>
            <w:tcW w:w="6339" w:type="dxa"/>
            <w:gridSpan w:val="2"/>
            <w:shd w:val="clear" w:color="auto" w:fill="auto"/>
          </w:tcPr>
          <w:p w14:paraId="454CE49F" w14:textId="443E7A00" w:rsidR="00407CBC" w:rsidRPr="00230DC8" w:rsidRDefault="00743FE5" w:rsidP="00407CBC">
            <w:pPr>
              <w:spacing w:before="120" w:after="0" w:line="240" w:lineRule="auto"/>
              <w:jc w:val="both"/>
              <w:rPr>
                <w:rFonts w:ascii="Arial Narrow" w:hAnsi="Arial Narrow"/>
              </w:rPr>
            </w:pPr>
            <w:r>
              <w:rPr>
                <w:rFonts w:ascii="Arial Narrow" w:hAnsi="Arial Narrow"/>
              </w:rPr>
              <w:t xml:space="preserve">V </w:t>
            </w:r>
            <w:r w:rsidR="00407CBC" w:rsidRPr="00230DC8">
              <w:rPr>
                <w:rFonts w:ascii="Arial Narrow" w:hAnsi="Arial Narrow"/>
              </w:rPr>
              <w:t>zmysle schváleného dokumentu OPII  n</w:t>
            </w:r>
            <w:r w:rsidR="00407CBC" w:rsidRPr="00230DC8">
              <w:rPr>
                <w:rFonts w:ascii="Arial Narrow" w:hAnsi="Arial Narrow"/>
                <w:b/>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00407CBC" w:rsidRPr="00230DC8">
              <w:rPr>
                <w:rFonts w:ascii="Arial Narrow" w:hAnsi="Arial Narrow"/>
              </w:rPr>
              <w:t xml:space="preserve">Štúdia má potvrdiť správnosť navrhovaného riešenia, a to z dopravného, technického, ekonomického a environmentálneho hľadiska.  </w:t>
            </w:r>
          </w:p>
          <w:p w14:paraId="62A9986D" w14:textId="69F38440" w:rsidR="00407CBC" w:rsidRDefault="00407CBC" w:rsidP="00407CBC">
            <w:pPr>
              <w:spacing w:before="120" w:after="0" w:line="240" w:lineRule="auto"/>
              <w:jc w:val="both"/>
              <w:rPr>
                <w:rFonts w:ascii="Arial Narrow" w:hAnsi="Arial Narrow"/>
              </w:rPr>
            </w:pPr>
            <w:r w:rsidRPr="00230DC8">
              <w:rPr>
                <w:rFonts w:ascii="Arial Narrow" w:hAnsi="Arial Narrow"/>
              </w:rPr>
              <w:t xml:space="preserve">Žiadateľ pri spracovaní štúdie realizovateľnosti postupuje podľa príslušných ustanovení </w:t>
            </w:r>
            <w:r w:rsidRPr="00230DC8">
              <w:rPr>
                <w:rFonts w:ascii="Arial Narrow" w:hAnsi="Arial Narrow"/>
                <w:b/>
              </w:rPr>
              <w:t>Metodického rámca pre vypracovanie štúdie uskutočniteľnosti</w:t>
            </w:r>
            <w:r w:rsidRPr="00230DC8">
              <w:rPr>
                <w:rFonts w:ascii="Arial Narrow" w:hAnsi="Arial Narrow"/>
              </w:rPr>
              <w:t xml:space="preserve">, ktorá je zverejnená na webovom sídle OPII </w:t>
            </w:r>
            <w:hyperlink r:id="rId14" w:history="1">
              <w:r w:rsidRPr="00230DC8">
                <w:rPr>
                  <w:rStyle w:val="Hypertextovprepojenie"/>
                  <w:rFonts w:ascii="Arial Narrow" w:hAnsi="Arial Narrow"/>
                </w:rPr>
                <w:t>https://www.opii.gov.sk/metodicke-dokumenty/prirucka-cba</w:t>
              </w:r>
            </w:hyperlink>
            <w:r w:rsidRPr="00230DC8">
              <w:rPr>
                <w:rFonts w:ascii="Arial Narrow" w:hAnsi="Arial Narrow"/>
              </w:rPr>
              <w:t>.</w:t>
            </w:r>
          </w:p>
        </w:tc>
      </w:tr>
      <w:tr w:rsidR="00407CBC" w:rsidRPr="00954355" w14:paraId="7F263138" w14:textId="77777777" w:rsidTr="00F863CD">
        <w:trPr>
          <w:trHeight w:val="20"/>
        </w:trPr>
        <w:tc>
          <w:tcPr>
            <w:tcW w:w="674" w:type="dxa"/>
            <w:shd w:val="clear" w:color="auto" w:fill="D9D9D9" w:themeFill="background1" w:themeFillShade="D9"/>
          </w:tcPr>
          <w:p w14:paraId="74BCDF9D"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CDB8A9E" w14:textId="77777777" w:rsidR="00407CBC" w:rsidRDefault="00407CBC" w:rsidP="00407CBC">
            <w:pPr>
              <w:pStyle w:val="Default"/>
              <w:spacing w:before="120"/>
              <w:rPr>
                <w:rFonts w:ascii="Arial Narrow" w:hAnsi="Arial Narrow"/>
                <w:b/>
                <w:bCs/>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5D61772F" w14:textId="77777777" w:rsidR="00407CBC" w:rsidRDefault="00407CBC" w:rsidP="00407CBC">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5"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407CBC" w:rsidRPr="00954355" w14:paraId="24856D9D" w14:textId="77777777" w:rsidTr="00F863CD">
        <w:trPr>
          <w:trHeight w:val="20"/>
        </w:trPr>
        <w:tc>
          <w:tcPr>
            <w:tcW w:w="674" w:type="dxa"/>
            <w:shd w:val="clear" w:color="auto" w:fill="D9D9D9" w:themeFill="background1" w:themeFillShade="D9"/>
          </w:tcPr>
          <w:p w14:paraId="16189319" w14:textId="77777777" w:rsidR="00407CBC" w:rsidRPr="00F61671" w:rsidRDefault="00407CBC" w:rsidP="00407CBC">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7CFE852" w14:textId="69FEF8C4" w:rsidR="00407CBC" w:rsidRPr="008F26C8" w:rsidRDefault="00407CBC" w:rsidP="00407CBC">
            <w:pPr>
              <w:pStyle w:val="Default"/>
              <w:spacing w:before="120"/>
              <w:rPr>
                <w:rFonts w:ascii="Arial Narrow" w:hAnsi="Arial Narrow"/>
                <w:b/>
                <w:bCs/>
                <w:sz w:val="22"/>
                <w:szCs w:val="22"/>
              </w:rPr>
            </w:pPr>
            <w:r w:rsidRPr="00230DC8">
              <w:rPr>
                <w:rFonts w:ascii="Arial Narrow" w:hAnsi="Arial Narrow"/>
                <w:b/>
                <w:bCs/>
                <w:sz w:val="22"/>
                <w:szCs w:val="22"/>
              </w:rPr>
              <w:t>Podmienka oprávnenosti výdavkov pre projekty generujúce príjem /negenerujúce príjem v prípade štrukturálne významných investícií</w:t>
            </w:r>
          </w:p>
        </w:tc>
        <w:tc>
          <w:tcPr>
            <w:tcW w:w="6339" w:type="dxa"/>
            <w:gridSpan w:val="2"/>
            <w:shd w:val="clear" w:color="auto" w:fill="auto"/>
          </w:tcPr>
          <w:p w14:paraId="7A8C0579" w14:textId="77777777" w:rsidR="00407CBC" w:rsidRPr="00230DC8" w:rsidRDefault="00407CBC" w:rsidP="00407CBC">
            <w:pPr>
              <w:spacing w:before="120" w:after="0" w:line="240" w:lineRule="auto"/>
              <w:jc w:val="both"/>
              <w:rPr>
                <w:rFonts w:ascii="Arial Narrow" w:hAnsi="Arial Narrow"/>
              </w:rPr>
            </w:pPr>
            <w:r w:rsidRPr="00230DC8">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5555B659" w14:textId="77777777" w:rsidR="00407CBC" w:rsidRDefault="00407CBC" w:rsidP="00407CBC">
            <w:pPr>
              <w:spacing w:before="120" w:after="0" w:line="240" w:lineRule="auto"/>
              <w:jc w:val="both"/>
              <w:rPr>
                <w:rFonts w:ascii="Arial Narrow" w:hAnsi="Arial Narrow"/>
              </w:rPr>
            </w:pPr>
            <w:r w:rsidRPr="00230DC8">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p w14:paraId="0E105B26" w14:textId="3C17E262" w:rsidR="0010583F" w:rsidRPr="0010583F" w:rsidRDefault="0010583F" w:rsidP="00407CBC">
            <w:pPr>
              <w:spacing w:before="120" w:after="0" w:line="240" w:lineRule="auto"/>
              <w:jc w:val="both"/>
              <w:rPr>
                <w:rFonts w:ascii="Arial Narrow" w:hAnsi="Arial Narrow"/>
                <w:bCs/>
              </w:rPr>
            </w:pPr>
            <w:r w:rsidRPr="0010583F">
              <w:rPr>
                <w:rFonts w:ascii="Arial Narrow" w:hAnsi="Arial Narrow"/>
                <w:bCs/>
              </w:rPr>
              <w:t xml:space="preserve">Pre </w:t>
            </w:r>
            <w:r w:rsidRPr="0010583F">
              <w:rPr>
                <w:rFonts w:ascii="Arial Narrow" w:hAnsi="Arial Narrow"/>
              </w:rPr>
              <w:t>projekty</w:t>
            </w:r>
            <w:r w:rsidRPr="0010583F">
              <w:rPr>
                <w:rFonts w:ascii="Arial Narrow" w:hAnsi="Arial Narrow"/>
                <w:bCs/>
              </w:rPr>
              <w:t xml:space="preserve"> s odhadovanou hodnotou </w:t>
            </w:r>
            <w:r w:rsidRPr="0010583F">
              <w:rPr>
                <w:rFonts w:ascii="Arial Narrow" w:hAnsi="Arial Narrow"/>
                <w:b/>
                <w:bCs/>
              </w:rPr>
              <w:t>nad 40 mil. EUR (s DPH)</w:t>
            </w:r>
            <w:r w:rsidRPr="0010583F">
              <w:rPr>
                <w:rFonts w:ascii="Arial Narrow" w:hAnsi="Arial Narrow"/>
                <w:bCs/>
              </w:rPr>
              <w:t xml:space="preserve"> sa vzťahujú ustanovenia definované v Rámci na hodnotenie verejných investičných projektov v SR, pokiaľ vláda SR nestanoví inak (Revízia výdavkov na dopravu a pod.).</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AE1AA4"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5087937C" w14:textId="77777777" w:rsidR="00AE1AA4" w:rsidRDefault="00AE1AA4" w:rsidP="00AE1AA4">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 xml:space="preserve">V prípade písomného vyzvania  č. </w:t>
            </w:r>
            <w:r w:rsidRPr="00797B61">
              <w:rPr>
                <w:rFonts w:ascii="Arial Narrow" w:hAnsi="Arial Narrow" w:cs="Arial"/>
                <w:lang w:eastAsia="sk-SK"/>
              </w:rPr>
              <w:t>OPII-106-1.3-ZSSK-ZKV3</w:t>
            </w:r>
            <w:r w:rsidRPr="00707011">
              <w:rPr>
                <w:rFonts w:ascii="Arial Narrow" w:hAnsi="Arial Narrow" w:cs="Arial"/>
                <w:lang w:eastAsia="sk-SK"/>
              </w:rPr>
              <w:t xml:space="preserve"> </w:t>
            </w:r>
            <w:r>
              <w:rPr>
                <w:rFonts w:ascii="Arial Narrow" w:hAnsi="Arial Narrow" w:cs="Arial"/>
                <w:lang w:eastAsia="sk-SK"/>
              </w:rPr>
              <w:t>boli v rámci schváleného Harmonogramu vyzvaní OPII pre veľké projekty, národné projekty a projekty technickej pomoci na rok 2021 identifikované synergické a komplementárne účinky medzi nasledovnými špecifickými cieľmi:</w:t>
            </w:r>
          </w:p>
          <w:p w14:paraId="7C31EC96" w14:textId="77777777" w:rsidR="00AE1AA4" w:rsidRDefault="00AE1AA4" w:rsidP="00AE1AA4">
            <w:pPr>
              <w:autoSpaceDE w:val="0"/>
              <w:autoSpaceDN w:val="0"/>
              <w:adjustRightInd w:val="0"/>
              <w:spacing w:before="120" w:after="0" w:line="240" w:lineRule="auto"/>
              <w:jc w:val="both"/>
              <w:rPr>
                <w:rFonts w:ascii="Arial Narrow" w:hAnsi="Arial Narrow" w:cs="Arial"/>
                <w:lang w:eastAsia="sk-SK"/>
              </w:rPr>
            </w:pPr>
            <w:r>
              <w:rPr>
                <w:rFonts w:ascii="Arial Narrow" w:hAnsi="Arial Narrow" w:cs="Arial"/>
                <w:lang w:eastAsia="sk-SK"/>
              </w:rPr>
              <w:t>Operačný program: IROP</w:t>
            </w:r>
          </w:p>
          <w:p w14:paraId="22EDFE68" w14:textId="77777777" w:rsidR="00BB7442" w:rsidRDefault="00BB7442" w:rsidP="00AE1AA4">
            <w:pPr>
              <w:autoSpaceDE w:val="0"/>
              <w:autoSpaceDN w:val="0"/>
              <w:adjustRightInd w:val="0"/>
              <w:spacing w:before="120" w:after="0" w:line="240" w:lineRule="auto"/>
              <w:jc w:val="both"/>
              <w:rPr>
                <w:ins w:id="2" w:author="GC" w:date="2021-05-26T11:02:00Z"/>
                <w:rFonts w:ascii="Arial Narrow" w:hAnsi="Arial Narrow" w:cs="Arial"/>
                <w:lang w:eastAsia="sk-SK"/>
              </w:rPr>
            </w:pPr>
            <w:ins w:id="3" w:author="GC" w:date="2021-05-26T11:02:00Z">
              <w:r w:rsidRPr="00BB7442">
                <w:rPr>
                  <w:rFonts w:ascii="Arial Narrow" w:hAnsi="Arial Narrow" w:cs="Arial"/>
                  <w:lang w:eastAsia="sk-SK"/>
                </w:rPr>
                <w:t>Špecifický cieľ: 1.2.1: Zvyšovanie atraktivity a konkurencieschopnosti verejnej osobnej dopravy</w:t>
              </w:r>
            </w:ins>
          </w:p>
          <w:p w14:paraId="224E2FF4" w14:textId="6627E0F5" w:rsidR="00AE1AA4" w:rsidRPr="00392470" w:rsidRDefault="00AE1AA4" w:rsidP="00AE1AA4">
            <w:pPr>
              <w:autoSpaceDE w:val="0"/>
              <w:autoSpaceDN w:val="0"/>
              <w:adjustRightInd w:val="0"/>
              <w:spacing w:before="120" w:after="0" w:line="240" w:lineRule="auto"/>
              <w:jc w:val="both"/>
              <w:rPr>
                <w:rFonts w:ascii="Arial Narrow" w:hAnsi="Arial Narrow" w:cs="Arial"/>
                <w:lang w:eastAsia="sk-SK"/>
              </w:rPr>
            </w:pPr>
            <w:r w:rsidRPr="00392470">
              <w:rPr>
                <w:rFonts w:ascii="Arial Narrow" w:hAnsi="Arial Narrow" w:cs="Arial"/>
                <w:lang w:eastAsia="sk-SK"/>
              </w:rPr>
              <w:t>Špecifický cieľ: 7.1: Zvyšovanie atraktivity a konkurencieschopnosti verejnej osobnej dopravy</w:t>
            </w:r>
          </w:p>
          <w:p w14:paraId="2C92680D" w14:textId="77777777" w:rsidR="00AE1AA4" w:rsidRPr="00392470" w:rsidRDefault="00AE1AA4" w:rsidP="00AE1AA4">
            <w:pPr>
              <w:autoSpaceDE w:val="0"/>
              <w:autoSpaceDN w:val="0"/>
              <w:adjustRightInd w:val="0"/>
              <w:spacing w:before="120" w:after="0" w:line="240" w:lineRule="auto"/>
              <w:jc w:val="both"/>
              <w:rPr>
                <w:rFonts w:ascii="Arial Narrow" w:hAnsi="Arial Narrow" w:cs="Arial"/>
                <w:lang w:eastAsia="sk-SK"/>
              </w:rPr>
            </w:pPr>
            <w:r w:rsidRPr="00392470">
              <w:rPr>
                <w:rFonts w:ascii="Arial Narrow" w:hAnsi="Arial Narrow" w:cs="Arial"/>
                <w:lang w:eastAsia="sk-SK"/>
              </w:rPr>
              <w:t>Časové zosúladenie termínov vyhlásených vyzvaní:</w:t>
            </w:r>
          </w:p>
          <w:p w14:paraId="07AE8E59" w14:textId="07DE5611" w:rsidR="00AE1AA4" w:rsidRPr="00392470" w:rsidRDefault="00AE1AA4" w:rsidP="00AE1AA4">
            <w:pPr>
              <w:autoSpaceDE w:val="0"/>
              <w:autoSpaceDN w:val="0"/>
              <w:adjustRightInd w:val="0"/>
              <w:spacing w:before="120" w:after="0" w:line="240" w:lineRule="auto"/>
              <w:jc w:val="both"/>
              <w:rPr>
                <w:rFonts w:ascii="Arial Narrow" w:hAnsi="Arial Narrow" w:cs="Arial"/>
                <w:lang w:eastAsia="sk-SK"/>
              </w:rPr>
            </w:pPr>
            <w:del w:id="4" w:author="GC" w:date="2021-05-26T11:28:00Z">
              <w:r w:rsidRPr="00392470" w:rsidDel="00E82DEF">
                <w:rPr>
                  <w:rFonts w:ascii="Arial Narrow" w:hAnsi="Arial Narrow" w:cs="Arial"/>
                  <w:lang w:eastAsia="sk-SK"/>
                </w:rPr>
                <w:delText>Vyzvani</w:delText>
              </w:r>
              <w:r w:rsidDel="00E82DEF">
                <w:rPr>
                  <w:rFonts w:ascii="Arial Narrow" w:hAnsi="Arial Narrow" w:cs="Arial"/>
                  <w:lang w:eastAsia="sk-SK"/>
                </w:rPr>
                <w:delText>e</w:delText>
              </w:r>
              <w:r w:rsidRPr="00392470" w:rsidDel="00E82DEF">
                <w:rPr>
                  <w:rFonts w:ascii="Arial Narrow" w:hAnsi="Arial Narrow" w:cs="Arial"/>
                  <w:lang w:eastAsia="sk-SK"/>
                </w:rPr>
                <w:delText xml:space="preserve"> </w:delText>
              </w:r>
            </w:del>
            <w:ins w:id="5" w:author="GC" w:date="2021-05-26T11:28:00Z">
              <w:r w:rsidR="00E82DEF" w:rsidRPr="00392470">
                <w:rPr>
                  <w:rFonts w:ascii="Arial Narrow" w:hAnsi="Arial Narrow" w:cs="Arial"/>
                  <w:lang w:eastAsia="sk-SK"/>
                </w:rPr>
                <w:t>Vyzvani</w:t>
              </w:r>
              <w:r w:rsidR="00E82DEF">
                <w:rPr>
                  <w:rFonts w:ascii="Arial Narrow" w:hAnsi="Arial Narrow" w:cs="Arial"/>
                  <w:lang w:eastAsia="sk-SK"/>
                </w:rPr>
                <w:t>a</w:t>
              </w:r>
              <w:r w:rsidR="00E82DEF" w:rsidRPr="00392470">
                <w:rPr>
                  <w:rFonts w:ascii="Arial Narrow" w:hAnsi="Arial Narrow" w:cs="Arial"/>
                  <w:lang w:eastAsia="sk-SK"/>
                </w:rPr>
                <w:t xml:space="preserve"> </w:t>
              </w:r>
            </w:ins>
            <w:r w:rsidRPr="00392470">
              <w:rPr>
                <w:rFonts w:ascii="Arial Narrow" w:hAnsi="Arial Narrow" w:cs="Arial"/>
                <w:lang w:eastAsia="sk-SK"/>
              </w:rPr>
              <w:t xml:space="preserve">IROP </w:t>
            </w:r>
            <w:del w:id="6" w:author="GC" w:date="2021-05-26T11:28:00Z">
              <w:r w:rsidDel="00E82DEF">
                <w:rPr>
                  <w:rFonts w:ascii="Arial Narrow" w:hAnsi="Arial Narrow" w:cs="Arial"/>
                  <w:lang w:eastAsia="sk-SK"/>
                </w:rPr>
                <w:delText>je</w:delText>
              </w:r>
              <w:r w:rsidRPr="00392470" w:rsidDel="00E82DEF">
                <w:rPr>
                  <w:rFonts w:ascii="Arial Narrow" w:hAnsi="Arial Narrow" w:cs="Arial"/>
                  <w:lang w:eastAsia="sk-SK"/>
                </w:rPr>
                <w:delText xml:space="preserve">  </w:delText>
              </w:r>
            </w:del>
            <w:ins w:id="7" w:author="GC" w:date="2021-05-26T11:28:00Z">
              <w:r w:rsidR="00E82DEF">
                <w:rPr>
                  <w:rFonts w:ascii="Arial Narrow" w:hAnsi="Arial Narrow" w:cs="Arial"/>
                  <w:lang w:eastAsia="sk-SK"/>
                </w:rPr>
                <w:t>sú</w:t>
              </w:r>
              <w:r w:rsidR="00E82DEF" w:rsidRPr="00392470">
                <w:rPr>
                  <w:rFonts w:ascii="Arial Narrow" w:hAnsi="Arial Narrow" w:cs="Arial"/>
                  <w:lang w:eastAsia="sk-SK"/>
                </w:rPr>
                <w:t xml:space="preserve"> </w:t>
              </w:r>
            </w:ins>
            <w:r w:rsidRPr="00392470">
              <w:rPr>
                <w:rFonts w:ascii="Arial Narrow" w:hAnsi="Arial Narrow" w:cs="Arial"/>
                <w:lang w:eastAsia="sk-SK"/>
              </w:rPr>
              <w:t>plánované na</w:t>
            </w:r>
            <w:ins w:id="8" w:author="GC" w:date="2021-05-26T11:29:00Z">
              <w:r w:rsidR="00E82DEF">
                <w:rPr>
                  <w:rFonts w:ascii="Arial Narrow" w:hAnsi="Arial Narrow" w:cs="Arial"/>
                  <w:lang w:eastAsia="sk-SK"/>
                </w:rPr>
                <w:t xml:space="preserve"> máj 2021 a</w:t>
              </w:r>
            </w:ins>
            <w:r w:rsidRPr="00392470">
              <w:rPr>
                <w:rFonts w:ascii="Arial Narrow" w:hAnsi="Arial Narrow" w:cs="Arial"/>
                <w:lang w:eastAsia="sk-SK"/>
              </w:rPr>
              <w:t xml:space="preserve"> jún 2021.</w:t>
            </w:r>
          </w:p>
          <w:p w14:paraId="4E9794B8" w14:textId="77777777" w:rsidR="00AE1AA4" w:rsidRPr="00392470" w:rsidRDefault="00AE1AA4" w:rsidP="00AE1AA4">
            <w:pPr>
              <w:autoSpaceDE w:val="0"/>
              <w:autoSpaceDN w:val="0"/>
              <w:adjustRightInd w:val="0"/>
              <w:spacing w:before="120" w:after="0" w:line="240" w:lineRule="auto"/>
              <w:jc w:val="both"/>
              <w:rPr>
                <w:rFonts w:ascii="Arial Narrow" w:hAnsi="Arial Narrow" w:cs="Arial"/>
                <w:lang w:eastAsia="sk-SK"/>
              </w:rPr>
            </w:pPr>
            <w:r w:rsidRPr="00392470">
              <w:rPr>
                <w:rFonts w:ascii="Arial Narrow" w:hAnsi="Arial Narrow" w:cs="Arial"/>
                <w:lang w:eastAsia="sk-SK"/>
              </w:rPr>
              <w:t>Informácia o oblastiach, v rámci ktorých dochádza k synergii či komplementárnym účinkom:</w:t>
            </w:r>
          </w:p>
          <w:p w14:paraId="62FEF0D2" w14:textId="28312D03" w:rsidR="00AE1AA4" w:rsidRPr="00E30C7E" w:rsidRDefault="00AE1AA4" w:rsidP="00AE1AA4">
            <w:pPr>
              <w:autoSpaceDE w:val="0"/>
              <w:autoSpaceDN w:val="0"/>
              <w:adjustRightInd w:val="0"/>
              <w:spacing w:before="120" w:after="0" w:line="240" w:lineRule="auto"/>
              <w:jc w:val="both"/>
              <w:rPr>
                <w:rFonts w:ascii="Arial Narrow" w:hAnsi="Arial Narrow"/>
                <w:color w:val="000000"/>
                <w:sz w:val="20"/>
                <w:szCs w:val="20"/>
                <w:lang w:eastAsia="sk-SK"/>
              </w:rPr>
            </w:pPr>
            <w:r w:rsidRPr="00392470">
              <w:rPr>
                <w:rFonts w:ascii="Arial Narrow" w:hAnsi="Arial Narrow"/>
              </w:rPr>
              <w:t xml:space="preserve">Aktivity uvedených synergických vyzvaní prispievajú k zatraktívneniu verejnej osobnej dopravy. </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5497D6" w14:textId="77777777" w:rsidR="00AC1470" w:rsidRPr="00F1589B" w:rsidRDefault="00AC1470" w:rsidP="00AC147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7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0B24474C"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09CFF74B" w14:textId="77777777"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779DA" w14:paraId="4B7E833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55689CA8" w14:textId="5ECE8722" w:rsidR="00D779DA" w:rsidRDefault="00D779DA"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94EB4E5" w14:textId="511AFD32" w:rsidR="00D779DA" w:rsidRPr="0030137E" w:rsidRDefault="00D779DA" w:rsidP="00D37D33">
            <w:pPr>
              <w:spacing w:before="120" w:after="0" w:line="240" w:lineRule="auto"/>
              <w:ind w:left="34"/>
              <w:jc w:val="both"/>
              <w:rPr>
                <w:rFonts w:ascii="Arial Narrow" w:hAnsi="Arial Narrow" w:cstheme="minorHAnsi"/>
                <w:bCs/>
                <w:iCs/>
              </w:rPr>
            </w:pPr>
            <w:r>
              <w:rPr>
                <w:rFonts w:ascii="Arial Narrow" w:hAnsi="Arial Narrow" w:cstheme="minorHAnsi"/>
                <w:bCs/>
                <w:iCs/>
              </w:rPr>
              <w:t>Hodnotiace kritériá</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2E9E681C" w:rsidR="00D37D33" w:rsidRPr="00FF5D3E" w:rsidRDefault="00D779DA"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6" w:history="1">
              <w:r w:rsidR="008E0D0C" w:rsidRPr="00470E0C">
                <w:rPr>
                  <w:rStyle w:val="Hypertextovprepojenie"/>
                  <w:rFonts w:ascii="Arial Narrow" w:hAnsi="Arial Narrow" w:cstheme="minorHAnsi"/>
                  <w:bCs/>
                  <w:iCs/>
                </w:rPr>
                <w:t>http://www.olaf.vlada.gov.sk/system-vcasneho-odhalovania-rizika-a-vylucenia-edes/</w:t>
              </w:r>
            </w:hyperlink>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7"/>
      <w:footerReference w:type="default" r:id="rId18"/>
      <w:footerReference w:type="firs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0BC224" w14:textId="77777777" w:rsidR="008276B9" w:rsidRDefault="008276B9" w:rsidP="00784ECE">
      <w:pPr>
        <w:spacing w:after="0" w:line="240" w:lineRule="auto"/>
      </w:pPr>
      <w:r>
        <w:separator/>
      </w:r>
    </w:p>
  </w:endnote>
  <w:endnote w:type="continuationSeparator" w:id="0">
    <w:p w14:paraId="2793EB64" w14:textId="77777777" w:rsidR="008276B9" w:rsidRDefault="008276B9"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066E2F53"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D5459B">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B0476" w14:textId="77777777" w:rsidR="008276B9" w:rsidRDefault="008276B9" w:rsidP="00784ECE">
      <w:pPr>
        <w:spacing w:after="0" w:line="240" w:lineRule="auto"/>
      </w:pPr>
      <w:r>
        <w:separator/>
      </w:r>
    </w:p>
  </w:footnote>
  <w:footnote w:type="continuationSeparator" w:id="0">
    <w:p w14:paraId="0F7E33DC" w14:textId="77777777" w:rsidR="008276B9" w:rsidRDefault="008276B9" w:rsidP="00784ECE">
      <w:pPr>
        <w:spacing w:after="0" w:line="240" w:lineRule="auto"/>
      </w:pPr>
      <w:r>
        <w:continuationSeparator/>
      </w:r>
    </w:p>
  </w:footnote>
  <w:footnote w:id="1">
    <w:p w14:paraId="138043EA" w14:textId="77777777" w:rsidR="00407CBC" w:rsidRPr="00792BD1" w:rsidRDefault="00407CBC"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3ABA3243" w14:textId="77777777" w:rsidR="00407CBC" w:rsidRPr="00792BD1" w:rsidRDefault="00407CBC"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14270E68" w14:textId="77777777" w:rsidR="00407CBC" w:rsidRPr="00792BD1" w:rsidRDefault="00407CBC"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39606BFF" w14:textId="77777777" w:rsidR="00407CBC" w:rsidRPr="00792BD1" w:rsidRDefault="00407CBC"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431BE2AA" w14:textId="77777777" w:rsidR="00407CBC" w:rsidRPr="00792BD1" w:rsidRDefault="00407CBC"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1FD3631C" w14:textId="77777777" w:rsidR="00407CBC" w:rsidRPr="00792BD1" w:rsidRDefault="00407CB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0B8DEA5D" w14:textId="77777777" w:rsidR="00407CBC" w:rsidRPr="00792BD1" w:rsidRDefault="00407CBC"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E64A64F" w14:textId="77777777" w:rsidR="00407CBC" w:rsidRPr="00792BD1" w:rsidRDefault="00407CBC"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564D0B33" w14:textId="1F1436CA" w:rsidR="00407CBC" w:rsidRPr="007F2030" w:rsidRDefault="00407CBC"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w:t>
      </w:r>
      <w:r w:rsidR="001B64B8" w:rsidRPr="00311ABE">
        <w:rPr>
          <w:rFonts w:ascii="Arial Narrow" w:hAnsi="Arial Narrow"/>
          <w:sz w:val="18"/>
          <w:szCs w:val="18"/>
        </w:rPr>
        <w:t xml:space="preserve">HP UR na webovom sídle </w:t>
      </w:r>
      <w:hyperlink r:id="rId2" w:history="1">
        <w:r w:rsidR="001B64B8" w:rsidRPr="00155C47">
          <w:rPr>
            <w:rStyle w:val="Hypertextovprepojenie"/>
            <w:rFonts w:ascii="Arial Narrow" w:hAnsi="Arial Narrow"/>
            <w:sz w:val="18"/>
            <w:szCs w:val="18"/>
          </w:rPr>
          <w:t>www.mirri.gov.sk</w:t>
        </w:r>
      </w:hyperlink>
      <w:r w:rsidR="001B64B8" w:rsidRPr="001D2375">
        <w:rPr>
          <w:rStyle w:val="Hypertextovprepojenie"/>
          <w:rFonts w:ascii="Arial Narrow" w:hAnsi="Arial Narrow"/>
          <w:sz w:val="18"/>
          <w:szCs w:val="18"/>
          <w:u w:val="none"/>
        </w:rPr>
        <w:t xml:space="preserve"> </w:t>
      </w:r>
      <w:r w:rsidR="001B64B8">
        <w:rPr>
          <w:rFonts w:ascii="Arial Narrow" w:hAnsi="Arial Narrow"/>
          <w:sz w:val="18"/>
          <w:szCs w:val="18"/>
        </w:rPr>
        <w:t>(sekcie – CKO/HP UR 2014 - 2020)</w:t>
      </w:r>
      <w:r w:rsidR="001B64B8" w:rsidRPr="00311ABE">
        <w:rPr>
          <w:rFonts w:ascii="Arial Narrow" w:hAnsi="Arial Narrow"/>
          <w:sz w:val="18"/>
          <w:szCs w:val="18"/>
        </w:rPr>
        <w:t xml:space="preserve">. Systém implementácie HP RMŽaN na webovom sídle </w:t>
      </w:r>
      <w:hyperlink r:id="rId3" w:history="1">
        <w:r w:rsidR="001B64B8" w:rsidRPr="00155C47">
          <w:rPr>
            <w:rStyle w:val="Hypertextovprepojenie"/>
            <w:rFonts w:ascii="Arial Narrow" w:hAnsi="Arial Narrow"/>
            <w:sz w:val="18"/>
            <w:szCs w:val="18"/>
          </w:rPr>
          <w:t>www.gender.gov.sk</w:t>
        </w:r>
      </w:hyperlink>
      <w:r w:rsidRPr="00311ABE">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C">
    <w15:presenceInfo w15:providerId="None" w15:userId="G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trackRevisions/>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
  <w:rsids>
    <w:rsidRoot w:val="00784ECE"/>
    <w:rsid w:val="000004D3"/>
    <w:rsid w:val="00001796"/>
    <w:rsid w:val="000035B4"/>
    <w:rsid w:val="00004FFD"/>
    <w:rsid w:val="00010096"/>
    <w:rsid w:val="0001092D"/>
    <w:rsid w:val="0001173B"/>
    <w:rsid w:val="000139AF"/>
    <w:rsid w:val="00014418"/>
    <w:rsid w:val="00015A80"/>
    <w:rsid w:val="00020171"/>
    <w:rsid w:val="00022F0D"/>
    <w:rsid w:val="00023623"/>
    <w:rsid w:val="00025BA7"/>
    <w:rsid w:val="000301D5"/>
    <w:rsid w:val="0003139F"/>
    <w:rsid w:val="000339AF"/>
    <w:rsid w:val="000349AA"/>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9456B"/>
    <w:rsid w:val="000A0055"/>
    <w:rsid w:val="000A0463"/>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0E6B"/>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3F"/>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557"/>
    <w:rsid w:val="0013088C"/>
    <w:rsid w:val="00132B1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B28E4"/>
    <w:rsid w:val="001B4BF0"/>
    <w:rsid w:val="001B64B8"/>
    <w:rsid w:val="001B6A6D"/>
    <w:rsid w:val="001C174A"/>
    <w:rsid w:val="001C1816"/>
    <w:rsid w:val="001C39E3"/>
    <w:rsid w:val="001C4187"/>
    <w:rsid w:val="001D0AD7"/>
    <w:rsid w:val="001D2832"/>
    <w:rsid w:val="001D29D9"/>
    <w:rsid w:val="001E0853"/>
    <w:rsid w:val="001E486C"/>
    <w:rsid w:val="001E71A3"/>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4B0C"/>
    <w:rsid w:val="00234B37"/>
    <w:rsid w:val="002361DD"/>
    <w:rsid w:val="0024107A"/>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6206"/>
    <w:rsid w:val="00397CCC"/>
    <w:rsid w:val="003A3C11"/>
    <w:rsid w:val="003A77A7"/>
    <w:rsid w:val="003B2E59"/>
    <w:rsid w:val="003B6E19"/>
    <w:rsid w:val="003C06CF"/>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55B3"/>
    <w:rsid w:val="00407CBC"/>
    <w:rsid w:val="004100CB"/>
    <w:rsid w:val="00413E9E"/>
    <w:rsid w:val="00414F28"/>
    <w:rsid w:val="00416076"/>
    <w:rsid w:val="0041731A"/>
    <w:rsid w:val="00417932"/>
    <w:rsid w:val="00420DF5"/>
    <w:rsid w:val="004212C8"/>
    <w:rsid w:val="004251D2"/>
    <w:rsid w:val="00427C6F"/>
    <w:rsid w:val="004332F3"/>
    <w:rsid w:val="00434AFA"/>
    <w:rsid w:val="004361B6"/>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F9"/>
    <w:rsid w:val="004B01E2"/>
    <w:rsid w:val="004B4D3C"/>
    <w:rsid w:val="004B6EAA"/>
    <w:rsid w:val="004C09E1"/>
    <w:rsid w:val="004C17CE"/>
    <w:rsid w:val="004D045D"/>
    <w:rsid w:val="004D2E23"/>
    <w:rsid w:val="004D3786"/>
    <w:rsid w:val="004D4FE0"/>
    <w:rsid w:val="004D5C58"/>
    <w:rsid w:val="004D7487"/>
    <w:rsid w:val="004D7F23"/>
    <w:rsid w:val="004E08AB"/>
    <w:rsid w:val="004E11D6"/>
    <w:rsid w:val="004E26F2"/>
    <w:rsid w:val="004E313A"/>
    <w:rsid w:val="004E39CC"/>
    <w:rsid w:val="004E5EBB"/>
    <w:rsid w:val="004E7579"/>
    <w:rsid w:val="004F1FF9"/>
    <w:rsid w:val="004F35ED"/>
    <w:rsid w:val="004F43F6"/>
    <w:rsid w:val="004F448E"/>
    <w:rsid w:val="004F4831"/>
    <w:rsid w:val="004F6058"/>
    <w:rsid w:val="00504336"/>
    <w:rsid w:val="00504B32"/>
    <w:rsid w:val="00506F84"/>
    <w:rsid w:val="00510B04"/>
    <w:rsid w:val="00511A69"/>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0D7"/>
    <w:rsid w:val="005828B7"/>
    <w:rsid w:val="00584D99"/>
    <w:rsid w:val="00586657"/>
    <w:rsid w:val="005868B0"/>
    <w:rsid w:val="00592028"/>
    <w:rsid w:val="00597862"/>
    <w:rsid w:val="005A015D"/>
    <w:rsid w:val="005A2101"/>
    <w:rsid w:val="005A23CC"/>
    <w:rsid w:val="005A3899"/>
    <w:rsid w:val="005A4D60"/>
    <w:rsid w:val="005A5E4E"/>
    <w:rsid w:val="005B0798"/>
    <w:rsid w:val="005B11C2"/>
    <w:rsid w:val="005B1A96"/>
    <w:rsid w:val="005B354C"/>
    <w:rsid w:val="005B3D30"/>
    <w:rsid w:val="005C0C31"/>
    <w:rsid w:val="005C1D7C"/>
    <w:rsid w:val="005C26C6"/>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6384"/>
    <w:rsid w:val="006268D2"/>
    <w:rsid w:val="00626FE8"/>
    <w:rsid w:val="006317CB"/>
    <w:rsid w:val="00633404"/>
    <w:rsid w:val="006343F9"/>
    <w:rsid w:val="0063617B"/>
    <w:rsid w:val="0064247B"/>
    <w:rsid w:val="006522E0"/>
    <w:rsid w:val="00654BB0"/>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3FE5"/>
    <w:rsid w:val="00744B54"/>
    <w:rsid w:val="0074628B"/>
    <w:rsid w:val="00747AE8"/>
    <w:rsid w:val="00750FED"/>
    <w:rsid w:val="007515AA"/>
    <w:rsid w:val="007515F9"/>
    <w:rsid w:val="00752C11"/>
    <w:rsid w:val="00753246"/>
    <w:rsid w:val="00760121"/>
    <w:rsid w:val="00761A6B"/>
    <w:rsid w:val="00762C67"/>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6090"/>
    <w:rsid w:val="00907E29"/>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C222D"/>
    <w:rsid w:val="009C3163"/>
    <w:rsid w:val="009C7D1F"/>
    <w:rsid w:val="009D1568"/>
    <w:rsid w:val="009D4D47"/>
    <w:rsid w:val="009E1294"/>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0CF"/>
    <w:rsid w:val="00A642A6"/>
    <w:rsid w:val="00A643B4"/>
    <w:rsid w:val="00A64B23"/>
    <w:rsid w:val="00A72CC4"/>
    <w:rsid w:val="00A75AF4"/>
    <w:rsid w:val="00A75F39"/>
    <w:rsid w:val="00A75F7B"/>
    <w:rsid w:val="00A772E3"/>
    <w:rsid w:val="00A77AF5"/>
    <w:rsid w:val="00A80264"/>
    <w:rsid w:val="00A81236"/>
    <w:rsid w:val="00A814C3"/>
    <w:rsid w:val="00A8202A"/>
    <w:rsid w:val="00A82621"/>
    <w:rsid w:val="00A82E3F"/>
    <w:rsid w:val="00A84393"/>
    <w:rsid w:val="00A84835"/>
    <w:rsid w:val="00A87667"/>
    <w:rsid w:val="00A95848"/>
    <w:rsid w:val="00A96144"/>
    <w:rsid w:val="00AA05BF"/>
    <w:rsid w:val="00AA1D53"/>
    <w:rsid w:val="00AA4171"/>
    <w:rsid w:val="00AA4826"/>
    <w:rsid w:val="00AA580A"/>
    <w:rsid w:val="00AA6EE7"/>
    <w:rsid w:val="00AB2AF8"/>
    <w:rsid w:val="00AB4D3C"/>
    <w:rsid w:val="00AB765B"/>
    <w:rsid w:val="00AC0AEE"/>
    <w:rsid w:val="00AC1470"/>
    <w:rsid w:val="00AC2ED0"/>
    <w:rsid w:val="00AC52EA"/>
    <w:rsid w:val="00AC646A"/>
    <w:rsid w:val="00AC70BD"/>
    <w:rsid w:val="00AD0D39"/>
    <w:rsid w:val="00AD3636"/>
    <w:rsid w:val="00AD5B71"/>
    <w:rsid w:val="00AD707D"/>
    <w:rsid w:val="00AE1AA4"/>
    <w:rsid w:val="00AE248B"/>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4B9"/>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6388"/>
    <w:rsid w:val="00BA0E90"/>
    <w:rsid w:val="00BA1C30"/>
    <w:rsid w:val="00BA513C"/>
    <w:rsid w:val="00BA6056"/>
    <w:rsid w:val="00BA7BD0"/>
    <w:rsid w:val="00BB00E7"/>
    <w:rsid w:val="00BB7442"/>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8CB"/>
    <w:rsid w:val="00C46F19"/>
    <w:rsid w:val="00C4743D"/>
    <w:rsid w:val="00C536F3"/>
    <w:rsid w:val="00C557D5"/>
    <w:rsid w:val="00C56E87"/>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E84"/>
    <w:rsid w:val="00CE04F8"/>
    <w:rsid w:val="00CE274F"/>
    <w:rsid w:val="00CE2A87"/>
    <w:rsid w:val="00CE4372"/>
    <w:rsid w:val="00CE4914"/>
    <w:rsid w:val="00CE52EF"/>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17887"/>
    <w:rsid w:val="00D24AFF"/>
    <w:rsid w:val="00D263BE"/>
    <w:rsid w:val="00D2719E"/>
    <w:rsid w:val="00D31E0D"/>
    <w:rsid w:val="00D33A6C"/>
    <w:rsid w:val="00D3742A"/>
    <w:rsid w:val="00D37D33"/>
    <w:rsid w:val="00D40875"/>
    <w:rsid w:val="00D40B91"/>
    <w:rsid w:val="00D415EC"/>
    <w:rsid w:val="00D43899"/>
    <w:rsid w:val="00D44DB6"/>
    <w:rsid w:val="00D45093"/>
    <w:rsid w:val="00D457FC"/>
    <w:rsid w:val="00D51ABB"/>
    <w:rsid w:val="00D51DA2"/>
    <w:rsid w:val="00D5459B"/>
    <w:rsid w:val="00D55CAF"/>
    <w:rsid w:val="00D6017C"/>
    <w:rsid w:val="00D64042"/>
    <w:rsid w:val="00D700D3"/>
    <w:rsid w:val="00D722E9"/>
    <w:rsid w:val="00D731F8"/>
    <w:rsid w:val="00D73767"/>
    <w:rsid w:val="00D748D1"/>
    <w:rsid w:val="00D7523D"/>
    <w:rsid w:val="00D779DA"/>
    <w:rsid w:val="00D80D5B"/>
    <w:rsid w:val="00D8112B"/>
    <w:rsid w:val="00D81307"/>
    <w:rsid w:val="00D8165F"/>
    <w:rsid w:val="00D81BD4"/>
    <w:rsid w:val="00D82385"/>
    <w:rsid w:val="00D827A1"/>
    <w:rsid w:val="00D83698"/>
    <w:rsid w:val="00D846A6"/>
    <w:rsid w:val="00D8494B"/>
    <w:rsid w:val="00D87C13"/>
    <w:rsid w:val="00D9032D"/>
    <w:rsid w:val="00D9247A"/>
    <w:rsid w:val="00D92E3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4F9E"/>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2DEF"/>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D6858"/>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C3C"/>
    <w:rsid w:val="00F920B2"/>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787170">
      <w:bodyDiv w:val="1"/>
      <w:marLeft w:val="0"/>
      <w:marRight w:val="0"/>
      <w:marTop w:val="0"/>
      <w:marBottom w:val="0"/>
      <w:divBdr>
        <w:top w:val="none" w:sz="0" w:space="0" w:color="auto"/>
        <w:left w:val="none" w:sz="0" w:space="0" w:color="auto"/>
        <w:bottom w:val="none" w:sz="0" w:space="0" w:color="auto"/>
        <w:right w:val="none" w:sz="0" w:space="0" w:color="auto"/>
      </w:divBdr>
    </w:div>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oter" Target="foot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olaf.vlada.gov.sk/system-vcasneho-odhalovania-rizika-a-vylucenia-ed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yperlink" Target="https://www.opii.gov.sk/metodicke-dokumenty/prirucka-k-opravnenosti-vydavkov" TargetMode="External"/><Relationship Id="rId10" Type="http://schemas.openxmlformats.org/officeDocument/2006/relationships/hyperlink" Target="mailto:opii@opii.gov.sk"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cba"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05404-6E5A-4D0D-84AD-C49EFC47F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2567</TotalTime>
  <Pages>12</Pages>
  <Words>4574</Words>
  <Characters>26072</Characters>
  <Application>Microsoft Office Word</Application>
  <DocSecurity>0</DocSecurity>
  <Lines>217</Lines>
  <Paragraphs>61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30585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230</cp:revision>
  <cp:lastPrinted>2016-01-20T15:57:00Z</cp:lastPrinted>
  <dcterms:created xsi:type="dcterms:W3CDTF">2016-01-22T06:28:00Z</dcterms:created>
  <dcterms:modified xsi:type="dcterms:W3CDTF">2021-06-17T09:19:00Z</dcterms:modified>
</cp:coreProperties>
</file>