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09C53292"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60174">
        <w:rPr>
          <w:rFonts w:ascii="Arial Narrow" w:hAnsi="Arial Narrow" w:cstheme="minorHAnsi"/>
          <w:color w:val="auto"/>
          <w:sz w:val="28"/>
          <w:szCs w:val="28"/>
        </w:rPr>
        <w:t>OPII-6</w:t>
      </w:r>
      <w:r w:rsidR="009739E6">
        <w:rPr>
          <w:rFonts w:ascii="Arial Narrow" w:hAnsi="Arial Narrow" w:cstheme="minorHAnsi"/>
          <w:color w:val="auto"/>
          <w:sz w:val="28"/>
          <w:szCs w:val="28"/>
        </w:rPr>
        <w:t>1</w:t>
      </w:r>
      <w:r w:rsidR="00A814C3" w:rsidRPr="00A814C3">
        <w:rPr>
          <w:rFonts w:ascii="Arial Narrow" w:hAnsi="Arial Narrow" w:cstheme="minorHAnsi"/>
          <w:color w:val="auto"/>
          <w:sz w:val="28"/>
          <w:szCs w:val="28"/>
        </w:rPr>
        <w:t>-6.</w:t>
      </w:r>
      <w:r w:rsidR="00360174">
        <w:rPr>
          <w:rFonts w:ascii="Arial Narrow" w:hAnsi="Arial Narrow" w:cstheme="minorHAnsi"/>
          <w:color w:val="auto"/>
          <w:sz w:val="28"/>
          <w:szCs w:val="28"/>
        </w:rPr>
        <w:t>1</w:t>
      </w:r>
      <w:r w:rsidR="00A814C3" w:rsidRPr="00A814C3">
        <w:rPr>
          <w:rFonts w:ascii="Arial Narrow" w:hAnsi="Arial Narrow" w:cstheme="minorHAnsi"/>
          <w:color w:val="auto"/>
          <w:sz w:val="28"/>
          <w:szCs w:val="28"/>
        </w:rPr>
        <w:t>-NP-</w:t>
      </w:r>
      <w:r w:rsidR="00274FC5" w:rsidRPr="00274FC5">
        <w:rPr>
          <w:rFonts w:ascii="Arial Narrow" w:hAnsi="Arial Narrow" w:cstheme="minorHAnsi"/>
          <w:color w:val="auto"/>
          <w:sz w:val="28"/>
          <w:szCs w:val="28"/>
        </w:rPr>
        <w:t>NDS</w:t>
      </w:r>
    </w:p>
    <w:p w14:paraId="1B31E672" w14:textId="5392B6B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029B3F2A" w:rsidR="00304501" w:rsidRPr="00472A05" w:rsidRDefault="00192AB0" w:rsidP="00360174">
            <w:pPr>
              <w:spacing w:before="120" w:after="120" w:line="240" w:lineRule="auto"/>
              <w:rPr>
                <w:rFonts w:ascii="Arial Narrow" w:hAnsi="Arial Narrow"/>
                <w:lang w:eastAsia="de-DE"/>
              </w:rPr>
            </w:pPr>
            <w:r w:rsidRPr="00472A05">
              <w:rPr>
                <w:rFonts w:ascii="Arial Narrow" w:hAnsi="Arial Narrow"/>
                <w:bCs/>
              </w:rPr>
              <w:t>7</w:t>
            </w:r>
            <w:r w:rsidR="00360174" w:rsidRPr="00360174">
              <w:rPr>
                <w:rFonts w:ascii="Arial Narrow" w:hAnsi="Arial Narrow"/>
                <w:bCs/>
              </w:rPr>
              <w:t>a): Podpora multimodálneho jednotného</w:t>
            </w:r>
            <w:r w:rsidR="00360174">
              <w:rPr>
                <w:rFonts w:ascii="Arial Narrow" w:hAnsi="Arial Narrow"/>
                <w:bCs/>
              </w:rPr>
              <w:t xml:space="preserve"> </w:t>
            </w:r>
            <w:r w:rsidR="00360174" w:rsidRPr="00360174">
              <w:rPr>
                <w:rFonts w:ascii="Arial Narrow" w:hAnsi="Arial Narrow"/>
                <w:bCs/>
              </w:rPr>
              <w:t>európskeho dopravného priestoru pomocou</w:t>
            </w:r>
            <w:r w:rsidR="00360174">
              <w:rPr>
                <w:rFonts w:ascii="Arial Narrow" w:hAnsi="Arial Narrow"/>
                <w:bCs/>
              </w:rPr>
              <w:t xml:space="preserve"> investícií do TEN-T</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6EF40851" w:rsidR="00D33A6C" w:rsidRPr="00472A05" w:rsidRDefault="002D32D0" w:rsidP="00360174">
            <w:pPr>
              <w:spacing w:before="120" w:after="120" w:line="240" w:lineRule="auto"/>
              <w:rPr>
                <w:rFonts w:ascii="Arial Narrow" w:hAnsi="Arial Narrow"/>
              </w:rPr>
            </w:pPr>
            <w:r w:rsidRPr="00472A05">
              <w:rPr>
                <w:rFonts w:ascii="Arial Narrow" w:hAnsi="Arial Narrow"/>
              </w:rPr>
              <w:t>6.</w:t>
            </w:r>
            <w:r w:rsidR="00360174" w:rsidRPr="00360174">
              <w:rPr>
                <w:rFonts w:ascii="Arial Narrow" w:hAnsi="Arial Narrow"/>
              </w:rPr>
              <w:t>1 Odstránenie kľúčových úzkych miest na</w:t>
            </w:r>
            <w:r w:rsidR="00360174">
              <w:rPr>
                <w:rFonts w:ascii="Arial Narrow" w:hAnsi="Arial Narrow"/>
              </w:rPr>
              <w:t xml:space="preserve"> </w:t>
            </w:r>
            <w:r w:rsidR="00360174" w:rsidRPr="00360174">
              <w:rPr>
                <w:rFonts w:ascii="Arial Narrow" w:hAnsi="Arial Narrow"/>
              </w:rPr>
              <w:t>cestnej infraštruktúre TEN-T prostredníctvom</w:t>
            </w:r>
            <w:r w:rsidR="00360174">
              <w:rPr>
                <w:rFonts w:ascii="Arial Narrow" w:hAnsi="Arial Narrow"/>
              </w:rPr>
              <w:t xml:space="preserve"> </w:t>
            </w:r>
            <w:r w:rsidR="00360174" w:rsidRPr="00360174">
              <w:rPr>
                <w:rFonts w:ascii="Arial Narrow" w:hAnsi="Arial Narrow"/>
              </w:rPr>
              <w:t>výstavby nových úsekov rýchlostných ciest</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64946B4E" w:rsidR="007E5C50" w:rsidRPr="00472A05" w:rsidRDefault="00C6678B"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62A7B48B" w:rsidR="005A2101" w:rsidRPr="00360174" w:rsidRDefault="009739E6" w:rsidP="00691B4B">
            <w:pPr>
              <w:spacing w:before="120" w:after="120" w:line="240" w:lineRule="auto"/>
              <w:rPr>
                <w:rFonts w:ascii="Arial Narrow" w:hAnsi="Arial Narrow" w:cstheme="minorHAnsi"/>
                <w:b/>
              </w:rPr>
            </w:pPr>
            <w:r w:rsidRPr="009739E6">
              <w:rPr>
                <w:rFonts w:ascii="Arial Narrow" w:hAnsi="Arial Narrow" w:cstheme="minorHAnsi"/>
                <w:b/>
              </w:rPr>
              <w:t>Rýchlostná cesta R4 štátna hranica SR/PR – Kapušany, aktualizácia štúdie realizovateľnosti (projektová príprava</w:t>
            </w:r>
            <w:r w:rsidR="00CD3294">
              <w:rPr>
                <w:rFonts w:ascii="Arial Narrow" w:hAnsi="Arial Narrow" w:cstheme="minorHAnsi"/>
                <w:b/>
              </w:rPr>
              <w:t>)</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10A04DAD" w:rsidR="00B574AD" w:rsidRPr="00F605EE" w:rsidRDefault="00A066FC" w:rsidP="0022787F">
            <w:pPr>
              <w:spacing w:before="120" w:after="120" w:line="240" w:lineRule="auto"/>
              <w:rPr>
                <w:rFonts w:ascii="Arial Narrow" w:hAnsi="Arial Narrow" w:cstheme="minorHAnsi"/>
              </w:rPr>
            </w:pPr>
            <w:r>
              <w:rPr>
                <w:rFonts w:ascii="Arial Narrow" w:hAnsi="Arial Narrow" w:cstheme="minorHAnsi"/>
              </w:rPr>
              <w:t>20.5.</w:t>
            </w:r>
            <w:r w:rsidR="00186147">
              <w:rPr>
                <w:rFonts w:ascii="Arial Narrow" w:hAnsi="Arial Narrow" w:cstheme="minorHAnsi"/>
              </w:rPr>
              <w:t>2020</w:t>
            </w:r>
            <w:bookmarkStart w:id="0" w:name="_GoBack"/>
            <w:bookmarkEnd w:id="0"/>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7DE921B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9739E6" w:rsidRPr="009739E6">
              <w:rPr>
                <w:rFonts w:ascii="Arial Narrow" w:hAnsi="Arial Narrow" w:cstheme="minorHAnsi"/>
                <w:b/>
              </w:rPr>
              <w:t>406 725,00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680E4B0" w14:textId="77777777" w:rsidR="0061671C" w:rsidRPr="00C83866"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13059C36" w14:textId="69D1DFB2"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lastRenderedPageBreak/>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9E5857F" w14:textId="77777777" w:rsidR="003E24DD" w:rsidRDefault="003E24DD" w:rsidP="00D45093">
            <w:pPr>
              <w:spacing w:before="120" w:after="0" w:line="240" w:lineRule="auto"/>
              <w:jc w:val="both"/>
              <w:rPr>
                <w:rFonts w:ascii="Arial Narrow" w:hAnsi="Arial Narrow"/>
                <w:b/>
              </w:rPr>
            </w:pPr>
            <w:r w:rsidRPr="003E24DD">
              <w:rPr>
                <w:rFonts w:ascii="Arial Narrow" w:hAnsi="Arial Narrow"/>
                <w:b/>
              </w:rPr>
              <w:t>Národná diaľničná spoločnosť, a.s.</w:t>
            </w:r>
          </w:p>
          <w:p w14:paraId="490AB1A0" w14:textId="453F1F1F"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51E9082B"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14:paraId="58ED63DF" w14:textId="77777777"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0ED152F6"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4A0630" w:rsidRPr="00954355" w14:paraId="422D476C" w14:textId="77777777" w:rsidTr="00F863CD">
        <w:trPr>
          <w:trHeight w:val="20"/>
        </w:trPr>
        <w:tc>
          <w:tcPr>
            <w:tcW w:w="674" w:type="dxa"/>
            <w:shd w:val="clear" w:color="auto" w:fill="D9D9D9" w:themeFill="background1" w:themeFillShade="D9"/>
          </w:tcPr>
          <w:p w14:paraId="273B5EC0" w14:textId="77777777"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BAEB269" w14:textId="64A2DDBF"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67FF24A2" w14:textId="7B45A424"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14:paraId="0E975660" w14:textId="77777777" w:rsidTr="00F863CD">
        <w:trPr>
          <w:trHeight w:val="20"/>
        </w:trPr>
        <w:tc>
          <w:tcPr>
            <w:tcW w:w="674" w:type="dxa"/>
            <w:shd w:val="clear" w:color="auto" w:fill="D9D9D9" w:themeFill="background1" w:themeFillShade="D9"/>
          </w:tcPr>
          <w:p w14:paraId="74F0F547" w14:textId="77777777"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AFE97CF" w14:textId="308885F7"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7412C187" w14:textId="39AFBCAC"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01F5B15B"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sidR="00360174" w:rsidRPr="00360174">
              <w:rPr>
                <w:rFonts w:ascii="Arial Narrow" w:hAnsi="Arial Narrow"/>
                <w:b/>
                <w:color w:val="auto"/>
                <w:sz w:val="22"/>
                <w:szCs w:val="22"/>
              </w:rPr>
              <w:t>1 Odstránenie kľúčových úzkych miest na cestnej infraštruktúre TEN-T prostredníctvom výstavby nových úsekov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7D27262C" w:rsidR="005A015D" w:rsidRPr="00D44DB6" w:rsidRDefault="004A0630" w:rsidP="005A015D">
            <w:pPr>
              <w:pStyle w:val="Default"/>
              <w:spacing w:before="120"/>
              <w:jc w:val="both"/>
              <w:rPr>
                <w:rFonts w:ascii="Arial Narrow" w:hAnsi="Arial Narrow"/>
                <w:b/>
                <w:color w:val="auto"/>
                <w:sz w:val="22"/>
                <w:szCs w:val="22"/>
              </w:rPr>
            </w:pPr>
            <w:r w:rsidRPr="004A0630">
              <w:rPr>
                <w:rFonts w:ascii="Arial Narrow" w:hAnsi="Arial Narrow"/>
                <w:b/>
                <w:color w:val="auto"/>
                <w:sz w:val="22"/>
                <w:szCs w:val="22"/>
              </w:rPr>
              <w:t>B</w:t>
            </w:r>
            <w:r w:rsidR="00205305" w:rsidRPr="004A0630">
              <w:rPr>
                <w:rFonts w:ascii="Arial Narrow" w:hAnsi="Arial Narrow"/>
                <w:b/>
                <w:color w:val="auto"/>
                <w:sz w:val="22"/>
                <w:szCs w:val="22"/>
              </w:rPr>
              <w:t>. Projektová príprava</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52379E65" w14:textId="77777777" w:rsidTr="00F863CD">
        <w:trPr>
          <w:trHeight w:val="20"/>
        </w:trPr>
        <w:tc>
          <w:tcPr>
            <w:tcW w:w="9524" w:type="dxa"/>
            <w:gridSpan w:val="5"/>
            <w:shd w:val="clear" w:color="auto" w:fill="D9D9D9" w:themeFill="background1" w:themeFillShade="D9"/>
          </w:tcPr>
          <w:p w14:paraId="5BF146D7" w14:textId="313F537A"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5A015D" w:rsidRPr="00954355" w14:paraId="31598BDF" w14:textId="77777777" w:rsidTr="00F863CD">
        <w:trPr>
          <w:trHeight w:val="20"/>
        </w:trPr>
        <w:tc>
          <w:tcPr>
            <w:tcW w:w="674" w:type="dxa"/>
            <w:shd w:val="clear" w:color="auto" w:fill="D9D9D9" w:themeFill="background1" w:themeFillShade="D9"/>
            <w:vAlign w:val="center"/>
          </w:tcPr>
          <w:p w14:paraId="3AC4580B" w14:textId="53C02345"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9725F3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9621FE9" w14:textId="77777777" w:rsidTr="00F863CD">
        <w:trPr>
          <w:trHeight w:val="20"/>
        </w:trPr>
        <w:tc>
          <w:tcPr>
            <w:tcW w:w="674" w:type="dxa"/>
            <w:shd w:val="clear" w:color="auto" w:fill="D9D9D9" w:themeFill="background1" w:themeFillShade="D9"/>
          </w:tcPr>
          <w:p w14:paraId="5357B012" w14:textId="2C67BA8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5A015D" w:rsidRPr="008F26C8" w:rsidRDefault="005A015D" w:rsidP="005A015D">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37F51E40" w:rsidR="005A015D" w:rsidRPr="00FA1731" w:rsidRDefault="005A015D" w:rsidP="005A015D">
            <w:pPr>
              <w:spacing w:before="120" w:after="0" w:line="240" w:lineRule="auto"/>
              <w:jc w:val="both"/>
              <w:rPr>
                <w:rFonts w:ascii="Arial Narrow" w:hAnsi="Arial Narrow" w:cstheme="minorHAns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00DA056D"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14A559BC" w:rsidR="005A015D" w:rsidRPr="008F26C8" w:rsidRDefault="00857314" w:rsidP="00360174">
            <w:pPr>
              <w:spacing w:after="0" w:line="240" w:lineRule="auto"/>
              <w:jc w:val="both"/>
              <w:rPr>
                <w:rFonts w:ascii="Arial Narrow" w:hAnsi="Arial Narrow"/>
                <w:color w:val="FF0000"/>
              </w:rPr>
            </w:pPr>
            <w:r>
              <w:rPr>
                <w:rFonts w:ascii="Arial Narrow" w:hAnsi="Arial Narrow"/>
                <w:b/>
              </w:rPr>
              <w:t>Prešovský</w:t>
            </w:r>
            <w:r w:rsidR="00F840A0">
              <w:rPr>
                <w:rFonts w:ascii="Arial Narrow" w:hAnsi="Arial Narrow"/>
                <w:b/>
              </w:rPr>
              <w:t xml:space="preserve">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ED6561A" w14:textId="77777777" w:rsidTr="00F863CD">
        <w:trPr>
          <w:trHeight w:val="20"/>
        </w:trPr>
        <w:tc>
          <w:tcPr>
            <w:tcW w:w="9524" w:type="dxa"/>
            <w:gridSpan w:val="5"/>
            <w:shd w:val="clear" w:color="auto" w:fill="D9D9D9" w:themeFill="background1" w:themeFillShade="D9"/>
          </w:tcPr>
          <w:p w14:paraId="4B1C1173" w14:textId="0F015A02"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5A015D" w:rsidRPr="00954355" w14:paraId="2028FFA2" w14:textId="77777777" w:rsidTr="00F863CD">
        <w:trPr>
          <w:trHeight w:val="20"/>
        </w:trPr>
        <w:tc>
          <w:tcPr>
            <w:tcW w:w="674" w:type="dxa"/>
            <w:shd w:val="clear" w:color="auto" w:fill="D9D9D9" w:themeFill="background1" w:themeFillShade="D9"/>
            <w:vAlign w:val="center"/>
          </w:tcPr>
          <w:p w14:paraId="4FB1D772" w14:textId="2554472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7FD0850" w14:textId="77777777" w:rsidTr="00F863CD">
        <w:trPr>
          <w:trHeight w:val="20"/>
        </w:trPr>
        <w:tc>
          <w:tcPr>
            <w:tcW w:w="674" w:type="dxa"/>
            <w:shd w:val="clear" w:color="auto" w:fill="D9D9D9" w:themeFill="background1" w:themeFillShade="D9"/>
          </w:tcPr>
          <w:p w14:paraId="5FE39CF3" w14:textId="6D07692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5A015D" w:rsidRPr="00875778" w:rsidRDefault="005A015D" w:rsidP="005A015D">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5A015D" w:rsidRDefault="005A015D" w:rsidP="005A015D">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23B6FD3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11993B08" w:rsidR="005A015D" w:rsidRDefault="005A015D" w:rsidP="005A015D">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w:t>
            </w:r>
            <w:r>
              <w:rPr>
                <w:rFonts w:ascii="Arial Narrow" w:hAnsi="Arial Narrow"/>
              </w:rPr>
              <w:t>,</w:t>
            </w:r>
            <w:r w:rsidRPr="00604660">
              <w:rPr>
                <w:rFonts w:ascii="Arial Narrow" w:hAnsi="Arial Narrow"/>
              </w:rPr>
              <w:t xml:space="preserve">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5A015D" w:rsidRPr="000339AF" w:rsidRDefault="005A015D" w:rsidP="005A015D">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5E3C0937" w:rsidR="00200152" w:rsidRPr="00E30C7E" w:rsidRDefault="003C06CF" w:rsidP="003C06CF">
            <w:pPr>
              <w:autoSpaceDE w:val="0"/>
              <w:autoSpaceDN w:val="0"/>
              <w:adjustRightInd w:val="0"/>
              <w:spacing w:before="120" w:after="0" w:line="240" w:lineRule="auto"/>
              <w:jc w:val="both"/>
              <w:rPr>
                <w:rFonts w:ascii="Arial Narrow" w:hAnsi="Arial Narrow"/>
                <w:color w:val="000000"/>
                <w:sz w:val="20"/>
                <w:szCs w:val="20"/>
                <w:lang w:eastAsia="sk-SK"/>
              </w:rPr>
            </w:pPr>
            <w:r w:rsidRPr="003C06CF">
              <w:rPr>
                <w:rFonts w:ascii="Arial Narrow" w:hAnsi="Arial Narrow" w:cs="Arial"/>
                <w:color w:val="000000"/>
                <w:lang w:eastAsia="sk-SK"/>
              </w:rPr>
              <w:t xml:space="preserve">V prípade tohto písomného vyzvania neboli v rámci schváleného </w:t>
            </w:r>
            <w:r w:rsidRPr="003C06CF">
              <w:rPr>
                <w:rFonts w:ascii="Arial Narrow" w:hAnsi="Arial Narrow" w:cs="Arial"/>
                <w:b/>
                <w:color w:val="000000"/>
                <w:lang w:eastAsia="sk-SK"/>
              </w:rPr>
              <w:t>Plánu vyzvaní OPII pre veľké projekty, národné projekty a projekty technickej pomoci na rok 2020</w:t>
            </w:r>
            <w:r w:rsidRPr="003C06CF">
              <w:rPr>
                <w:rFonts w:ascii="Arial Narrow" w:hAnsi="Arial Narrow" w:cs="Arial"/>
                <w:color w:val="000000"/>
                <w:lang w:eastAsia="sk-SK"/>
              </w:rPr>
              <w:t xml:space="preserve"> 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2862F3AE"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A066FC">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00882189" w14:textId="77777777"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94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94913"/>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86C4E-D9D4-4819-BD72-0083E2369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11</Pages>
  <Words>4035</Words>
  <Characters>23000</Characters>
  <Application>Microsoft Office Word</Application>
  <DocSecurity>0</DocSecurity>
  <Lines>191</Lines>
  <Paragraphs>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171</cp:revision>
  <cp:lastPrinted>2016-01-20T15:57:00Z</cp:lastPrinted>
  <dcterms:created xsi:type="dcterms:W3CDTF">2016-01-22T06:28:00Z</dcterms:created>
  <dcterms:modified xsi:type="dcterms:W3CDTF">2020-05-19T09:12:00Z</dcterms:modified>
</cp:coreProperties>
</file>