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ins w:id="0" w:author="Pečová, Renáta" w:date="2016-02-17T13:00:00Z"/>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0A2726" w:rsidRPr="002D4CDB" w:rsidRDefault="000A2726" w:rsidP="00B4260D">
            <w:pPr>
              <w:rPr>
                <w:rFonts w:asciiTheme="minorHAnsi" w:hAnsiTheme="minorHAnsi" w:cstheme="minorHAnsi"/>
                <w:i/>
                <w:color w:val="0000FF"/>
                <w:sz w:val="18"/>
                <w:szCs w:val="18"/>
              </w:rPr>
            </w:pPr>
            <w:ins w:id="1" w:author="Pečová, Renáta" w:date="2016-02-17T13:00: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2" w:author="Pečová, Renáta" w:date="2016-02-17T13:00:00Z"/>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0A2726" w:rsidRPr="002D4CDB" w:rsidRDefault="000A2726" w:rsidP="00DA7335">
            <w:pPr>
              <w:rPr>
                <w:rFonts w:asciiTheme="minorHAnsi" w:hAnsiTheme="minorHAnsi" w:cstheme="minorHAnsi"/>
                <w:i/>
                <w:color w:val="0000FF"/>
                <w:sz w:val="18"/>
                <w:szCs w:val="18"/>
              </w:rPr>
            </w:pPr>
            <w:ins w:id="3" w:author="Pečová, Renáta" w:date="2016-02-17T13:00: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D6B7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D6B70">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D6B70" w:rsidRDefault="006F4B96" w:rsidP="006D6B70">
            <w:pPr>
              <w:pStyle w:val="Odsekzoznamu"/>
              <w:numPr>
                <w:ilvl w:val="0"/>
                <w:numId w:val="6"/>
              </w:numPr>
              <w:ind w:left="313" w:hanging="284"/>
              <w:rPr>
                <w:rFonts w:ascii="Calibri" w:hAnsi="Calibri" w:cs="Calibri"/>
                <w:i/>
                <w:color w:val="0000FF"/>
                <w:sz w:val="18"/>
                <w:szCs w:val="18"/>
              </w:rPr>
            </w:pPr>
            <w:r w:rsidRPr="006D6B70">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D6B70">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D6B70">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D6B70">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D6B70">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D6B70">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D6B7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D6B7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D6B70">
            <w:pPr>
              <w:spacing w:after="60"/>
              <w:rPr>
                <w:rFonts w:asciiTheme="minorHAnsi" w:hAnsiTheme="minorHAnsi" w:cstheme="minorHAnsi"/>
                <w:sz w:val="18"/>
                <w:szCs w:val="18"/>
              </w:rPr>
            </w:pPr>
            <w:r w:rsidRPr="006D6B70">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ako začiatok realizácie hlavnej aktivity t.j. celého projektu a ukončenie poslednej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D6B70">
              <w:rPr>
                <w:rFonts w:asciiTheme="minorHAnsi" w:hAnsiTheme="minorHAnsi" w:cstheme="minorHAnsi"/>
                <w:i/>
                <w:sz w:val="18"/>
                <w:szCs w:val="18"/>
              </w:rPr>
              <w:t>(</w:t>
            </w:r>
            <w:r w:rsidRPr="006D6B70">
              <w:rPr>
                <w:rFonts w:asciiTheme="minorHAnsi" w:hAnsiTheme="minorHAnsi" w:cstheme="minorHAnsi"/>
                <w:i/>
                <w:color w:val="0000FF"/>
                <w:sz w:val="18"/>
                <w:szCs w:val="18"/>
              </w:rPr>
              <w:t>výber z</w:t>
            </w:r>
            <w:r w:rsidR="0086757D" w:rsidRPr="006D6B70">
              <w:rPr>
                <w:rFonts w:asciiTheme="minorHAnsi" w:hAnsiTheme="minorHAnsi" w:cstheme="minorHAnsi"/>
                <w:i/>
                <w:color w:val="0000FF"/>
                <w:sz w:val="18"/>
                <w:szCs w:val="18"/>
              </w:rPr>
              <w:t> </w:t>
            </w:r>
            <w:r w:rsidRPr="006D6B70">
              <w:rPr>
                <w:rFonts w:asciiTheme="minorHAnsi" w:hAnsiTheme="minorHAnsi" w:cstheme="minorHAnsi"/>
                <w:i/>
                <w:color w:val="0000FF"/>
                <w:sz w:val="18"/>
                <w:szCs w:val="18"/>
              </w:rPr>
              <w:t>číselníka</w:t>
            </w:r>
            <w:r w:rsidR="0086757D" w:rsidRPr="006D6B70">
              <w:rPr>
                <w:rFonts w:asciiTheme="minorHAnsi" w:hAnsiTheme="minorHAnsi" w:cstheme="minorHAnsi"/>
                <w:i/>
                <w:color w:val="0000FF"/>
                <w:sz w:val="18"/>
                <w:szCs w:val="18"/>
              </w:rPr>
              <w:t xml:space="preserve"> z Prí</w:t>
            </w:r>
            <w:r w:rsidR="004A5D72" w:rsidRPr="006D6B70">
              <w:rPr>
                <w:rFonts w:asciiTheme="minorHAnsi" w:hAnsiTheme="minorHAnsi" w:cstheme="minorHAnsi"/>
                <w:i/>
                <w:color w:val="0000FF"/>
                <w:sz w:val="18"/>
                <w:szCs w:val="18"/>
              </w:rPr>
              <w:t>ru</w:t>
            </w:r>
            <w:r w:rsidR="0086757D" w:rsidRPr="006D6B70">
              <w:rPr>
                <w:rFonts w:asciiTheme="minorHAnsi" w:hAnsiTheme="minorHAnsi" w:cstheme="minorHAnsi"/>
                <w:i/>
                <w:color w:val="0000FF"/>
                <w:sz w:val="18"/>
                <w:szCs w:val="18"/>
              </w:rPr>
              <w:t>čk</w:t>
            </w:r>
            <w:r w:rsidR="004A5D72" w:rsidRPr="006D6B70">
              <w:rPr>
                <w:rFonts w:asciiTheme="minorHAnsi" w:hAnsiTheme="minorHAnsi" w:cstheme="minorHAnsi"/>
                <w:i/>
                <w:color w:val="0000FF"/>
                <w:sz w:val="18"/>
                <w:szCs w:val="18"/>
              </w:rPr>
              <w:t>y</w:t>
            </w:r>
            <w:r w:rsidR="0086757D" w:rsidRPr="006D6B70">
              <w:rPr>
                <w:rFonts w:asciiTheme="minorHAnsi" w:hAnsiTheme="minorHAnsi" w:cstheme="minorHAnsi"/>
                <w:i/>
                <w:color w:val="0000FF"/>
                <w:sz w:val="18"/>
                <w:szCs w:val="18"/>
              </w:rPr>
              <w:t xml:space="preserve"> pre žiadateľov o poskytnutie NFP</w:t>
            </w:r>
            <w:r w:rsidRPr="006D6B70">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D6B7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D6B7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D6B7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ins w:id="4" w:author="Pečová, Renáta" w:date="2016-02-17T13:00:00Z">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w:t>
              </w:r>
            </w:ins>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5" w:author="Pečová, Renáta" w:date="2016-02-17T13:01:00Z"/>
                <w:rFonts w:asciiTheme="minorHAnsi" w:hAnsiTheme="minorHAnsi" w:cstheme="minorHAnsi"/>
                <w:sz w:val="18"/>
                <w:szCs w:val="18"/>
              </w:rPr>
            </w:pPr>
            <w:r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ins w:id="6" w:author="Pečová, Renáta" w:date="2016-02-17T13:01: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7" w:author="Pečová, Renáta" w:date="2016-02-17T13:00:00Z">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COVPGP</w:t>
              </w:r>
            </w:ins>
            <w:r w:rsidR="00D4101E" w:rsidRPr="002D4CDB">
              <w:rPr>
                <w:rFonts w:asciiTheme="minorHAnsi" w:hAnsiTheme="minorHAnsi" w:cstheme="minorHAnsi"/>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3:01: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0A2726" w:rsidRPr="002D4CDB" w:rsidRDefault="000A2726" w:rsidP="00D4101E">
            <w:pPr>
              <w:rPr>
                <w:rFonts w:asciiTheme="minorHAnsi" w:hAnsiTheme="minorHAnsi" w:cstheme="minorHAnsi"/>
                <w:sz w:val="18"/>
                <w:szCs w:val="18"/>
              </w:rPr>
            </w:pPr>
            <w:ins w:id="9" w:author="Pečová, Renáta" w:date="2016-02-17T13:01: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bookmarkStart w:id="10" w:name="_GoBack"/>
            <w:bookmarkEnd w:id="10"/>
            <w:ins w:id="11" w:author="Pečová, Renáta" w:date="2016-02-17T13:01:00Z">
              <w:r w:rsidR="000A2726">
                <w:rPr>
                  <w:rFonts w:asciiTheme="minorHAnsi" w:hAnsiTheme="minorHAnsi" w:cstheme="minorHAnsi"/>
                  <w:sz w:val="18"/>
                  <w:szCs w:val="18"/>
                </w:rPr>
                <w:t> </w:t>
              </w:r>
            </w:ins>
            <w:r w:rsidRPr="002D4CDB">
              <w:rPr>
                <w:rFonts w:asciiTheme="minorHAnsi" w:hAnsiTheme="minorHAnsi" w:cstheme="minorHAnsi"/>
                <w:sz w:val="18"/>
                <w:szCs w:val="18"/>
              </w:rPr>
              <w:t>ŠR</w:t>
            </w:r>
            <w:ins w:id="12" w:author="Pečová, Renáta" w:date="2016-02-17T13:01:00Z">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w:t>
              </w:r>
              <w:r w:rsidR="000A2726">
                <w:rPr>
                  <w:rFonts w:asciiTheme="minorHAnsi" w:hAnsiTheme="minorHAnsi" w:cstheme="minorHAnsi"/>
                  <w:color w:val="0000FF"/>
                  <w:sz w:val="18"/>
                  <w:szCs w:val="18"/>
                </w:rPr>
                <w:t xml:space="preserve"> </w:t>
              </w:r>
              <w:r w:rsidR="000A2726" w:rsidRPr="0020735A">
                <w:rPr>
                  <w:rFonts w:asciiTheme="minorHAnsi" w:hAnsiTheme="minorHAnsi" w:cstheme="minorHAnsi"/>
                  <w:color w:val="0000FF"/>
                  <w:sz w:val="18"/>
                  <w:szCs w:val="18"/>
                </w:rPr>
                <w:t>NFP</w:t>
              </w:r>
            </w:ins>
            <w:r w:rsidR="00C47274" w:rsidRPr="002D4CDB">
              <w:rPr>
                <w:rFonts w:asciiTheme="minorHAnsi" w:hAnsiTheme="minorHAnsi" w:cstheme="minorHAnsi"/>
                <w:sz w:val="18"/>
                <w:szCs w:val="18"/>
              </w:rPr>
              <w:t xml:space="preserve"> (%)</w:t>
            </w:r>
          </w:p>
        </w:tc>
        <w:tc>
          <w:tcPr>
            <w:tcW w:w="10040" w:type="dxa"/>
          </w:tcPr>
          <w:p w:rsidR="000A2726" w:rsidRDefault="009D314B" w:rsidP="000A2726">
            <w:pPr>
              <w:rPr>
                <w:ins w:id="13" w:author="Pečová, Renáta" w:date="2016-02-17T13:02: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4" w:author="Pečová, Renáta" w:date="2016-02-17T13:02:00Z">
              <w:r w:rsidR="000A2726">
                <w:rPr>
                  <w:rFonts w:asciiTheme="minorHAnsi" w:hAnsiTheme="minorHAnsi" w:cstheme="minorHAnsi"/>
                  <w:sz w:val="18"/>
                  <w:szCs w:val="18"/>
                </w:rPr>
                <w:t xml:space="preserve"> </w:t>
              </w:r>
              <w:r w:rsidR="000A2726" w:rsidRPr="002D4739">
                <w:rPr>
                  <w:rFonts w:asciiTheme="minorHAnsi" w:hAnsiTheme="minorHAnsi" w:cstheme="minorHAnsi"/>
                  <w:color w:val="0000FF"/>
                  <w:sz w:val="18"/>
                  <w:szCs w:val="18"/>
                </w:rPr>
                <w:t>% spolufinancovania žiadateľ uvedie podľa bodu 1.4 Vyzvania.</w:t>
              </w:r>
            </w:ins>
          </w:p>
          <w:p w:rsidR="00B10209" w:rsidRPr="002D4CDB" w:rsidRDefault="000A2726" w:rsidP="000A2726">
            <w:pPr>
              <w:rPr>
                <w:rFonts w:asciiTheme="minorHAnsi" w:hAnsiTheme="minorHAnsi" w:cstheme="minorHAnsi"/>
                <w:sz w:val="18"/>
                <w:szCs w:val="18"/>
              </w:rPr>
            </w:pPr>
            <w:ins w:id="15" w:author="Pečová, Renáta" w:date="2016-02-17T13:02: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6" w:author="Pečová, Renáta" w:date="2016-02-17T13:0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ins w:id="17" w:author="Pečová, Renáta" w:date="2016-02-17T13:02: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8" w:author="Pečová, Renáta" w:date="2016-02-17T13:01:00Z">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9" w:author="Pečová, Renáta" w:date="2016-02-17T13:02: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ins w:id="20" w:author="Pečová, Renáta" w:date="2016-02-17T13:02:00Z">
              <w:r>
                <w:rPr>
                  <w:rFonts w:asciiTheme="minorHAnsi" w:hAnsiTheme="minorHAnsi" w:cstheme="minorHAnsi"/>
                  <w:sz w:val="18"/>
                  <w:szCs w:val="18"/>
                </w:rPr>
                <w:t>Príklad: 50 €</w:t>
              </w:r>
            </w:ins>
          </w:p>
        </w:tc>
      </w:tr>
    </w:tbl>
    <w:p w:rsidR="00484EC7" w:rsidRDefault="00484EC7" w:rsidP="00F00752">
      <w:pPr>
        <w:rPr>
          <w:ins w:id="21" w:author="Pečová, Renáta" w:date="2016-02-17T13:02:00Z"/>
          <w:rFonts w:asciiTheme="minorHAnsi" w:hAnsiTheme="minorHAnsi" w:cstheme="minorHAnsi"/>
        </w:rPr>
      </w:pPr>
    </w:p>
    <w:p w:rsidR="000A2726" w:rsidRPr="00C676FB" w:rsidRDefault="000A2726" w:rsidP="000A2726">
      <w:pPr>
        <w:rPr>
          <w:ins w:id="22" w:author="Pečová, Renáta" w:date="2016-02-17T13:02:00Z"/>
          <w:rFonts w:cs="Times New Roman"/>
          <w:i/>
          <w:color w:val="0000FF"/>
          <w:sz w:val="18"/>
          <w:szCs w:val="18"/>
          <w:u w:val="single"/>
        </w:rPr>
      </w:pPr>
      <w:ins w:id="23" w:author="Pečová, Renáta" w:date="2016-02-17T13:02:00Z">
        <w:r w:rsidRPr="00C676FB">
          <w:rPr>
            <w:rFonts w:cs="Times New Roman"/>
            <w:i/>
            <w:color w:val="0000FF"/>
            <w:sz w:val="18"/>
            <w:szCs w:val="18"/>
            <w:u w:val="single"/>
          </w:rPr>
          <w:t>V OPII sa  používajú nasledovné výrazy a skratky:</w:t>
        </w:r>
      </w:ins>
    </w:p>
    <w:p w:rsidR="000A2726" w:rsidRPr="00C676FB" w:rsidRDefault="000A2726" w:rsidP="000A2726">
      <w:pPr>
        <w:spacing w:before="120"/>
        <w:rPr>
          <w:ins w:id="24" w:author="Pečová, Renáta" w:date="2016-02-17T13:02:00Z"/>
          <w:rFonts w:cs="Times New Roman"/>
          <w:i/>
          <w:color w:val="0000FF"/>
          <w:sz w:val="18"/>
          <w:szCs w:val="18"/>
        </w:rPr>
      </w:pPr>
      <w:ins w:id="25" w:author="Pečová, Renáta" w:date="2016-02-17T13:02: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0A2726" w:rsidRPr="00D675BA" w:rsidRDefault="000A2726" w:rsidP="000A2726">
      <w:pPr>
        <w:spacing w:before="120"/>
        <w:rPr>
          <w:ins w:id="26" w:author="Pečová, Renáta" w:date="2016-02-17T13:02:00Z"/>
          <w:rFonts w:cs="Times New Roman"/>
          <w:i/>
          <w:color w:val="0000FF"/>
          <w:sz w:val="18"/>
          <w:szCs w:val="18"/>
        </w:rPr>
      </w:pPr>
      <w:ins w:id="27" w:author="Pečová, Renáta" w:date="2016-02-17T13:02: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0A2726" w:rsidRPr="00C76654" w:rsidRDefault="000A2726" w:rsidP="000A2726">
      <w:pPr>
        <w:spacing w:before="120"/>
        <w:rPr>
          <w:ins w:id="28" w:author="Pečová, Renáta" w:date="2016-02-17T13:02:00Z"/>
          <w:rFonts w:cs="Times New Roman"/>
          <w:i/>
          <w:color w:val="0000FF"/>
          <w:sz w:val="18"/>
          <w:szCs w:val="18"/>
        </w:rPr>
      </w:pPr>
      <w:ins w:id="29" w:author="Pečová, Renáta" w:date="2016-02-17T13:02: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0A2726" w:rsidRPr="00964D4E" w:rsidRDefault="000A2726" w:rsidP="000A2726">
      <w:pPr>
        <w:spacing w:before="120"/>
        <w:rPr>
          <w:ins w:id="30" w:author="Pečová, Renáta" w:date="2016-02-17T13:02:00Z"/>
          <w:rFonts w:cs="Times New Roman"/>
          <w:i/>
          <w:color w:val="0000FF"/>
          <w:sz w:val="18"/>
          <w:szCs w:val="18"/>
        </w:rPr>
      </w:pPr>
      <w:ins w:id="31" w:author="Pečová, Renáta" w:date="2016-02-17T13:02: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0A2726" w:rsidRPr="00D675BA" w:rsidRDefault="000A2726" w:rsidP="000A2726">
      <w:pPr>
        <w:spacing w:before="120"/>
        <w:rPr>
          <w:ins w:id="32" w:author="Pečová, Renáta" w:date="2016-02-17T13:02:00Z"/>
          <w:rFonts w:cs="Times New Roman"/>
          <w:i/>
          <w:color w:val="0000FF"/>
          <w:sz w:val="18"/>
          <w:szCs w:val="18"/>
        </w:rPr>
      </w:pPr>
      <w:ins w:id="33" w:author="Pečová, Renáta" w:date="2016-02-17T13:02: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0A2726" w:rsidRPr="00D675BA" w:rsidRDefault="000A2726" w:rsidP="000A2726">
      <w:pPr>
        <w:spacing w:before="120"/>
        <w:rPr>
          <w:ins w:id="34" w:author="Pečová, Renáta" w:date="2016-02-17T13:02:00Z"/>
          <w:rFonts w:cs="Times New Roman"/>
          <w:i/>
          <w:color w:val="0000FF"/>
          <w:sz w:val="18"/>
          <w:szCs w:val="18"/>
        </w:rPr>
      </w:pPr>
      <w:ins w:id="35" w:author="Pečová, Renáta" w:date="2016-02-17T13:02: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0A2726" w:rsidRPr="00D675BA" w:rsidRDefault="000A2726" w:rsidP="000A2726">
      <w:pPr>
        <w:spacing w:before="120"/>
        <w:rPr>
          <w:ins w:id="36" w:author="Pečová, Renáta" w:date="2016-02-17T13:02:00Z"/>
          <w:rFonts w:cs="Times New Roman"/>
          <w:i/>
          <w:color w:val="0000FF"/>
          <w:sz w:val="18"/>
          <w:szCs w:val="18"/>
        </w:rPr>
      </w:pPr>
      <w:ins w:id="37" w:author="Pečová, Renáta" w:date="2016-02-17T13:02: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0A2726" w:rsidRDefault="000A2726" w:rsidP="00F00752">
      <w:pPr>
        <w:rPr>
          <w:ins w:id="38" w:author="Pečová, Renáta" w:date="2016-02-17T13:02:00Z"/>
          <w:rFonts w:asciiTheme="minorHAnsi" w:hAnsiTheme="minorHAnsi" w:cstheme="minorHAnsi"/>
        </w:rPr>
      </w:pPr>
    </w:p>
    <w:p w:rsidR="000A2726" w:rsidRPr="002D4CDB" w:rsidRDefault="000A272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lastRenderedPageBreak/>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D6B70">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D6B70" w:rsidRPr="002D4CDB" w:rsidRDefault="006D6B70" w:rsidP="00231C62">
            <w:pPr>
              <w:rPr>
                <w:rFonts w:asciiTheme="minorHAnsi" w:hAnsiTheme="minorHAnsi" w:cstheme="minorHAnsi"/>
                <w:b/>
                <w:bCs/>
                <w:color w:val="FFFFFF" w:themeColor="background1"/>
              </w:rPr>
            </w:pPr>
            <w:r w:rsidRPr="006D6B70">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D6B70">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 xml:space="preserve">preukazujúceho právnu formu a štatutárny </w:t>
            </w:r>
            <w:r w:rsidRPr="002D4739">
              <w:rPr>
                <w:rFonts w:asciiTheme="minorHAnsi" w:hAnsiTheme="minorHAnsi"/>
                <w:sz w:val="20"/>
                <w:szCs w:val="20"/>
              </w:rPr>
              <w:lastRenderedPageBreak/>
              <w:t>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6D6B70">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D6B70">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6D6B70">
            <w:pPr>
              <w:rPr>
                <w:rFonts w:cs="Times New Roman"/>
                <w:color w:val="000000" w:themeColor="text1"/>
                <w:sz w:val="18"/>
                <w:szCs w:val="18"/>
              </w:rPr>
            </w:pPr>
            <w:r w:rsidRPr="00BC019B">
              <w:rPr>
                <w:rFonts w:asciiTheme="minorHAnsi" w:hAnsiTheme="minorHAnsi" w:cs="Times New Roman"/>
                <w:sz w:val="20"/>
                <w:szCs w:val="20"/>
              </w:rPr>
              <w:t xml:space="preserve">Podmienka, že voči žiadateľovi nie je vedené konkurzné konanie, </w:t>
            </w:r>
            <w:r w:rsidRPr="00BC019B">
              <w:rPr>
                <w:rFonts w:asciiTheme="minorHAnsi" w:hAnsiTheme="minorHAnsi" w:cs="Times New Roman"/>
                <w:sz w:val="20"/>
                <w:szCs w:val="20"/>
              </w:rPr>
              <w:lastRenderedPageBreak/>
              <w:t>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lastRenderedPageBreak/>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D6B70">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6D6B70">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D6B70">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D6B70">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D6B70">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D6B70">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D6B70">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246D32" w:rsidRPr="002D4CDB" w:rsidTr="00246D32">
        <w:trPr>
          <w:gridAfter w:val="1"/>
          <w:wAfter w:w="12" w:type="dxa"/>
          <w:trHeight w:val="165"/>
        </w:trPr>
        <w:tc>
          <w:tcPr>
            <w:tcW w:w="421" w:type="dxa"/>
          </w:tcPr>
          <w:p w:rsidR="00246D32" w:rsidRPr="002D4CDB" w:rsidRDefault="00246D32" w:rsidP="00246D3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246D32" w:rsidRPr="00B768E6" w:rsidRDefault="00246D32" w:rsidP="00246D3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246D32" w:rsidRPr="003A3A06" w:rsidRDefault="00246D32" w:rsidP="00246D3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246D32" w:rsidRPr="00E07F7F" w:rsidRDefault="00246D32" w:rsidP="00246D32">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lastRenderedPageBreak/>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D3722">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6D6B70">
        <w:trPr>
          <w:gridAfter w:val="1"/>
          <w:wAfter w:w="12" w:type="dxa"/>
          <w:trHeight w:val="330"/>
        </w:trPr>
        <w:tc>
          <w:tcPr>
            <w:tcW w:w="421" w:type="dxa"/>
          </w:tcPr>
          <w:p w:rsidR="00E00461" w:rsidRPr="006D6B70" w:rsidRDefault="005D204C" w:rsidP="005D204C">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E91829">
              <w:rPr>
                <w:rFonts w:asciiTheme="minorHAnsi" w:hAnsiTheme="minorHAnsi" w:cstheme="minorHAnsi"/>
                <w:sz w:val="18"/>
                <w:szCs w:val="18"/>
              </w:rPr>
              <w:t>5</w:t>
            </w:r>
          </w:p>
        </w:tc>
        <w:tc>
          <w:tcPr>
            <w:tcW w:w="6378" w:type="dxa"/>
            <w:shd w:val="clear" w:color="auto" w:fill="auto"/>
          </w:tcPr>
          <w:p w:rsidR="00E00461" w:rsidRPr="00E91829" w:rsidDel="00E00461" w:rsidRDefault="00E00461" w:rsidP="00B93A33">
            <w:pPr>
              <w:rPr>
                <w:rFonts w:cs="Times New Roman"/>
                <w:color w:val="000000" w:themeColor="text1"/>
                <w:sz w:val="18"/>
                <w:szCs w:val="18"/>
              </w:rPr>
            </w:pPr>
            <w:r w:rsidRPr="00E91829">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D3722">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340BF8" w:rsidRPr="002D4CDB" w:rsidTr="00340BF8">
        <w:trPr>
          <w:gridAfter w:val="1"/>
          <w:wAfter w:w="12" w:type="dxa"/>
          <w:trHeight w:val="368"/>
        </w:trPr>
        <w:tc>
          <w:tcPr>
            <w:tcW w:w="421" w:type="dxa"/>
            <w:vMerge w:val="restart"/>
          </w:tcPr>
          <w:p w:rsidR="00340BF8" w:rsidRPr="00165426" w:rsidRDefault="00340BF8" w:rsidP="00340BF8">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340BF8" w:rsidRPr="00E91829" w:rsidRDefault="00340BF8" w:rsidP="00340BF8">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340BF8" w:rsidRPr="006B558C" w:rsidRDefault="00340BF8" w:rsidP="00340BF8">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u w:val="single"/>
              </w:rPr>
              <w:t>Príloha č. 1</w:t>
            </w:r>
            <w:r>
              <w:rPr>
                <w:rFonts w:asciiTheme="minorHAnsi" w:hAnsiTheme="minorHAnsi" w:cs="Times New Roman"/>
                <w:b/>
                <w:sz w:val="20"/>
                <w:szCs w:val="20"/>
                <w:highlight w:val="yellow"/>
                <w:u w:val="single"/>
              </w:rPr>
              <w:t>8</w:t>
            </w:r>
          </w:p>
          <w:p w:rsidR="00340BF8" w:rsidRPr="00BC019B" w:rsidRDefault="00340BF8" w:rsidP="00340BF8">
            <w:pPr>
              <w:rPr>
                <w:rFonts w:asciiTheme="minorHAnsi" w:hAnsiTheme="minorHAnsi" w:cs="Times New Roman"/>
                <w:b/>
                <w:sz w:val="20"/>
                <w:szCs w:val="20"/>
                <w:u w:val="single"/>
              </w:rPr>
            </w:pPr>
            <w:r w:rsidRPr="006B558C">
              <w:rPr>
                <w:rFonts w:asciiTheme="minorHAnsi" w:hAnsiTheme="minorHAnsi" w:cs="Times New Roman"/>
                <w:b/>
                <w:sz w:val="20"/>
                <w:szCs w:val="20"/>
                <w:highlight w:val="yellow"/>
              </w:rPr>
              <w:t>Komplexný strategický plán udržateľného rozvoja dopravy</w:t>
            </w:r>
            <w:r w:rsidRPr="006B558C">
              <w:rPr>
                <w:rFonts w:asciiTheme="minorHAnsi" w:hAnsiTheme="minorHAnsi" w:cs="Times New Roman"/>
                <w:b/>
                <w:sz w:val="20"/>
                <w:szCs w:val="20"/>
                <w:highlight w:val="yellow"/>
                <w:u w:val="single"/>
              </w:rPr>
              <w:t xml:space="preserve"> </w:t>
            </w:r>
            <w:r>
              <w:rPr>
                <w:rFonts w:asciiTheme="minorHAnsi" w:hAnsiTheme="minorHAnsi" w:cs="Times New Roman"/>
                <w:sz w:val="20"/>
                <w:szCs w:val="20"/>
                <w:highlight w:val="yellow"/>
              </w:rPr>
              <w:t xml:space="preserve">- </w:t>
            </w:r>
            <w:r w:rsidRPr="006B558C">
              <w:rPr>
                <w:rFonts w:asciiTheme="minorHAnsi" w:hAnsiTheme="minorHAnsi" w:cs="Times New Roman"/>
                <w:sz w:val="20"/>
                <w:szCs w:val="20"/>
                <w:highlight w:val="yellow"/>
              </w:rPr>
              <w:t xml:space="preserve">preukázaný cez PUMM, </w:t>
            </w:r>
            <w:proofErr w:type="spellStart"/>
            <w:r w:rsidRPr="006B558C">
              <w:rPr>
                <w:rFonts w:asciiTheme="minorHAnsi" w:hAnsiTheme="minorHAnsi" w:cs="Times New Roman"/>
                <w:sz w:val="20"/>
                <w:szCs w:val="20"/>
                <w:highlight w:val="yellow"/>
              </w:rPr>
              <w:t>Generel</w:t>
            </w:r>
            <w:proofErr w:type="spellEnd"/>
            <w:r w:rsidRPr="006B558C">
              <w:rPr>
                <w:rFonts w:asciiTheme="minorHAnsi" w:hAnsiTheme="minorHAnsi" w:cs="Times New Roman"/>
                <w:sz w:val="20"/>
                <w:szCs w:val="20"/>
                <w:highlight w:val="yellow"/>
              </w:rPr>
              <w:t xml:space="preserve"> dopravy alebo Stanovisko JASPERS k </w:t>
            </w:r>
            <w:proofErr w:type="spellStart"/>
            <w:r w:rsidRPr="006B558C">
              <w:rPr>
                <w:rFonts w:asciiTheme="minorHAnsi" w:hAnsiTheme="minorHAnsi" w:cs="Times New Roman"/>
                <w:sz w:val="20"/>
                <w:szCs w:val="20"/>
                <w:highlight w:val="yellow"/>
              </w:rPr>
              <w:t>nerelevantnosti</w:t>
            </w:r>
            <w:proofErr w:type="spellEnd"/>
            <w:r w:rsidRPr="006B558C">
              <w:rPr>
                <w:rFonts w:asciiTheme="minorHAnsi" w:hAnsiTheme="minorHAnsi" w:cs="Times New Roman"/>
                <w:sz w:val="20"/>
                <w:szCs w:val="20"/>
                <w:highlight w:val="yellow"/>
              </w:rPr>
              <w:t xml:space="preserve"> predmetnej prílohy</w:t>
            </w:r>
            <w:r>
              <w:rPr>
                <w:rFonts w:asciiTheme="minorHAnsi" w:hAnsiTheme="minorHAnsi" w:cs="Times New Roman"/>
                <w:sz w:val="20"/>
                <w:szCs w:val="20"/>
                <w:highlight w:val="yellow"/>
              </w:rPr>
              <w:t>.</w:t>
            </w:r>
            <w:r w:rsidRPr="006B558C">
              <w:rPr>
                <w:rFonts w:asciiTheme="minorHAnsi" w:hAnsiTheme="minorHAnsi" w:cs="Times New Roman"/>
                <w:b/>
                <w:sz w:val="20"/>
                <w:szCs w:val="20"/>
                <w:highlight w:val="yellow"/>
                <w:u w:val="single"/>
              </w:rPr>
              <w:t xml:space="preserve"> </w:t>
            </w:r>
          </w:p>
        </w:tc>
      </w:tr>
      <w:tr w:rsidR="00340BF8" w:rsidRPr="002D4CDB" w:rsidTr="00D853A1">
        <w:trPr>
          <w:gridAfter w:val="1"/>
          <w:wAfter w:w="12" w:type="dxa"/>
          <w:trHeight w:val="367"/>
        </w:trPr>
        <w:tc>
          <w:tcPr>
            <w:tcW w:w="421" w:type="dxa"/>
            <w:vMerge/>
          </w:tcPr>
          <w:p w:rsidR="00340BF8" w:rsidRDefault="00340BF8" w:rsidP="00340BF8">
            <w:pPr>
              <w:rPr>
                <w:rFonts w:asciiTheme="minorHAnsi" w:hAnsiTheme="minorHAnsi" w:cstheme="minorHAnsi"/>
                <w:sz w:val="18"/>
                <w:szCs w:val="18"/>
              </w:rPr>
            </w:pPr>
          </w:p>
        </w:tc>
        <w:tc>
          <w:tcPr>
            <w:tcW w:w="6378" w:type="dxa"/>
            <w:vMerge/>
          </w:tcPr>
          <w:p w:rsidR="00340BF8" w:rsidRPr="006B558C" w:rsidRDefault="00340BF8" w:rsidP="00340BF8">
            <w:pPr>
              <w:rPr>
                <w:rFonts w:asciiTheme="minorHAnsi" w:hAnsiTheme="minorHAnsi" w:cs="Times New Roman"/>
                <w:sz w:val="20"/>
                <w:szCs w:val="20"/>
              </w:rPr>
            </w:pPr>
          </w:p>
        </w:tc>
        <w:tc>
          <w:tcPr>
            <w:tcW w:w="7229" w:type="dxa"/>
          </w:tcPr>
          <w:p w:rsidR="00340BF8" w:rsidRDefault="00340BF8" w:rsidP="00340BF8">
            <w:pPr>
              <w:rPr>
                <w:rFonts w:asciiTheme="minorHAnsi" w:hAnsiTheme="minorHAnsi" w:cs="Times New Roman"/>
                <w:b/>
                <w:sz w:val="20"/>
                <w:szCs w:val="20"/>
                <w:highlight w:val="yellow"/>
                <w:u w:val="single"/>
              </w:rPr>
            </w:pPr>
            <w:r>
              <w:rPr>
                <w:rFonts w:asciiTheme="minorHAnsi" w:hAnsiTheme="minorHAnsi" w:cs="Times New Roman"/>
                <w:b/>
                <w:sz w:val="20"/>
                <w:szCs w:val="20"/>
                <w:highlight w:val="yellow"/>
                <w:u w:val="single"/>
              </w:rPr>
              <w:t>Príloha č.19</w:t>
            </w:r>
          </w:p>
          <w:p w:rsidR="00340BF8" w:rsidRPr="00340BF8" w:rsidRDefault="00340BF8" w:rsidP="00340BF8">
            <w:pPr>
              <w:rPr>
                <w:rFonts w:asciiTheme="minorHAnsi" w:hAnsiTheme="minorHAnsi" w:cs="Times New Roman"/>
                <w:b/>
                <w:sz w:val="20"/>
                <w:szCs w:val="20"/>
                <w:highlight w:val="yellow"/>
                <w:u w:val="single"/>
              </w:rPr>
            </w:pPr>
            <w:r w:rsidRPr="006B558C">
              <w:rPr>
                <w:rFonts w:asciiTheme="minorHAnsi" w:hAnsiTheme="minorHAnsi" w:cs="Times New Roman"/>
                <w:b/>
                <w:sz w:val="20"/>
                <w:szCs w:val="20"/>
                <w:highlight w:val="yellow"/>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 xml:space="preserve">voči žiadateľovi nie je vedený výkon rozhodnutia, </w:t>
            </w:r>
          </w:p>
          <w:p w:rsidR="005206F0" w:rsidRPr="006D6B70"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A2726">
      <w:rPr>
        <w:rFonts w:eastAsia="Times New Roman" w:cs="Times New Roman"/>
        <w:noProof/>
        <w:szCs w:val="24"/>
        <w:lang w:eastAsia="sk-SK"/>
      </w:rPr>
      <w:t>7</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5E4939D4" wp14:editId="3A3C54AE">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78968CF" wp14:editId="2D869F9F">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720"/>
    <w:rsid w:val="00007732"/>
    <w:rsid w:val="00016F1C"/>
    <w:rsid w:val="0001779A"/>
    <w:rsid w:val="00020955"/>
    <w:rsid w:val="00050586"/>
    <w:rsid w:val="00053993"/>
    <w:rsid w:val="00054CDE"/>
    <w:rsid w:val="00061D73"/>
    <w:rsid w:val="00062B88"/>
    <w:rsid w:val="00076FC2"/>
    <w:rsid w:val="000806BF"/>
    <w:rsid w:val="000A2726"/>
    <w:rsid w:val="000B674B"/>
    <w:rsid w:val="000C0D6B"/>
    <w:rsid w:val="000C0D71"/>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F0635"/>
    <w:rsid w:val="00204701"/>
    <w:rsid w:val="00215499"/>
    <w:rsid w:val="002279C7"/>
    <w:rsid w:val="00231C62"/>
    <w:rsid w:val="00240C5A"/>
    <w:rsid w:val="002454DD"/>
    <w:rsid w:val="00246D32"/>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BF8"/>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D3722"/>
    <w:rsid w:val="006D6B70"/>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F7718"/>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1829"/>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94B18-DF56-42EC-815E-D01AF262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5373</Words>
  <Characters>30629</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14</cp:revision>
  <cp:lastPrinted>2014-11-06T07:47:00Z</cp:lastPrinted>
  <dcterms:created xsi:type="dcterms:W3CDTF">2016-01-24T19:04:00Z</dcterms:created>
  <dcterms:modified xsi:type="dcterms:W3CDTF">2016-02-17T12:02:00Z</dcterms:modified>
</cp:coreProperties>
</file>