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467B70E4"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r w:rsidR="00F04CD0">
        <w:rPr>
          <w:rFonts w:cs="Calibri"/>
          <w:b/>
          <w:sz w:val="24"/>
          <w:szCs w:val="24"/>
        </w:rPr>
        <w:t>4</w:t>
      </w:r>
    </w:p>
    <w:p w14:paraId="76C3FD68" w14:textId="105768C0"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r w:rsidR="000177E4">
        <w:rPr>
          <w:rFonts w:cs="Calibri"/>
          <w:b/>
          <w:sz w:val="24"/>
          <w:szCs w:val="24"/>
        </w:rPr>
        <w:t>17</w:t>
      </w:r>
      <w:r w:rsidR="0022751B" w:rsidRPr="00A10C0D">
        <w:rPr>
          <w:rFonts w:cs="Calibri"/>
          <w:b/>
          <w:sz w:val="24"/>
          <w:szCs w:val="24"/>
        </w:rPr>
        <w:t>.</w:t>
      </w:r>
      <w:r w:rsidR="000177E4">
        <w:rPr>
          <w:rFonts w:cs="Calibri"/>
          <w:b/>
          <w:sz w:val="24"/>
          <w:szCs w:val="24"/>
        </w:rPr>
        <w:t xml:space="preserve"> jún </w:t>
      </w:r>
      <w:r w:rsidR="00804B8C" w:rsidRPr="00A10C0D">
        <w:rPr>
          <w:rFonts w:cs="Calibri"/>
          <w:b/>
          <w:sz w:val="24"/>
          <w:szCs w:val="24"/>
        </w:rPr>
        <w:t>202</w:t>
      </w:r>
      <w:r w:rsidR="00CA6CC8">
        <w:rPr>
          <w:rFonts w:cs="Calibri"/>
          <w:b/>
          <w:sz w:val="24"/>
          <w:szCs w:val="24"/>
        </w:rPr>
        <w:t>2</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
    </w:p>
    <w:p w14:paraId="1026ECF7" w14:textId="70A45A4D"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405D8963" w14:textId="6C291CDA" w:rsidR="00493C12" w:rsidRPr="003177A3" w:rsidRDefault="006D0DC3">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5F6C63A5" w14:textId="0044D228" w:rsidR="00493C12" w:rsidRPr="003177A3" w:rsidRDefault="006D0DC3">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5C37921F" w14:textId="6B3EFEDA" w:rsidR="00493C12" w:rsidRPr="003177A3" w:rsidRDefault="006D0DC3">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sidR="00877848">
          <w:rPr>
            <w:noProof/>
            <w:webHidden/>
          </w:rPr>
          <w:t>5</w:t>
        </w:r>
        <w:r w:rsidR="00493C12">
          <w:rPr>
            <w:noProof/>
            <w:webHidden/>
          </w:rPr>
          <w:fldChar w:fldCharType="end"/>
        </w:r>
      </w:hyperlink>
    </w:p>
    <w:p w14:paraId="5AED9FA7" w14:textId="6AC3E57C" w:rsidR="00493C12" w:rsidRPr="003177A3" w:rsidRDefault="006D0DC3">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sidR="00877848">
          <w:rPr>
            <w:noProof/>
            <w:webHidden/>
          </w:rPr>
          <w:t>6</w:t>
        </w:r>
        <w:r w:rsidR="00493C12">
          <w:rPr>
            <w:noProof/>
            <w:webHidden/>
          </w:rPr>
          <w:fldChar w:fldCharType="end"/>
        </w:r>
      </w:hyperlink>
    </w:p>
    <w:p w14:paraId="6912B530" w14:textId="7847AAAC" w:rsidR="00493C12" w:rsidRPr="003177A3" w:rsidRDefault="006D0DC3">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sidR="00877848">
          <w:rPr>
            <w:noProof/>
            <w:webHidden/>
          </w:rPr>
          <w:t>7</w:t>
        </w:r>
        <w:r w:rsidR="00493C12">
          <w:rPr>
            <w:noProof/>
            <w:webHidden/>
          </w:rPr>
          <w:fldChar w:fldCharType="end"/>
        </w:r>
      </w:hyperlink>
    </w:p>
    <w:p w14:paraId="0DBDE562" w14:textId="706B8683" w:rsidR="00493C12" w:rsidRPr="003177A3" w:rsidRDefault="006D0DC3">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sidR="00877848">
          <w:rPr>
            <w:noProof/>
            <w:webHidden/>
          </w:rPr>
          <w:t>8</w:t>
        </w:r>
        <w:r w:rsidR="00493C12">
          <w:rPr>
            <w:noProof/>
            <w:webHidden/>
          </w:rPr>
          <w:fldChar w:fldCharType="end"/>
        </w:r>
      </w:hyperlink>
    </w:p>
    <w:p w14:paraId="49158624" w14:textId="68143D82" w:rsidR="00493C12" w:rsidRPr="003177A3" w:rsidRDefault="006D0DC3">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59C7ECFE" w14:textId="6B88900C" w:rsidR="00493C12" w:rsidRPr="003177A3" w:rsidRDefault="006D0DC3">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65DBA4E9" w14:textId="710B04CF" w:rsidR="00493C12" w:rsidRPr="003177A3" w:rsidRDefault="006D0DC3">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36527A47" w14:textId="4EC45B21" w:rsidR="00493C12" w:rsidRPr="003177A3" w:rsidRDefault="006D0DC3">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sidR="00877848">
          <w:rPr>
            <w:noProof/>
            <w:webHidden/>
          </w:rPr>
          <w:t>9</w:t>
        </w:r>
        <w:r w:rsidR="00493C12">
          <w:rPr>
            <w:noProof/>
            <w:webHidden/>
          </w:rPr>
          <w:fldChar w:fldCharType="end"/>
        </w:r>
      </w:hyperlink>
    </w:p>
    <w:p w14:paraId="1529C465" w14:textId="5DE8EA69" w:rsidR="00493C12" w:rsidRPr="003177A3" w:rsidRDefault="006D0DC3">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sidR="00877848">
          <w:rPr>
            <w:noProof/>
            <w:webHidden/>
          </w:rPr>
          <w:t>11</w:t>
        </w:r>
        <w:r w:rsidR="00493C12">
          <w:rPr>
            <w:noProof/>
            <w:webHidden/>
          </w:rPr>
          <w:fldChar w:fldCharType="end"/>
        </w:r>
      </w:hyperlink>
    </w:p>
    <w:p w14:paraId="7E601EEB" w14:textId="4B75ADCA" w:rsidR="00493C12" w:rsidRPr="003177A3" w:rsidRDefault="006D0DC3">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sidR="00877848">
          <w:rPr>
            <w:noProof/>
            <w:webHidden/>
          </w:rPr>
          <w:t>14</w:t>
        </w:r>
        <w:r w:rsidR="00493C12">
          <w:rPr>
            <w:noProof/>
            <w:webHidden/>
          </w:rPr>
          <w:fldChar w:fldCharType="end"/>
        </w:r>
      </w:hyperlink>
    </w:p>
    <w:p w14:paraId="488F2178" w14:textId="7C98EA95" w:rsidR="00493C12" w:rsidRPr="003177A3" w:rsidRDefault="006D0DC3">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sidR="00877848">
          <w:rPr>
            <w:noProof/>
            <w:webHidden/>
          </w:rPr>
          <w:t>15</w:t>
        </w:r>
        <w:r w:rsidR="00493C12">
          <w:rPr>
            <w:noProof/>
            <w:webHidden/>
          </w:rPr>
          <w:fldChar w:fldCharType="end"/>
        </w:r>
      </w:hyperlink>
    </w:p>
    <w:p w14:paraId="3603DB6D" w14:textId="116C4BEB" w:rsidR="00493C12" w:rsidRPr="003177A3" w:rsidRDefault="006D0DC3">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sidR="00877848">
          <w:rPr>
            <w:noProof/>
            <w:webHidden/>
          </w:rPr>
          <w:t>15</w:t>
        </w:r>
        <w:r w:rsidR="00493C12">
          <w:rPr>
            <w:noProof/>
            <w:webHidden/>
          </w:rPr>
          <w:fldChar w:fldCharType="end"/>
        </w:r>
      </w:hyperlink>
    </w:p>
    <w:p w14:paraId="4D05AE7A" w14:textId="02A93E88" w:rsidR="00493C12" w:rsidRPr="003177A3" w:rsidRDefault="006D0DC3">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sidR="00877848">
          <w:rPr>
            <w:noProof/>
            <w:webHidden/>
          </w:rPr>
          <w:t>17</w:t>
        </w:r>
        <w:r w:rsidR="00493C12">
          <w:rPr>
            <w:noProof/>
            <w:webHidden/>
          </w:rPr>
          <w:fldChar w:fldCharType="end"/>
        </w:r>
      </w:hyperlink>
    </w:p>
    <w:p w14:paraId="6E035BE7" w14:textId="31D097D0" w:rsidR="00493C12" w:rsidRPr="003177A3" w:rsidRDefault="006D0DC3">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sidR="00877848">
          <w:rPr>
            <w:noProof/>
            <w:webHidden/>
          </w:rPr>
          <w:t>18</w:t>
        </w:r>
        <w:r w:rsidR="00493C12">
          <w:rPr>
            <w:noProof/>
            <w:webHidden/>
          </w:rPr>
          <w:fldChar w:fldCharType="end"/>
        </w:r>
      </w:hyperlink>
    </w:p>
    <w:p w14:paraId="11E9A81A" w14:textId="2A5CC714" w:rsidR="00493C12" w:rsidRPr="003177A3" w:rsidRDefault="006D0DC3">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4BE2B899" w14:textId="444E23CE" w:rsidR="00493C12" w:rsidRPr="003177A3" w:rsidRDefault="006D0DC3">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53D0A68A" w14:textId="04C07200" w:rsidR="00493C12" w:rsidRPr="003177A3" w:rsidRDefault="006D0DC3">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sidR="00877848">
          <w:rPr>
            <w:noProof/>
            <w:webHidden/>
          </w:rPr>
          <w:t>22</w:t>
        </w:r>
        <w:r w:rsidR="00493C12">
          <w:rPr>
            <w:noProof/>
            <w:webHidden/>
          </w:rPr>
          <w:fldChar w:fldCharType="end"/>
        </w:r>
      </w:hyperlink>
    </w:p>
    <w:p w14:paraId="0691D7A0" w14:textId="65E22D82" w:rsidR="00493C12" w:rsidRPr="003177A3" w:rsidRDefault="006D0DC3">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sidR="00877848">
          <w:rPr>
            <w:noProof/>
            <w:webHidden/>
          </w:rPr>
          <w:t>23</w:t>
        </w:r>
        <w:r w:rsidR="00493C12">
          <w:rPr>
            <w:noProof/>
            <w:webHidden/>
          </w:rPr>
          <w:fldChar w:fldCharType="end"/>
        </w:r>
      </w:hyperlink>
    </w:p>
    <w:p w14:paraId="2409C049" w14:textId="30F8C751" w:rsidR="00493C12" w:rsidRPr="003177A3" w:rsidRDefault="006D0DC3">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sidR="00877848">
          <w:rPr>
            <w:noProof/>
            <w:webHidden/>
          </w:rPr>
          <w:t>25</w:t>
        </w:r>
        <w:r w:rsidR="00493C12">
          <w:rPr>
            <w:noProof/>
            <w:webHidden/>
          </w:rPr>
          <w:fldChar w:fldCharType="end"/>
        </w:r>
      </w:hyperlink>
    </w:p>
    <w:p w14:paraId="25227BF9" w14:textId="53034844" w:rsidR="00493C12" w:rsidRPr="003177A3" w:rsidRDefault="006D0DC3">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sidR="00877848">
          <w:rPr>
            <w:noProof/>
            <w:webHidden/>
          </w:rPr>
          <w:t>26</w:t>
        </w:r>
        <w:r w:rsidR="00493C12">
          <w:rPr>
            <w:noProof/>
            <w:webHidden/>
          </w:rPr>
          <w:fldChar w:fldCharType="end"/>
        </w:r>
      </w:hyperlink>
    </w:p>
    <w:p w14:paraId="36FAD5ED" w14:textId="3FF82A60" w:rsidR="00493C12" w:rsidRPr="003177A3" w:rsidRDefault="006D0DC3">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sidR="00877848">
          <w:rPr>
            <w:noProof/>
            <w:webHidden/>
          </w:rPr>
          <w:t>27</w:t>
        </w:r>
        <w:r w:rsidR="00493C12">
          <w:rPr>
            <w:noProof/>
            <w:webHidden/>
          </w:rPr>
          <w:fldChar w:fldCharType="end"/>
        </w:r>
      </w:hyperlink>
    </w:p>
    <w:p w14:paraId="4FEDB01A" w14:textId="2E7E7E44" w:rsidR="00493C12" w:rsidRPr="003177A3" w:rsidRDefault="006D0DC3">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sidR="00877848">
          <w:rPr>
            <w:noProof/>
            <w:webHidden/>
          </w:rPr>
          <w:t>29</w:t>
        </w:r>
        <w:r w:rsidR="00493C12">
          <w:rPr>
            <w:noProof/>
            <w:webHidden/>
          </w:rPr>
          <w:fldChar w:fldCharType="end"/>
        </w:r>
      </w:hyperlink>
    </w:p>
    <w:p w14:paraId="6C89A877" w14:textId="45BEC4EE" w:rsidR="00493C12" w:rsidRPr="003177A3" w:rsidRDefault="006D0DC3">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sidR="00877848">
          <w:rPr>
            <w:noProof/>
            <w:webHidden/>
          </w:rPr>
          <w:t>30</w:t>
        </w:r>
        <w:r w:rsidR="00493C12">
          <w:rPr>
            <w:noProof/>
            <w:webHidden/>
          </w:rPr>
          <w:fldChar w:fldCharType="end"/>
        </w:r>
      </w:hyperlink>
    </w:p>
    <w:p w14:paraId="7810C0F5" w14:textId="4295AA37" w:rsidR="00493C12" w:rsidRPr="003177A3" w:rsidRDefault="006D0DC3">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sidR="00877848">
          <w:rPr>
            <w:noProof/>
            <w:webHidden/>
          </w:rPr>
          <w:t>30</w:t>
        </w:r>
        <w:r w:rsidR="00493C12">
          <w:rPr>
            <w:noProof/>
            <w:webHidden/>
          </w:rPr>
          <w:fldChar w:fldCharType="end"/>
        </w:r>
      </w:hyperlink>
    </w:p>
    <w:p w14:paraId="35C76E37" w14:textId="02AFCBF6" w:rsidR="00493C12" w:rsidRPr="003177A3" w:rsidRDefault="006D0DC3">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sidR="00877848">
          <w:rPr>
            <w:noProof/>
            <w:webHidden/>
          </w:rPr>
          <w:t>31</w:t>
        </w:r>
        <w:r w:rsidR="00493C12">
          <w:rPr>
            <w:noProof/>
            <w:webHidden/>
          </w:rPr>
          <w:fldChar w:fldCharType="end"/>
        </w:r>
      </w:hyperlink>
    </w:p>
    <w:p w14:paraId="3EDC0D85" w14:textId="2D3056E3" w:rsidR="00493C12" w:rsidRPr="003177A3" w:rsidRDefault="006D0DC3">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sidR="00877848">
          <w:rPr>
            <w:noProof/>
            <w:webHidden/>
          </w:rPr>
          <w:t>32</w:t>
        </w:r>
        <w:r w:rsidR="00493C12">
          <w:rPr>
            <w:noProof/>
            <w:webHidden/>
          </w:rPr>
          <w:fldChar w:fldCharType="end"/>
        </w:r>
      </w:hyperlink>
    </w:p>
    <w:p w14:paraId="1AFF837B" w14:textId="328216FD" w:rsidR="00493C12" w:rsidRPr="003177A3" w:rsidRDefault="006D0DC3">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sidR="00877848">
          <w:rPr>
            <w:noProof/>
            <w:webHidden/>
          </w:rPr>
          <w:t>33</w:t>
        </w:r>
        <w:r w:rsidR="00493C12">
          <w:rPr>
            <w:noProof/>
            <w:webHidden/>
          </w:rPr>
          <w:fldChar w:fldCharType="end"/>
        </w:r>
      </w:hyperlink>
    </w:p>
    <w:p w14:paraId="5763C931" w14:textId="43B8AE31" w:rsidR="00493C12" w:rsidRPr="003177A3" w:rsidRDefault="006D0DC3">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sidR="00877848">
          <w:rPr>
            <w:noProof/>
            <w:webHidden/>
          </w:rPr>
          <w:t>33</w:t>
        </w:r>
        <w:r w:rsidR="00493C12">
          <w:rPr>
            <w:noProof/>
            <w:webHidden/>
          </w:rPr>
          <w:fldChar w:fldCharType="end"/>
        </w:r>
      </w:hyperlink>
    </w:p>
    <w:p w14:paraId="2A2A4FE4" w14:textId="1EFF762E" w:rsidR="00493C12" w:rsidRPr="003177A3" w:rsidRDefault="006D0DC3">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sidR="00877848">
          <w:rPr>
            <w:noProof/>
            <w:webHidden/>
          </w:rPr>
          <w:t>35</w:t>
        </w:r>
        <w:r w:rsidR="00493C12">
          <w:rPr>
            <w:noProof/>
            <w:webHidden/>
          </w:rPr>
          <w:fldChar w:fldCharType="end"/>
        </w:r>
      </w:hyperlink>
    </w:p>
    <w:p w14:paraId="3447B7AB" w14:textId="49657729" w:rsidR="00493C12" w:rsidRPr="003177A3" w:rsidRDefault="006D0DC3">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sidR="00877848">
          <w:rPr>
            <w:noProof/>
            <w:webHidden/>
          </w:rPr>
          <w:t>36</w:t>
        </w:r>
        <w:r w:rsidR="00493C12">
          <w:rPr>
            <w:noProof/>
            <w:webHidden/>
          </w:rPr>
          <w:fldChar w:fldCharType="end"/>
        </w:r>
      </w:hyperlink>
    </w:p>
    <w:p w14:paraId="3E5DECCB" w14:textId="54993F6D" w:rsidR="00493C12" w:rsidRPr="003177A3" w:rsidRDefault="006D0DC3">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34520123" w14:textId="16232925" w:rsidR="00493C12" w:rsidRPr="003177A3" w:rsidRDefault="006D0DC3">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490269F1" w14:textId="5DEE1D2C" w:rsidR="00493C12" w:rsidRPr="003177A3" w:rsidRDefault="006D0DC3">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7CA70E4D" w14:textId="12E20BAF" w:rsidR="00493C12" w:rsidRPr="003177A3" w:rsidRDefault="006D0DC3">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sidR="00877848">
          <w:rPr>
            <w:noProof/>
            <w:webHidden/>
          </w:rPr>
          <w:t>37</w:t>
        </w:r>
        <w:r w:rsidR="00493C12">
          <w:rPr>
            <w:noProof/>
            <w:webHidden/>
          </w:rPr>
          <w:fldChar w:fldCharType="end"/>
        </w:r>
      </w:hyperlink>
    </w:p>
    <w:p w14:paraId="2FDC9251" w14:textId="04E7053B" w:rsidR="00493C12" w:rsidRPr="003177A3" w:rsidRDefault="006D0DC3">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sidR="00877848">
          <w:rPr>
            <w:noProof/>
            <w:webHidden/>
          </w:rPr>
          <w:t>38</w:t>
        </w:r>
        <w:r w:rsidR="00493C12">
          <w:rPr>
            <w:noProof/>
            <w:webHidden/>
          </w:rPr>
          <w:fldChar w:fldCharType="end"/>
        </w:r>
      </w:hyperlink>
    </w:p>
    <w:p w14:paraId="3BE5E818" w14:textId="2DC054F1" w:rsidR="00493C12" w:rsidRPr="003177A3" w:rsidRDefault="006D0DC3">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sidR="00877848">
          <w:rPr>
            <w:noProof/>
            <w:webHidden/>
          </w:rPr>
          <w:t>39</w:t>
        </w:r>
        <w:r w:rsidR="00493C12">
          <w:rPr>
            <w:noProof/>
            <w:webHidden/>
          </w:rPr>
          <w:fldChar w:fldCharType="end"/>
        </w:r>
      </w:hyperlink>
    </w:p>
    <w:p w14:paraId="7E05C32C" w14:textId="46877758" w:rsidR="00493C12" w:rsidRPr="003177A3" w:rsidRDefault="006D0DC3">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sidR="00877848">
          <w:rPr>
            <w:noProof/>
            <w:webHidden/>
          </w:rPr>
          <w:t>40</w:t>
        </w:r>
        <w:r w:rsidR="00493C12">
          <w:rPr>
            <w:noProof/>
            <w:webHidden/>
          </w:rPr>
          <w:fldChar w:fldCharType="end"/>
        </w:r>
      </w:hyperlink>
    </w:p>
    <w:p w14:paraId="3E1D62C0" w14:textId="55FA43FC" w:rsidR="00493C12" w:rsidRPr="003177A3" w:rsidRDefault="006D0DC3">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sidR="00877848">
          <w:rPr>
            <w:noProof/>
            <w:webHidden/>
          </w:rPr>
          <w:t>40</w:t>
        </w:r>
        <w:r w:rsidR="00493C12">
          <w:rPr>
            <w:noProof/>
            <w:webHidden/>
          </w:rPr>
          <w:fldChar w:fldCharType="end"/>
        </w:r>
      </w:hyperlink>
    </w:p>
    <w:p w14:paraId="08622BA8" w14:textId="7D0EEC4A" w:rsidR="00493C12" w:rsidRPr="003177A3" w:rsidRDefault="006D0DC3">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sidR="00877848">
          <w:rPr>
            <w:noProof/>
            <w:webHidden/>
          </w:rPr>
          <w:t>46</w:t>
        </w:r>
        <w:r w:rsidR="00493C12">
          <w:rPr>
            <w:noProof/>
            <w:webHidden/>
          </w:rPr>
          <w:fldChar w:fldCharType="end"/>
        </w:r>
      </w:hyperlink>
    </w:p>
    <w:p w14:paraId="39317F95" w14:textId="408BD99B" w:rsidR="00493C12" w:rsidRPr="003177A3" w:rsidRDefault="006D0DC3">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sidR="00877848">
          <w:rPr>
            <w:noProof/>
            <w:webHidden/>
          </w:rPr>
          <w:t>49</w:t>
        </w:r>
        <w:r w:rsidR="00493C12">
          <w:rPr>
            <w:noProof/>
            <w:webHidden/>
          </w:rPr>
          <w:fldChar w:fldCharType="end"/>
        </w:r>
      </w:hyperlink>
    </w:p>
    <w:p w14:paraId="3AF84FC5" w14:textId="5027D990" w:rsidR="00493C12" w:rsidRPr="003177A3" w:rsidRDefault="006D0DC3">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sidR="00877848">
          <w:rPr>
            <w:noProof/>
            <w:webHidden/>
          </w:rPr>
          <w:t>50</w:t>
        </w:r>
        <w:r w:rsidR="00493C12">
          <w:rPr>
            <w:noProof/>
            <w:webHidden/>
          </w:rPr>
          <w:fldChar w:fldCharType="end"/>
        </w:r>
      </w:hyperlink>
    </w:p>
    <w:p w14:paraId="63190DD5" w14:textId="23D24361" w:rsidR="00493C12" w:rsidRPr="003177A3" w:rsidRDefault="006D0DC3">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sidR="00877848">
          <w:rPr>
            <w:noProof/>
            <w:webHidden/>
          </w:rPr>
          <w:t>51</w:t>
        </w:r>
        <w:r w:rsidR="00493C12">
          <w:rPr>
            <w:noProof/>
            <w:webHidden/>
          </w:rPr>
          <w:fldChar w:fldCharType="end"/>
        </w:r>
      </w:hyperlink>
    </w:p>
    <w:p w14:paraId="53349957" w14:textId="546FA073" w:rsidR="00493C12" w:rsidRPr="003177A3" w:rsidRDefault="006D0DC3">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sidR="00877848">
          <w:rPr>
            <w:noProof/>
            <w:webHidden/>
          </w:rPr>
          <w:t>51</w:t>
        </w:r>
        <w:r w:rsidR="00493C12">
          <w:rPr>
            <w:noProof/>
            <w:webHidden/>
          </w:rPr>
          <w:fldChar w:fldCharType="end"/>
        </w:r>
      </w:hyperlink>
    </w:p>
    <w:p w14:paraId="23EB8D34" w14:textId="596B4F2A" w:rsidR="00493C12" w:rsidRPr="003177A3" w:rsidRDefault="006D0DC3">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sidR="00877848">
          <w:rPr>
            <w:noProof/>
            <w:webHidden/>
          </w:rPr>
          <w:t>52</w:t>
        </w:r>
        <w:r w:rsidR="00493C12">
          <w:rPr>
            <w:noProof/>
            <w:webHidden/>
          </w:rPr>
          <w:fldChar w:fldCharType="end"/>
        </w:r>
      </w:hyperlink>
    </w:p>
    <w:p w14:paraId="1E94BB44" w14:textId="04C8F3F9" w:rsidR="00493C12" w:rsidRPr="003177A3" w:rsidRDefault="006D0DC3">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sidR="00877848">
          <w:rPr>
            <w:noProof/>
            <w:webHidden/>
          </w:rPr>
          <w:t>56</w:t>
        </w:r>
        <w:r w:rsidR="00493C12">
          <w:rPr>
            <w:noProof/>
            <w:webHidden/>
          </w:rPr>
          <w:fldChar w:fldCharType="end"/>
        </w:r>
      </w:hyperlink>
    </w:p>
    <w:p w14:paraId="4AE0DC18" w14:textId="2C4458A5" w:rsidR="00493C12" w:rsidRPr="003177A3" w:rsidRDefault="006D0DC3">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sidR="00877848">
          <w:rPr>
            <w:noProof/>
            <w:webHidden/>
          </w:rPr>
          <w:t>56</w:t>
        </w:r>
        <w:r w:rsidR="00493C12">
          <w:rPr>
            <w:noProof/>
            <w:webHidden/>
          </w:rPr>
          <w:fldChar w:fldCharType="end"/>
        </w:r>
      </w:hyperlink>
    </w:p>
    <w:p w14:paraId="2F686DFF" w14:textId="55098CD4" w:rsidR="00493C12" w:rsidRPr="003177A3" w:rsidRDefault="006D0DC3">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sidR="00877848">
          <w:rPr>
            <w:noProof/>
            <w:webHidden/>
          </w:rPr>
          <w:t>58</w:t>
        </w:r>
        <w:r w:rsidR="00493C12">
          <w:rPr>
            <w:noProof/>
            <w:webHidden/>
          </w:rPr>
          <w:fldChar w:fldCharType="end"/>
        </w:r>
      </w:hyperlink>
    </w:p>
    <w:p w14:paraId="54508AFB" w14:textId="6A6C8784" w:rsidR="00493C12" w:rsidRPr="003177A3" w:rsidRDefault="006D0DC3">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sidR="00877848">
          <w:rPr>
            <w:noProof/>
            <w:webHidden/>
          </w:rPr>
          <w:t>58</w:t>
        </w:r>
        <w:r w:rsidR="00493C12">
          <w:rPr>
            <w:noProof/>
            <w:webHidden/>
          </w:rPr>
          <w:fldChar w:fldCharType="end"/>
        </w:r>
      </w:hyperlink>
    </w:p>
    <w:p w14:paraId="30F093A1" w14:textId="6097BF5F" w:rsidR="00493C12" w:rsidRPr="003177A3" w:rsidRDefault="006D0DC3">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sidR="00877848">
          <w:rPr>
            <w:noProof/>
            <w:webHidden/>
          </w:rPr>
          <w:t>59</w:t>
        </w:r>
        <w:r w:rsidR="00493C12">
          <w:rPr>
            <w:noProof/>
            <w:webHidden/>
          </w:rPr>
          <w:fldChar w:fldCharType="end"/>
        </w:r>
      </w:hyperlink>
    </w:p>
    <w:p w14:paraId="185C562A" w14:textId="38959959" w:rsidR="00493C12" w:rsidRPr="003177A3" w:rsidRDefault="006D0DC3">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sidR="00877848">
          <w:rPr>
            <w:noProof/>
            <w:webHidden/>
          </w:rPr>
          <w:t>60</w:t>
        </w:r>
        <w:r w:rsidR="00493C12">
          <w:rPr>
            <w:noProof/>
            <w:webHidden/>
          </w:rPr>
          <w:fldChar w:fldCharType="end"/>
        </w:r>
      </w:hyperlink>
    </w:p>
    <w:p w14:paraId="29625875" w14:textId="5E28AC25" w:rsidR="00493C12" w:rsidRPr="003177A3" w:rsidRDefault="006D0DC3">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3CE85A1E" w14:textId="5960E5DA" w:rsidR="00493C12" w:rsidRPr="003177A3" w:rsidRDefault="006D0DC3">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38D61408" w14:textId="755EB0F0" w:rsidR="00493C12" w:rsidRPr="003177A3" w:rsidRDefault="006D0DC3">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sidR="00877848">
          <w:rPr>
            <w:noProof/>
            <w:webHidden/>
          </w:rPr>
          <w:t>61</w:t>
        </w:r>
        <w:r w:rsidR="00493C12">
          <w:rPr>
            <w:noProof/>
            <w:webHidden/>
          </w:rPr>
          <w:fldChar w:fldCharType="end"/>
        </w:r>
      </w:hyperlink>
    </w:p>
    <w:p w14:paraId="07CB364D" w14:textId="4CB6D1BC" w:rsidR="00493C12" w:rsidRPr="003177A3" w:rsidRDefault="006D0DC3">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sidR="00877848">
          <w:rPr>
            <w:noProof/>
            <w:webHidden/>
          </w:rPr>
          <w:t>62</w:t>
        </w:r>
        <w:r w:rsidR="00493C12">
          <w:rPr>
            <w:noProof/>
            <w:webHidden/>
          </w:rPr>
          <w:fldChar w:fldCharType="end"/>
        </w:r>
      </w:hyperlink>
    </w:p>
    <w:p w14:paraId="19EECEB7" w14:textId="1C98FE87" w:rsidR="00493C12" w:rsidRPr="003177A3" w:rsidRDefault="006D0DC3">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sidR="00877848">
          <w:rPr>
            <w:noProof/>
            <w:webHidden/>
          </w:rPr>
          <w:t>67</w:t>
        </w:r>
        <w:r w:rsidR="00493C12">
          <w:rPr>
            <w:noProof/>
            <w:webHidden/>
          </w:rPr>
          <w:fldChar w:fldCharType="end"/>
        </w:r>
      </w:hyperlink>
    </w:p>
    <w:p w14:paraId="797CF26E" w14:textId="346943BB" w:rsidR="00493C12" w:rsidRPr="003177A3" w:rsidRDefault="006D0DC3">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sidR="00877848">
          <w:rPr>
            <w:noProof/>
            <w:webHidden/>
          </w:rPr>
          <w:t>67</w:t>
        </w:r>
        <w:r w:rsidR="00493C12">
          <w:rPr>
            <w:noProof/>
            <w:webHidden/>
          </w:rPr>
          <w:fldChar w:fldCharType="end"/>
        </w:r>
      </w:hyperlink>
    </w:p>
    <w:p w14:paraId="496D6FC1" w14:textId="455829BC" w:rsidR="00493C12" w:rsidRPr="003177A3" w:rsidRDefault="006D0DC3">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sidR="00877848">
          <w:rPr>
            <w:noProof/>
            <w:webHidden/>
          </w:rPr>
          <w:t>68</w:t>
        </w:r>
        <w:r w:rsidR="00493C12">
          <w:rPr>
            <w:noProof/>
            <w:webHidden/>
          </w:rPr>
          <w:fldChar w:fldCharType="end"/>
        </w:r>
      </w:hyperlink>
    </w:p>
    <w:p w14:paraId="06651A74" w14:textId="6245F21A" w:rsidR="00493C12" w:rsidRPr="003177A3" w:rsidRDefault="006D0DC3">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sidR="00877848">
          <w:rPr>
            <w:noProof/>
            <w:webHidden/>
          </w:rPr>
          <w:t>71</w:t>
        </w:r>
        <w:r w:rsidR="00493C12">
          <w:rPr>
            <w:noProof/>
            <w:webHidden/>
          </w:rPr>
          <w:fldChar w:fldCharType="end"/>
        </w:r>
      </w:hyperlink>
    </w:p>
    <w:p w14:paraId="6FB497B9" w14:textId="3065C35C" w:rsidR="00493C12" w:rsidRPr="003177A3" w:rsidRDefault="006D0DC3">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sidR="00877848">
          <w:rPr>
            <w:noProof/>
            <w:webHidden/>
          </w:rPr>
          <w:t>80</w:t>
        </w:r>
        <w:r w:rsidR="00493C12">
          <w:rPr>
            <w:noProof/>
            <w:webHidden/>
          </w:rPr>
          <w:fldChar w:fldCharType="end"/>
        </w:r>
      </w:hyperlink>
    </w:p>
    <w:p w14:paraId="7E2D8E43" w14:textId="4B047A30" w:rsidR="00493C12" w:rsidRPr="003177A3" w:rsidRDefault="006D0DC3">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sidR="00877848">
          <w:rPr>
            <w:noProof/>
            <w:webHidden/>
          </w:rPr>
          <w:t>81</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 w:name="_Toc7078273"/>
      <w:r w:rsidRPr="00A374F2">
        <w:rPr>
          <w:b/>
          <w:color w:val="FFFFFF"/>
        </w:rPr>
        <w:lastRenderedPageBreak/>
        <w:t>Úvod</w:t>
      </w:r>
      <w:bookmarkEnd w:id="2"/>
    </w:p>
    <w:p w14:paraId="0765C2CA" w14:textId="77777777" w:rsidR="008468E9" w:rsidRDefault="008468E9" w:rsidP="00415B1C">
      <w:pPr>
        <w:pStyle w:val="Nadpis2"/>
        <w:keepLines/>
        <w:numPr>
          <w:ilvl w:val="0"/>
          <w:numId w:val="0"/>
        </w:numPr>
        <w:spacing w:before="120" w:after="0"/>
        <w:ind w:left="576"/>
      </w:pPr>
      <w:bookmarkStart w:id="3" w:name="_Toc413652658"/>
      <w:bookmarkStart w:id="4" w:name="_Toc413680798"/>
      <w:bookmarkStart w:id="5" w:name="_Toc413681970"/>
      <w:bookmarkStart w:id="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7" w:name="_Toc7078274"/>
      <w:r w:rsidRPr="00A374F2">
        <w:t>Cieľ príručky</w:t>
      </w:r>
      <w:bookmarkEnd w:id="3"/>
      <w:bookmarkEnd w:id="4"/>
      <w:bookmarkEnd w:id="5"/>
      <w:bookmarkEnd w:id="6"/>
      <w:bookmarkEnd w:id="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8" w:name="_Toc413652660"/>
      <w:bookmarkStart w:id="9" w:name="_Toc413680800"/>
      <w:bookmarkStart w:id="10" w:name="_Toc413681972"/>
      <w:bookmarkStart w:id="11" w:name="_Toc413682305"/>
      <w:bookmarkStart w:id="12" w:name="_Toc7078275"/>
      <w:r w:rsidRPr="00A374F2">
        <w:t xml:space="preserve">Platnosť </w:t>
      </w:r>
      <w:r w:rsidR="00425DEC">
        <w:rPr>
          <w:lang w:val="sk-SK"/>
        </w:rPr>
        <w:t xml:space="preserve">a účinnosť </w:t>
      </w:r>
      <w:r w:rsidRPr="00A374F2">
        <w:t>príručky</w:t>
      </w:r>
      <w:bookmarkEnd w:id="8"/>
      <w:bookmarkEnd w:id="9"/>
      <w:bookmarkEnd w:id="10"/>
      <w:bookmarkEnd w:id="11"/>
      <w:bookmarkEnd w:id="1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3" w:name="_Všeobecné_pravidlá_oprávnenosti"/>
      <w:bookmarkStart w:id="14" w:name="_Toc7078276"/>
      <w:bookmarkEnd w:id="13"/>
      <w:r w:rsidRPr="00A374F2">
        <w:rPr>
          <w:b/>
          <w:color w:val="FFFFFF"/>
          <w:szCs w:val="32"/>
        </w:rPr>
        <w:lastRenderedPageBreak/>
        <w:t>Všeobecné pravidlá oprávnenosti výdavkov</w:t>
      </w:r>
      <w:bookmarkEnd w:id="1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2.25pt;height:216.75pt;mso-width-percent:0;mso-height-percent:0;mso-width-percent:0;mso-height-percent:0" o:ole="">
            <v:imagedata r:id="rId13" o:title=""/>
          </v:shape>
          <o:OLEObject Type="Embed" ProgID="Visio.Drawing.11" ShapeID="_x0000_i1026" DrawAspect="Content" ObjectID="_1716896465"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lastRenderedPageBreak/>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 w:name="_Toc7078277"/>
      <w:r w:rsidRPr="00A374F2">
        <w:t>Vecná oprávnenosť výdavku</w:t>
      </w:r>
      <w:bookmarkEnd w:id="15"/>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lastRenderedPageBreak/>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 w:name="_Časová_oprávnenosť_výdavku"/>
      <w:bookmarkStart w:id="17" w:name="_Toc7078278"/>
      <w:bookmarkEnd w:id="16"/>
      <w:r w:rsidRPr="00A374F2">
        <w:t>Časová oprávnenosť výdavku</w:t>
      </w:r>
      <w:bookmarkEnd w:id="17"/>
      <w:r w:rsidRPr="00A374F2">
        <w:t xml:space="preserve"> </w:t>
      </w:r>
    </w:p>
    <w:p w14:paraId="6F0AA3C5" w14:textId="10D51036"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lastRenderedPageBreak/>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8" w:name="_Toc7078279"/>
      <w:r w:rsidRPr="00A374F2">
        <w:t>Územná oprávnenosť výdavku</w:t>
      </w:r>
      <w:bookmarkEnd w:id="18"/>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9" w:name="_Toc7078280"/>
      <w:r w:rsidRPr="00A374F2">
        <w:t>Neoprávnené výdavky</w:t>
      </w:r>
      <w:bookmarkEnd w:id="19"/>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lastRenderedPageBreak/>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20" w:name="_Toc7078281"/>
      <w:r w:rsidRPr="00A374F2">
        <w:t>Projekty generujúce čisté príjmy</w:t>
      </w:r>
      <w:bookmarkEnd w:id="20"/>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21" w:name="_Toc466636461"/>
      <w:bookmarkStart w:id="22" w:name="_Toc534784223"/>
      <w:bookmarkStart w:id="23" w:name="_Toc7078282"/>
      <w:r w:rsidRPr="0094777E">
        <w:rPr>
          <w:rFonts w:ascii="Calibri" w:hAnsi="Calibri"/>
          <w:sz w:val="24"/>
          <w:szCs w:val="22"/>
          <w:lang w:eastAsia="en-US"/>
        </w:rPr>
        <w:t>Typy čistých príjmov</w:t>
      </w:r>
      <w:bookmarkEnd w:id="21"/>
      <w:bookmarkEnd w:id="22"/>
      <w:bookmarkEnd w:id="23"/>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24" w:name="_Toc534784224"/>
      <w:bookmarkStart w:id="25" w:name="_Toc7078283"/>
      <w:r w:rsidRPr="00797539">
        <w:rPr>
          <w:rFonts w:ascii="Calibri" w:hAnsi="Calibri"/>
          <w:color w:val="auto"/>
          <w:sz w:val="20"/>
          <w:szCs w:val="20"/>
          <w:u w:val="single"/>
          <w:lang w:val="sk-SK" w:eastAsia="en-US"/>
        </w:rPr>
        <w:t>Príjmy realizované v rámci projektu je možné rozdeliť na:</w:t>
      </w:r>
      <w:bookmarkEnd w:id="24"/>
      <w:bookmarkEnd w:id="25"/>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lastRenderedPageBreak/>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856612" w:rsidP="00415B1C">
      <w:pPr>
        <w:keepNext/>
        <w:keepLines/>
        <w:spacing w:before="120" w:after="120" w:line="288" w:lineRule="auto"/>
        <w:jc w:val="both"/>
        <w:rPr>
          <w:sz w:val="20"/>
          <w:szCs w:val="20"/>
        </w:rPr>
      </w:pPr>
      <w:r>
        <w:rPr>
          <w:noProof/>
          <w:sz w:val="16"/>
          <w:lang w:eastAsia="sk-SK"/>
        </w:rPr>
        <w:pict w14:anchorId="0463F3B6">
          <v:shape id="Picture 24" o:spid="_x0000_i1027" type="#_x0000_t75" alt="" style="width:402pt;height:176.25pt;visibility:visible;mso-wrap-style:square;mso-width-percent:0;mso-height-percent:0;mso-width-percent:0;mso-height-percent:0">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lastRenderedPageBreak/>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856612"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F85BAA3">
          <v:shape id="Picture 7" o:spid="_x0000_i1028" type="#_x0000_t75" alt="" style="width:402pt;height:138pt;visibility:visible;mso-wrap-style:square;mso-width-percent:0;mso-height-percent:0;mso-width-percent:0;mso-height-percent:0">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26" w:name="_Toc466636462"/>
      <w:bookmarkStart w:id="27" w:name="_Toc534784225"/>
      <w:bookmarkStart w:id="28" w:name="_Toc7078284"/>
      <w:r w:rsidRPr="0094777E">
        <w:rPr>
          <w:rFonts w:ascii="Calibri" w:hAnsi="Calibri"/>
          <w:sz w:val="24"/>
          <w:szCs w:val="22"/>
          <w:lang w:eastAsia="en-US"/>
        </w:rPr>
        <w:t>Stanovenie výšky čistých príjmov (ex-ante)</w:t>
      </w:r>
      <w:bookmarkEnd w:id="26"/>
      <w:bookmarkEnd w:id="27"/>
      <w:bookmarkEnd w:id="28"/>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lastRenderedPageBreak/>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29" w:name="_Toc469685696"/>
      <w:r w:rsidRPr="00FA4143">
        <w:rPr>
          <w:color w:val="4F81BD"/>
          <w:sz w:val="24"/>
          <w:lang w:val="x-none"/>
        </w:rPr>
        <w:t>Životný cyklus príjmov v rámci projektov generujúcich príjem</w:t>
      </w:r>
      <w:bookmarkEnd w:id="29"/>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856612" w:rsidP="00415B1C">
      <w:pPr>
        <w:keepNext/>
        <w:keepLines/>
        <w:spacing w:before="120" w:after="0" w:line="240" w:lineRule="auto"/>
        <w:jc w:val="both"/>
        <w:rPr>
          <w:sz w:val="20"/>
          <w:szCs w:val="20"/>
        </w:rPr>
      </w:pPr>
      <w:r>
        <w:rPr>
          <w:noProof/>
          <w:sz w:val="20"/>
          <w:szCs w:val="20"/>
        </w:rPr>
        <w:pict w14:anchorId="79AE9D84">
          <v:shape id="_x0000_i1029" type="#_x0000_t75" alt="" style="width:453.75pt;height:169.5pt;visibility:visible;mso-wrap-style:square;mso-width-percent:0;mso-height-percent:0;mso-width-percent:0;mso-height-percent:0">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30" w:name="_Toc7078285"/>
      <w:r>
        <w:rPr>
          <w:lang w:val="sk-SK"/>
        </w:rPr>
        <w:t>Infraštruktúra</w:t>
      </w:r>
      <w:bookmarkEnd w:id="30"/>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31" w:name="_Toc7078286"/>
      <w:r w:rsidRPr="00A374F2">
        <w:lastRenderedPageBreak/>
        <w:t>Vyvolané investície</w:t>
      </w:r>
      <w:bookmarkEnd w:id="31"/>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32" w:name="_Nepriame_výdavky"/>
      <w:bookmarkStart w:id="33" w:name="_Toc7078287"/>
      <w:bookmarkEnd w:id="32"/>
      <w:r w:rsidRPr="00A374F2">
        <w:t>Nepriame výdavky</w:t>
      </w:r>
      <w:bookmarkEnd w:id="33"/>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lastRenderedPageBreak/>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lastRenderedPageBreak/>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34" w:name="_Toc7078288"/>
      <w:r>
        <w:rPr>
          <w:lang w:val="sk-SK"/>
        </w:rPr>
        <w:t>Zjednodušené vykazovanie výdavkov (ZVV)</w:t>
      </w:r>
      <w:bookmarkEnd w:id="34"/>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21BA7229" w:rsidR="005F1508" w:rsidRPr="00DD1A11" w:rsidRDefault="005F1508" w:rsidP="00DD1A11">
      <w:pPr>
        <w:keepNext/>
        <w:keepLines/>
        <w:spacing w:before="120" w:after="0" w:line="240" w:lineRule="auto"/>
        <w:ind w:left="720"/>
        <w:jc w:val="both"/>
        <w:rPr>
          <w:sz w:val="20"/>
          <w:szCs w:val="20"/>
        </w:rPr>
      </w:pPr>
      <w:r w:rsidRPr="00DD1A11">
        <w:rPr>
          <w:sz w:val="20"/>
          <w:szCs w:val="20"/>
        </w:rPr>
        <w:t xml:space="preserve">c) </w:t>
      </w:r>
      <w:r w:rsidR="00DD1A11" w:rsidRPr="00DD1A11">
        <w:rPr>
          <w:sz w:val="20"/>
          <w:szCs w:val="20"/>
          <w:lang w:val="x-none"/>
        </w:rPr>
        <w:t>paušálne financovanie stanovené uplatnením percentuálneho podielu na jednu alebo viaceré určené kategórie nákladov (ďalej aj „paušálna sadzba „ alebo „PS“);</w:t>
      </w:r>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35" w:name="_Toc441248517"/>
      <w:bookmarkStart w:id="36" w:name="_Toc441426303"/>
      <w:bookmarkStart w:id="37" w:name="_Toc441426844"/>
      <w:bookmarkStart w:id="38" w:name="_Toc441427668"/>
      <w:bookmarkStart w:id="39" w:name="_Toc441431292"/>
      <w:bookmarkStart w:id="40" w:name="_Toc441488683"/>
      <w:bookmarkStart w:id="41" w:name="_Toc441248518"/>
      <w:bookmarkStart w:id="42" w:name="_Toc441426304"/>
      <w:bookmarkStart w:id="43" w:name="_Toc441426845"/>
      <w:bookmarkStart w:id="44" w:name="_Toc441427669"/>
      <w:bookmarkStart w:id="45" w:name="_Toc441431293"/>
      <w:bookmarkStart w:id="46" w:name="_Toc441488684"/>
      <w:bookmarkEnd w:id="35"/>
      <w:bookmarkEnd w:id="36"/>
      <w:bookmarkEnd w:id="37"/>
      <w:bookmarkEnd w:id="38"/>
      <w:bookmarkEnd w:id="39"/>
      <w:bookmarkEnd w:id="40"/>
      <w:bookmarkEnd w:id="41"/>
      <w:bookmarkEnd w:id="42"/>
      <w:bookmarkEnd w:id="43"/>
      <w:bookmarkEnd w:id="44"/>
      <w:bookmarkEnd w:id="45"/>
      <w:bookmarkEnd w:id="4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47" w:name="_Toc7078289"/>
      <w:r w:rsidRPr="00AD7012">
        <w:rPr>
          <w:lang w:val="sk-SK"/>
        </w:rPr>
        <w:lastRenderedPageBreak/>
        <w:t>Podmienky oprávnenosti DPH projektov OPII</w:t>
      </w:r>
      <w:bookmarkEnd w:id="47"/>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lastRenderedPageBreak/>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w:t>
      </w:r>
      <w:r w:rsidRPr="00AD7012">
        <w:rPr>
          <w:sz w:val="20"/>
          <w:szCs w:val="20"/>
        </w:rPr>
        <w:lastRenderedPageBreak/>
        <w:t>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4C6301DE" w:rsidR="00AD7012"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0D4B896D" w14:textId="6C3852E6" w:rsidR="00230C74" w:rsidRDefault="00230C74" w:rsidP="00AD7012">
      <w:pPr>
        <w:jc w:val="both"/>
        <w:rPr>
          <w:b/>
          <w:sz w:val="20"/>
          <w:szCs w:val="20"/>
        </w:rPr>
      </w:pPr>
    </w:p>
    <w:p w14:paraId="54E40176" w14:textId="40B32F62" w:rsidR="00C34B75" w:rsidRDefault="00230C74" w:rsidP="00230C74">
      <w:pPr>
        <w:pStyle w:val="Nadpis2"/>
        <w:keepLines/>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AD7012">
      <w:pPr>
        <w:jc w:val="both"/>
        <w:rPr>
          <w:rFonts w:ascii="Arial Narrow" w:hAnsi="Arial Narrow"/>
          <w:color w:val="4F81BD"/>
          <w:sz w:val="28"/>
          <w:szCs w:val="23"/>
          <w:lang w:eastAsia="x-none"/>
        </w:rPr>
      </w:pPr>
    </w:p>
    <w:p w14:paraId="23FB49C7" w14:textId="15315179" w:rsidR="008179DE" w:rsidRDefault="00343EFD" w:rsidP="008179DE">
      <w:pPr>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3"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802EBC">
      <w:pPr>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81700">
      <w:pPr>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81700">
      <w:pPr>
        <w:numPr>
          <w:ilvl w:val="0"/>
          <w:numId w:val="103"/>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C34B75">
      <w:pPr>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81700">
      <w:pPr>
        <w:numPr>
          <w:ilvl w:val="0"/>
          <w:numId w:val="103"/>
        </w:numPr>
        <w:jc w:val="both"/>
        <w:rPr>
          <w:b/>
          <w:sz w:val="20"/>
          <w:szCs w:val="20"/>
        </w:rPr>
      </w:pPr>
      <w:r w:rsidRPr="000E676B">
        <w:rPr>
          <w:sz w:val="20"/>
          <w:szCs w:val="20"/>
        </w:rPr>
        <w:lastRenderedPageBreak/>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C34B75">
      <w:pPr>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C34B75">
      <w:pPr>
        <w:jc w:val="both"/>
        <w:rPr>
          <w:bCs/>
          <w:sz w:val="20"/>
          <w:szCs w:val="20"/>
        </w:rPr>
      </w:pPr>
    </w:p>
    <w:p w14:paraId="637FB7C8" w14:textId="1ED5BD0B"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bookmarkStart w:id="48" w:name="_Toc7078290"/>
      <w:r w:rsidRPr="00A45EB1">
        <w:rPr>
          <w:b/>
          <w:color w:val="FFFFFF"/>
          <w:szCs w:val="32"/>
        </w:rPr>
        <w:lastRenderedPageBreak/>
        <w:t>Zoznam oprávnených výdavkov pre prioritné osi 1 až 6</w:t>
      </w:r>
      <w:r>
        <w:rPr>
          <w:b/>
          <w:color w:val="FFFFFF"/>
          <w:szCs w:val="32"/>
        </w:rPr>
        <w:t xml:space="preserve"> a 8</w:t>
      </w:r>
      <w:bookmarkEnd w:id="48"/>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49" w:name="_Toc7078291"/>
      <w:r w:rsidRPr="00A374F2">
        <w:t>Číselník výdavkov a označovanie výdavkov</w:t>
      </w:r>
      <w:bookmarkEnd w:id="49"/>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856612" w:rsidP="00415B1C">
      <w:pPr>
        <w:keepNext/>
        <w:keepLines/>
        <w:spacing w:before="120" w:after="0" w:line="240" w:lineRule="auto"/>
        <w:rPr>
          <w:noProof/>
        </w:rPr>
      </w:pPr>
      <w:r>
        <w:rPr>
          <w:noProof/>
        </w:rPr>
        <w:pict w14:anchorId="7014BF38">
          <v:shape id="_x0000_i1030" type="#_x0000_t75" alt="" style="width:447pt;height:72.75pt;visibility:visible;mso-width-percent:0;mso-height-percent:0;mso-width-percent:0;mso-height-percent:0">
            <v:imagedata r:id="rId24"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50" w:name="_Toc7078292"/>
      <w:r w:rsidRPr="00A374F2">
        <w:t>Trieda 01 – Dlhodobý nehmotný majetok</w:t>
      </w:r>
      <w:bookmarkEnd w:id="50"/>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51" w:name="_Toc7078293"/>
      <w:r w:rsidRPr="00A374F2">
        <w:t>Trieda 02 – Dlhodobý hmotný majetok</w:t>
      </w:r>
      <w:bookmarkEnd w:id="51"/>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lastRenderedPageBreak/>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52" w:name="_Toc7078294"/>
      <w:r w:rsidRPr="00A374F2">
        <w:t>Trieda 11 - Zásoby</w:t>
      </w:r>
      <w:bookmarkEnd w:id="5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53" w:name="_Toc441431299"/>
      <w:bookmarkStart w:id="54" w:name="_Toc441488690"/>
      <w:bookmarkStart w:id="55" w:name="_Toc441431300"/>
      <w:bookmarkStart w:id="56" w:name="_Toc441488691"/>
      <w:bookmarkStart w:id="57" w:name="_Toc7078295"/>
      <w:bookmarkEnd w:id="53"/>
      <w:bookmarkEnd w:id="54"/>
      <w:bookmarkEnd w:id="55"/>
      <w:bookmarkEnd w:id="56"/>
      <w:r w:rsidRPr="00A374F2">
        <w:t>Trieda 50 – Spotreba</w:t>
      </w:r>
      <w:bookmarkEnd w:id="5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58" w:name="_Toc7078296"/>
      <w:r w:rsidRPr="00A374F2">
        <w:t>Trieda 51 - Služby</w:t>
      </w:r>
      <w:bookmarkEnd w:id="5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8F6F82">
            <w:pPr>
              <w:keepNext/>
              <w:keepLines/>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8F6F82">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8F6F82">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8F6F82">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8F6F82">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8F6F82">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8F6F82">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59" w:name="_Toc7078297"/>
      <w:r w:rsidRPr="00A374F2">
        <w:t>Trieda 52 – Osobné výdavky</w:t>
      </w:r>
      <w:bookmarkEnd w:id="5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60" w:name="_Toc7078298"/>
      <w:r>
        <w:rPr>
          <w:lang w:val="sk-SK"/>
        </w:rPr>
        <w:t>Trieda 54 – Ostatné výdavky</w:t>
      </w:r>
      <w:bookmarkEnd w:id="6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61" w:name="_Toc7078299"/>
      <w:r w:rsidRPr="00A374F2">
        <w:t xml:space="preserve">Trieda </w:t>
      </w:r>
      <w:r w:rsidR="00262FEC" w:rsidRPr="00A374F2">
        <w:t>56 - Finančné výdavky a poplatky</w:t>
      </w:r>
      <w:bookmarkEnd w:id="6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62" w:name="_Toc7078300"/>
      <w:r w:rsidRPr="00A374F2">
        <w:t>Trieda 90 –</w:t>
      </w:r>
      <w:r w:rsidR="007B1DDC">
        <w:t xml:space="preserve"> Zjednodušené vykazovanie výdavkov a r</w:t>
      </w:r>
      <w:r w:rsidR="00A02E46" w:rsidRPr="00A374F2">
        <w:t>ezerva</w:t>
      </w:r>
      <w:bookmarkEnd w:id="6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63" w:name="_Toc441248529"/>
      <w:bookmarkStart w:id="64" w:name="_Toc441426315"/>
      <w:bookmarkStart w:id="65" w:name="_Toc441426856"/>
      <w:bookmarkStart w:id="66" w:name="_Toc441427680"/>
      <w:bookmarkStart w:id="67" w:name="_Toc441431306"/>
      <w:bookmarkStart w:id="68" w:name="_Toc441488697"/>
      <w:bookmarkStart w:id="69" w:name="_Toc441248530"/>
      <w:bookmarkStart w:id="70" w:name="_Toc441426316"/>
      <w:bookmarkStart w:id="71" w:name="_Toc441426857"/>
      <w:bookmarkStart w:id="72" w:name="_Toc441427681"/>
      <w:bookmarkStart w:id="73" w:name="_Toc441431307"/>
      <w:bookmarkStart w:id="74" w:name="_Toc441488698"/>
      <w:bookmarkStart w:id="75" w:name="_Toc441248531"/>
      <w:bookmarkStart w:id="76" w:name="_Toc441426317"/>
      <w:bookmarkStart w:id="77" w:name="_Toc441426858"/>
      <w:bookmarkStart w:id="78" w:name="_Toc441427682"/>
      <w:bookmarkStart w:id="79" w:name="_Toc441431308"/>
      <w:bookmarkStart w:id="80" w:name="_Toc441488699"/>
      <w:bookmarkStart w:id="81" w:name="_Toc441248532"/>
      <w:bookmarkStart w:id="82" w:name="_Toc441426318"/>
      <w:bookmarkStart w:id="83" w:name="_Toc441426859"/>
      <w:bookmarkStart w:id="84" w:name="_Toc441427683"/>
      <w:bookmarkStart w:id="85" w:name="_Toc441431309"/>
      <w:bookmarkStart w:id="86" w:name="_Toc441488700"/>
      <w:bookmarkStart w:id="87" w:name="_Toc441248533"/>
      <w:bookmarkStart w:id="88" w:name="_Toc441426319"/>
      <w:bookmarkStart w:id="89" w:name="_Toc441426860"/>
      <w:bookmarkStart w:id="90" w:name="_Toc441427684"/>
      <w:bookmarkStart w:id="91" w:name="_Toc441431310"/>
      <w:bookmarkStart w:id="92" w:name="_Toc441488701"/>
      <w:bookmarkStart w:id="93" w:name="_Toc707830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374F2">
        <w:rPr>
          <w:b/>
          <w:color w:val="FFFFFF"/>
          <w:szCs w:val="32"/>
        </w:rPr>
        <w:lastRenderedPageBreak/>
        <w:t>Pravidlá oprávnenosti pre najčastejšie sa vyskytujúce skupiny výdavkov</w:t>
      </w:r>
      <w:bookmarkEnd w:id="9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5"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lastRenderedPageBreak/>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415B1C">
      <w:pPr>
        <w:keepNext/>
        <w:keepLines/>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415B1C">
      <w:pPr>
        <w:keepNext/>
        <w:keepLines/>
        <w:spacing w:before="120" w:after="0" w:line="240" w:lineRule="auto"/>
        <w:jc w:val="both"/>
        <w:rPr>
          <w:rFonts w:cs="Calibri"/>
          <w:sz w:val="20"/>
          <w:szCs w:val="20"/>
        </w:rPr>
      </w:pP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94" w:name="_Toc7078302"/>
      <w:r w:rsidRPr="00A374F2">
        <w:t>Nehnuteľnosti</w:t>
      </w:r>
      <w:bookmarkEnd w:id="94"/>
    </w:p>
    <w:p w14:paraId="49B2F9AA" w14:textId="77777777" w:rsidR="00304B60" w:rsidRPr="00A374F2" w:rsidRDefault="00304B60" w:rsidP="00415B1C">
      <w:pPr>
        <w:pStyle w:val="Nadpis3"/>
        <w:keepLines/>
      </w:pPr>
      <w:bookmarkStart w:id="95" w:name="_Nákup_pozemkov_1"/>
      <w:bookmarkStart w:id="96" w:name="_Toc534784243"/>
      <w:bookmarkStart w:id="97" w:name="_Toc7078303"/>
      <w:bookmarkEnd w:id="95"/>
      <w:r w:rsidRPr="00A374F2">
        <w:t>Nákup pozemkov</w:t>
      </w:r>
      <w:r w:rsidR="001D7E17">
        <w:rPr>
          <w:lang w:val="sk-SK"/>
        </w:rPr>
        <w:t>, vecné bremená a nájom pozemkov</w:t>
      </w:r>
      <w:bookmarkEnd w:id="96"/>
      <w:bookmarkEnd w:id="9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lastRenderedPageBreak/>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lastRenderedPageBreak/>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C3543D">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98" w:name="_Nákup_stavieb_a"/>
      <w:bookmarkStart w:id="99" w:name="_Toc442284321"/>
      <w:bookmarkStart w:id="100" w:name="_Toc442284426"/>
      <w:bookmarkStart w:id="101" w:name="_Toc442289768"/>
      <w:bookmarkStart w:id="102" w:name="_Nákup_stavieb"/>
      <w:bookmarkStart w:id="103" w:name="_Toc534784244"/>
      <w:bookmarkStart w:id="104" w:name="_Toc7078304"/>
      <w:bookmarkEnd w:id="98"/>
      <w:bookmarkEnd w:id="99"/>
      <w:bookmarkEnd w:id="100"/>
      <w:bookmarkEnd w:id="101"/>
      <w:bookmarkEnd w:id="102"/>
      <w:r w:rsidRPr="00A374F2">
        <w:t>Nákup stavieb</w:t>
      </w:r>
      <w:bookmarkEnd w:id="103"/>
      <w:bookmarkEnd w:id="10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lastRenderedPageBreak/>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05" w:name="_Toc441426865"/>
      <w:bookmarkStart w:id="106" w:name="_Toc441427689"/>
      <w:bookmarkStart w:id="107" w:name="_Toc441431315"/>
      <w:bookmarkStart w:id="108" w:name="_Toc441488706"/>
      <w:bookmarkStart w:id="109" w:name="_Toc441426866"/>
      <w:bookmarkStart w:id="110" w:name="_Toc441427690"/>
      <w:bookmarkStart w:id="111" w:name="_Toc441431316"/>
      <w:bookmarkStart w:id="112" w:name="_Toc441488707"/>
      <w:bookmarkStart w:id="113" w:name="_Obstaranie_stavebných_prác"/>
      <w:bookmarkStart w:id="114" w:name="_Toc7078305"/>
      <w:bookmarkEnd w:id="105"/>
      <w:bookmarkEnd w:id="106"/>
      <w:bookmarkEnd w:id="107"/>
      <w:bookmarkEnd w:id="108"/>
      <w:bookmarkEnd w:id="109"/>
      <w:bookmarkEnd w:id="110"/>
      <w:bookmarkEnd w:id="111"/>
      <w:bookmarkEnd w:id="112"/>
      <w:bookmarkEnd w:id="113"/>
      <w:r w:rsidRPr="00A374F2">
        <w:t>Obstaranie stavebných prác</w:t>
      </w:r>
      <w:bookmarkEnd w:id="11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15" w:name="_Stavebný_dozor_2"/>
      <w:bookmarkStart w:id="116" w:name="_Toc7078306"/>
      <w:bookmarkEnd w:id="115"/>
      <w:r w:rsidRPr="00A374F2">
        <w:lastRenderedPageBreak/>
        <w:t>Stavebný dozor</w:t>
      </w:r>
      <w:bookmarkEnd w:id="11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17" w:name="_Toc7078307"/>
      <w:r w:rsidRPr="00A374F2">
        <w:t>Odborný autorský dohľad</w:t>
      </w:r>
      <w:bookmarkEnd w:id="11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18" w:name="_Prípravná_a_projektová_1"/>
      <w:bookmarkStart w:id="119" w:name="_Toc7078308"/>
      <w:bookmarkEnd w:id="118"/>
      <w:r w:rsidRPr="00A374F2">
        <w:t>Prípravná a projektová dokumentácia</w:t>
      </w:r>
      <w:bookmarkEnd w:id="11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20" w:name="_Nákup_hmotného_a_1"/>
      <w:bookmarkStart w:id="121" w:name="_Toc7078309"/>
      <w:bookmarkEnd w:id="120"/>
      <w:r w:rsidRPr="00A374F2">
        <w:t>Nákup hmotného a nehmotného majetku (okrem nehnuteľností)</w:t>
      </w:r>
      <w:bookmarkEnd w:id="12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lastRenderedPageBreak/>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22" w:name="_Toc441248540"/>
      <w:bookmarkStart w:id="123" w:name="_Toc441426326"/>
      <w:bookmarkStart w:id="124" w:name="_Toc441426869"/>
      <w:bookmarkStart w:id="125" w:name="_Toc441427693"/>
      <w:bookmarkStart w:id="126" w:name="_Toc441431319"/>
      <w:bookmarkStart w:id="127" w:name="_Toc441488710"/>
      <w:bookmarkStart w:id="128" w:name="_Nákup_použitého_zariadenia_1"/>
      <w:bookmarkStart w:id="129" w:name="_Toc7078310"/>
      <w:bookmarkEnd w:id="122"/>
      <w:bookmarkEnd w:id="123"/>
      <w:bookmarkEnd w:id="124"/>
      <w:bookmarkEnd w:id="125"/>
      <w:bookmarkEnd w:id="126"/>
      <w:bookmarkEnd w:id="127"/>
      <w:bookmarkEnd w:id="128"/>
      <w:r w:rsidRPr="00A374F2">
        <w:t>Nákup použitého zariadenia</w:t>
      </w:r>
      <w:bookmarkEnd w:id="12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lastRenderedPageBreak/>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30" w:name="_Finančný_prenájom_a_1"/>
      <w:bookmarkStart w:id="131" w:name="_Toc7078311"/>
      <w:bookmarkEnd w:id="130"/>
      <w:r w:rsidRPr="00D96C63">
        <w:t>Finančný prenájom a operatívny nájom</w:t>
      </w:r>
      <w:bookmarkEnd w:id="13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32" w:name="_Toc441248543"/>
      <w:bookmarkStart w:id="133" w:name="_Toc441426329"/>
      <w:bookmarkStart w:id="134" w:name="_Toc441426872"/>
      <w:bookmarkStart w:id="135" w:name="_Toc441427696"/>
      <w:bookmarkStart w:id="136" w:name="_Toc441431322"/>
      <w:bookmarkStart w:id="137" w:name="_Toc441488713"/>
      <w:bookmarkStart w:id="138" w:name="_Odpisy,_režijné_výdavky"/>
      <w:bookmarkStart w:id="139" w:name="_Toc441248544"/>
      <w:bookmarkStart w:id="140" w:name="_Toc441426330"/>
      <w:bookmarkStart w:id="141" w:name="_Toc441426873"/>
      <w:bookmarkStart w:id="142" w:name="_Toc441427697"/>
      <w:bookmarkStart w:id="143" w:name="_Toc441431323"/>
      <w:bookmarkStart w:id="144" w:name="_Toc441488714"/>
      <w:bookmarkStart w:id="145" w:name="_Toc441248550"/>
      <w:bookmarkStart w:id="146" w:name="_Toc441426336"/>
      <w:bookmarkStart w:id="147" w:name="_Toc441426879"/>
      <w:bookmarkStart w:id="148" w:name="_Toc441427703"/>
      <w:bookmarkStart w:id="149" w:name="_Toc441431329"/>
      <w:bookmarkStart w:id="150" w:name="_Toc441488720"/>
      <w:bookmarkStart w:id="151" w:name="_Toc441248565"/>
      <w:bookmarkStart w:id="152" w:name="_Toc441426351"/>
      <w:bookmarkStart w:id="153" w:name="_Toc441426894"/>
      <w:bookmarkStart w:id="154" w:name="_Toc441427718"/>
      <w:bookmarkStart w:id="155" w:name="_Toc441431344"/>
      <w:bookmarkStart w:id="156" w:name="_Toc441488735"/>
      <w:bookmarkStart w:id="157" w:name="_Toc441248594"/>
      <w:bookmarkStart w:id="158" w:name="_Toc441426380"/>
      <w:bookmarkStart w:id="159" w:name="_Toc441426923"/>
      <w:bookmarkStart w:id="160" w:name="_Toc441427747"/>
      <w:bookmarkStart w:id="161" w:name="_Toc441431373"/>
      <w:bookmarkStart w:id="162" w:name="_Toc441488764"/>
      <w:bookmarkStart w:id="163" w:name="_Toc441248620"/>
      <w:bookmarkStart w:id="164" w:name="_Toc441426406"/>
      <w:bookmarkStart w:id="165" w:name="_Toc441426949"/>
      <w:bookmarkStart w:id="166" w:name="_Toc441427773"/>
      <w:bookmarkStart w:id="167" w:name="_Toc441431399"/>
      <w:bookmarkStart w:id="168" w:name="_Toc441488790"/>
      <w:bookmarkStart w:id="169" w:name="_Toc441248623"/>
      <w:bookmarkStart w:id="170" w:name="_Toc441426409"/>
      <w:bookmarkStart w:id="171" w:name="_Toc441426952"/>
      <w:bookmarkStart w:id="172" w:name="_Toc441427776"/>
      <w:bookmarkStart w:id="173" w:name="_Toc441431402"/>
      <w:bookmarkStart w:id="174" w:name="_Toc441488793"/>
      <w:bookmarkStart w:id="175" w:name="_Toc441248624"/>
      <w:bookmarkStart w:id="176" w:name="_Toc441426410"/>
      <w:bookmarkStart w:id="177" w:name="_Toc441426953"/>
      <w:bookmarkStart w:id="178" w:name="_Toc441427777"/>
      <w:bookmarkStart w:id="179" w:name="_Toc441431403"/>
      <w:bookmarkStart w:id="180" w:name="_Toc441488794"/>
      <w:bookmarkStart w:id="181" w:name="_Toc441248625"/>
      <w:bookmarkStart w:id="182" w:name="_Toc441426411"/>
      <w:bookmarkStart w:id="183" w:name="_Toc441426954"/>
      <w:bookmarkStart w:id="184" w:name="_Toc441427778"/>
      <w:bookmarkStart w:id="185" w:name="_Toc441431404"/>
      <w:bookmarkStart w:id="186" w:name="_Toc441488795"/>
      <w:bookmarkStart w:id="187" w:name="_Osobné_výdavky_a"/>
      <w:bookmarkStart w:id="188" w:name="_Toc707831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374F2">
        <w:t>Osobné výdavky a cestovné náhrady</w:t>
      </w:r>
      <w:bookmarkEnd w:id="188"/>
    </w:p>
    <w:p w14:paraId="29DC94C2" w14:textId="77777777" w:rsidR="008F6D90" w:rsidRPr="00A374F2" w:rsidRDefault="008F6D90" w:rsidP="00415B1C">
      <w:pPr>
        <w:pStyle w:val="Nadpis3"/>
        <w:keepLines/>
      </w:pPr>
      <w:bookmarkStart w:id="189" w:name="_Osobné_výdavky"/>
      <w:bookmarkStart w:id="190" w:name="_Toc534784253"/>
      <w:bookmarkStart w:id="191" w:name="_Toc7078313"/>
      <w:bookmarkEnd w:id="189"/>
      <w:r w:rsidRPr="00A374F2">
        <w:t>O</w:t>
      </w:r>
      <w:r>
        <w:t>sobné výdavky</w:t>
      </w:r>
      <w:bookmarkEnd w:id="190"/>
      <w:bookmarkEnd w:id="19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 xml:space="preserve">OPIIje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lastRenderedPageBreak/>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lastRenderedPageBreak/>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w:t>
            </w:r>
            <w:r w:rsidRPr="00B904B3">
              <w:rPr>
                <w:rFonts w:eastAsia="Times New Roman"/>
                <w:color w:val="000000"/>
                <w:sz w:val="18"/>
                <w:szCs w:val="20"/>
                <w:lang w:eastAsia="sk-SK"/>
              </w:rPr>
              <w:lastRenderedPageBreak/>
              <w:t xml:space="preserve">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lastRenderedPageBreak/>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lastRenderedPageBreak/>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lastRenderedPageBreak/>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6CF88387" w:rsidR="00F03BDF" w:rsidRDefault="00F03BDF" w:rsidP="00415B1C">
      <w:pPr>
        <w:keepNext/>
        <w:keepLines/>
        <w:spacing w:before="120" w:after="0" w:line="240" w:lineRule="auto"/>
        <w:jc w:val="both"/>
        <w:rPr>
          <w:sz w:val="20"/>
          <w:szCs w:val="20"/>
        </w:rPr>
      </w:pPr>
      <w:r w:rsidRPr="00F03BDF">
        <w:rPr>
          <w:sz w:val="20"/>
          <w:szCs w:val="20"/>
        </w:rPr>
        <w:t xml:space="preserve">Pri výbere administratívnych kapacít </w:t>
      </w:r>
      <w:r w:rsidR="00C41A2C">
        <w:rPr>
          <w:sz w:val="20"/>
          <w:szCs w:val="20"/>
        </w:rPr>
        <w:t>a</w:t>
      </w:r>
      <w:r w:rsidRPr="00F03BDF">
        <w:rPr>
          <w:sz w:val="20"/>
          <w:szCs w:val="20"/>
        </w:rPr>
        <w:t xml:space="preserv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14DAB088"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uplatňujú</w:t>
      </w:r>
      <w:r w:rsidR="005D7E6C">
        <w:rPr>
          <w:sz w:val="20"/>
          <w:szCs w:val="20"/>
        </w:rPr>
        <w:t xml:space="preserve"> v rozsahu uvedenom v tejto príručke</w:t>
      </w:r>
      <w:r w:rsidRPr="001A3558">
        <w:rPr>
          <w:sz w:val="20"/>
          <w:szCs w:val="20"/>
        </w:rPr>
        <w:t>.</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07082FCE"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RO/SO/PJ</w:t>
      </w:r>
      <w:r w:rsidR="005D7E6C">
        <w:rPr>
          <w:sz w:val="20"/>
          <w:szCs w:val="20"/>
        </w:rPr>
        <w:t xml:space="preserve"> -</w:t>
      </w:r>
      <w:r w:rsidRPr="00315BE7">
        <w:rPr>
          <w:sz w:val="20"/>
          <w:szCs w:val="20"/>
        </w:rPr>
        <w:t xml:space="preserve"> t.j. zamestnanci priamo sa podieľajúci na implementácii OP</w:t>
      </w:r>
      <w:r>
        <w:rPr>
          <w:sz w:val="20"/>
          <w:szCs w:val="20"/>
        </w:rPr>
        <w:t>II</w:t>
      </w:r>
      <w:r w:rsidRPr="00315BE7">
        <w:rPr>
          <w:sz w:val="20"/>
          <w:szCs w:val="20"/>
        </w:rPr>
        <w:t xml:space="preserve">, </w:t>
      </w:r>
    </w:p>
    <w:p w14:paraId="41F1B1F6" w14:textId="601EB618" w:rsidR="0011479D" w:rsidRPr="00B8228C" w:rsidRDefault="00315BE7" w:rsidP="00B8228C">
      <w:pPr>
        <w:keepNext/>
        <w:keepLines/>
        <w:numPr>
          <w:ilvl w:val="1"/>
          <w:numId w:val="64"/>
        </w:numPr>
        <w:spacing w:before="120" w:after="0" w:line="240" w:lineRule="auto"/>
        <w:ind w:left="567" w:hanging="283"/>
        <w:jc w:val="both"/>
        <w:rPr>
          <w:sz w:val="20"/>
          <w:szCs w:val="20"/>
        </w:rPr>
      </w:pPr>
      <w:r w:rsidRPr="00B8228C">
        <w:rPr>
          <w:sz w:val="20"/>
          <w:szCs w:val="20"/>
        </w:rPr>
        <w:t xml:space="preserve">zamestnanci vykonávajúci podporné činnosti </w:t>
      </w:r>
      <w:r w:rsidR="0011479D" w:rsidRPr="00B8228C">
        <w:rPr>
          <w:sz w:val="20"/>
          <w:szCs w:val="20"/>
        </w:rPr>
        <w:t xml:space="preserve">– </w:t>
      </w:r>
      <w:r w:rsidR="00B8228C" w:rsidRPr="00B8228C">
        <w:rPr>
          <w:sz w:val="20"/>
          <w:szCs w:val="20"/>
        </w:rPr>
        <w:t>t.j. zamestnanci, ktorí priamo nevykonávajú  riadenie, implementáciu, kontrolu a audit EŠIF, ale ich pracovná náplň je nevyhnutná na zabezpečenie</w:t>
      </w:r>
      <w:r w:rsidR="00B8228C">
        <w:rPr>
          <w:sz w:val="20"/>
          <w:szCs w:val="20"/>
        </w:rPr>
        <w:t xml:space="preserve"> </w:t>
      </w:r>
      <w:r w:rsidR="00B8228C" w:rsidRPr="00B8228C">
        <w:rPr>
          <w:sz w:val="20"/>
          <w:szCs w:val="20"/>
        </w:rPr>
        <w:t>činností</w:t>
      </w:r>
      <w:r w:rsidR="00B8228C">
        <w:rPr>
          <w:sz w:val="20"/>
          <w:szCs w:val="20"/>
        </w:rPr>
        <w:t xml:space="preserve"> OPII</w:t>
      </w:r>
      <w:r w:rsidR="00B8228C" w:rsidRPr="00B8228C">
        <w:rPr>
          <w:sz w:val="20"/>
          <w:szCs w:val="20"/>
        </w:rPr>
        <w:t>.</w:t>
      </w:r>
    </w:p>
    <w:p w14:paraId="4AD67787" w14:textId="49DA4FA8"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00B8228C">
        <w:rPr>
          <w:sz w:val="20"/>
          <w:szCs w:val="20"/>
        </w:rPr>
        <w:t xml:space="preserve">najmä </w:t>
      </w:r>
      <w:r w:rsidRPr="00275038">
        <w:rPr>
          <w:b/>
          <w:sz w:val="20"/>
          <w:szCs w:val="20"/>
        </w:rPr>
        <w:t>pracovným výkazom</w:t>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57"/>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10DE87C8" w14:textId="572EBBBE" w:rsidR="00C95F62" w:rsidRDefault="00552F07" w:rsidP="00C95F62">
      <w:pPr>
        <w:keepNext/>
        <w:keepLines/>
        <w:spacing w:before="120" w:after="0" w:line="240" w:lineRule="auto"/>
        <w:jc w:val="both"/>
        <w:rPr>
          <w:b/>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58"/>
      </w:r>
      <w:r w:rsidRPr="00A374F2">
        <w:rPr>
          <w:sz w:val="20"/>
          <w:szCs w:val="20"/>
        </w:rPr>
        <w:t>.</w:t>
      </w:r>
      <w:r w:rsidR="00C95F62" w:rsidRPr="00C95F62">
        <w:rPr>
          <w:sz w:val="20"/>
          <w:szCs w:val="20"/>
        </w:rPr>
        <w:t>Pre osoby pracujúce na projekte čiastočne, t.j. nie v rámci celého odpracovaného času, je možnosť stanoviť pevný percentuálny podiel času odpracovaného v projekte v pracovnej zmluve (nie je potrebné zaznamenávať odpracovaný čas</w:t>
      </w:r>
      <w:r w:rsidR="00C95F62" w:rsidRPr="00C95F62">
        <w:rPr>
          <w:sz w:val="20"/>
          <w:szCs w:val="20"/>
          <w:vertAlign w:val="superscript"/>
        </w:rPr>
        <w:footnoteReference w:id="59"/>
      </w:r>
      <w:r w:rsidR="00C95F62" w:rsidRPr="00C95F62">
        <w:rPr>
          <w:sz w:val="20"/>
          <w:szCs w:val="20"/>
        </w:rPr>
        <w:t>).</w:t>
      </w:r>
    </w:p>
    <w:p w14:paraId="49583E3D" w14:textId="653C3863" w:rsidR="006D7D39" w:rsidRDefault="000E7499" w:rsidP="00415B1C">
      <w:pPr>
        <w:keepNext/>
        <w:keepLines/>
        <w:spacing w:before="120" w:after="0" w:line="240" w:lineRule="auto"/>
        <w:jc w:val="both"/>
        <w:rPr>
          <w:sz w:val="20"/>
          <w:szCs w:val="20"/>
        </w:rPr>
      </w:pPr>
      <w:r w:rsidRPr="00D96C63">
        <w:rPr>
          <w:b/>
          <w:sz w:val="20"/>
          <w:szCs w:val="20"/>
        </w:rPr>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w:t>
      </w:r>
      <w:r w:rsidRPr="00D96C63">
        <w:rPr>
          <w:sz w:val="20"/>
          <w:szCs w:val="20"/>
        </w:rPr>
        <w:lastRenderedPageBreak/>
        <w:t xml:space="preserve">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0"/>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1"/>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2"/>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3"/>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lastRenderedPageBreak/>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4"/>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5"/>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192" w:name="_Cestovné_náhrady"/>
      <w:bookmarkStart w:id="193" w:name="_Toc534784254"/>
      <w:bookmarkStart w:id="194" w:name="_Toc7078314"/>
      <w:bookmarkEnd w:id="192"/>
      <w:r w:rsidRPr="00D96C63">
        <w:rPr>
          <w:sz w:val="28"/>
          <w:szCs w:val="23"/>
        </w:rPr>
        <w:t>Cestovné náhrady</w:t>
      </w:r>
      <w:bookmarkEnd w:id="193"/>
      <w:bookmarkEnd w:id="194"/>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t>Pracovná cesta</w:t>
      </w:r>
      <w:r w:rsidRPr="00A374F2">
        <w:rPr>
          <w:sz w:val="20"/>
          <w:szCs w:val="20"/>
        </w:rPr>
        <w:t xml:space="preserve"> je čas od nástupu zamestnanca/osoby</w:t>
      </w:r>
      <w:r w:rsidRPr="00A374F2">
        <w:rPr>
          <w:sz w:val="20"/>
          <w:szCs w:val="20"/>
          <w:vertAlign w:val="superscript"/>
        </w:rPr>
        <w:footnoteReference w:id="66"/>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7"/>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68"/>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lastRenderedPageBreak/>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69"/>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6"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7"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0"/>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lastRenderedPageBreak/>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195" w:name="_Ostatné_výdavky_–_1"/>
      <w:bookmarkStart w:id="196" w:name="_Toc7078315"/>
      <w:bookmarkEnd w:id="195"/>
      <w:r w:rsidRPr="00A374F2">
        <w:t>Ostatné výdavky – Externé služby (outsourcing)</w:t>
      </w:r>
      <w:bookmarkEnd w:id="196"/>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1"/>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2"/>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3"/>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4"/>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lastRenderedPageBreak/>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podpora účastníkov</w:t>
      </w:r>
      <w:r w:rsidR="00950098" w:rsidRPr="00457FA1">
        <w:rPr>
          <w:rStyle w:val="Odkaznapoznmkupodiarou"/>
          <w:szCs w:val="20"/>
          <w:u w:val="single"/>
        </w:rPr>
        <w:footnoteReference w:id="75"/>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197" w:name="_Finančné_výdavky_a_1"/>
      <w:bookmarkStart w:id="198" w:name="_Toc7078316"/>
      <w:bookmarkEnd w:id="197"/>
      <w:r w:rsidRPr="00A374F2">
        <w:t>Finančné výdavky a poplatky</w:t>
      </w:r>
      <w:bookmarkEnd w:id="198"/>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6"/>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lastRenderedPageBreak/>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7"/>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78"/>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199" w:name="_Toc7078317"/>
      <w:r w:rsidRPr="00A374F2">
        <w:t>Daň z pridanej hodnoty a iné dane</w:t>
      </w:r>
      <w:bookmarkEnd w:id="199"/>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00" w:name="_Informovanie_a_komunikácia"/>
      <w:bookmarkStart w:id="201" w:name="_Toc7078318"/>
      <w:bookmarkEnd w:id="200"/>
      <w:r w:rsidRPr="00A374F2">
        <w:t>Informovanie a komunikácia</w:t>
      </w:r>
      <w:bookmarkEnd w:id="201"/>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8"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9"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02" w:name="_Stavebný_dozor"/>
      <w:bookmarkStart w:id="203" w:name="_Odborný_autorský_dohľad"/>
      <w:bookmarkStart w:id="204" w:name="_Dodatočné_výdavky_1"/>
      <w:bookmarkStart w:id="205" w:name="_Toc441838039"/>
      <w:bookmarkStart w:id="206" w:name="_Toc442284337"/>
      <w:bookmarkStart w:id="207" w:name="_Toc442284442"/>
      <w:bookmarkStart w:id="208" w:name="_Toc441838041"/>
      <w:bookmarkStart w:id="209" w:name="_Toc442284339"/>
      <w:bookmarkStart w:id="210" w:name="_Toc442284444"/>
      <w:bookmarkStart w:id="211" w:name="_Toc441838042"/>
      <w:bookmarkStart w:id="212" w:name="_Toc442284340"/>
      <w:bookmarkStart w:id="213" w:name="_Toc442284445"/>
      <w:bookmarkStart w:id="214" w:name="_Toc441838057"/>
      <w:bookmarkStart w:id="215" w:name="_Toc442284355"/>
      <w:bookmarkStart w:id="216" w:name="_Toc442284460"/>
      <w:bookmarkStart w:id="217" w:name="_Toc441838067"/>
      <w:bookmarkStart w:id="218" w:name="_Toc442284365"/>
      <w:bookmarkStart w:id="219" w:name="_Toc442284470"/>
      <w:bookmarkStart w:id="220" w:name="_Toc441838077"/>
      <w:bookmarkStart w:id="221" w:name="_Toc442284375"/>
      <w:bookmarkStart w:id="222" w:name="_Toc442284480"/>
      <w:bookmarkStart w:id="223" w:name="_Toc441838078"/>
      <w:bookmarkStart w:id="224" w:name="_Toc442284376"/>
      <w:bookmarkStart w:id="225" w:name="_Toc442284481"/>
      <w:bookmarkStart w:id="226" w:name="_Toc441838079"/>
      <w:bookmarkStart w:id="227" w:name="_Toc442284377"/>
      <w:bookmarkStart w:id="228" w:name="_Toc442284482"/>
      <w:bookmarkStart w:id="229" w:name="_Toc441838080"/>
      <w:bookmarkStart w:id="230" w:name="_Toc442284378"/>
      <w:bookmarkStart w:id="231" w:name="_Toc442284483"/>
      <w:bookmarkStart w:id="232" w:name="_Prípravná_a_projektová"/>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79"/>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lastRenderedPageBreak/>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0"/>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33" w:name="_Rezerva_na_nepredvídané"/>
      <w:bookmarkStart w:id="234" w:name="_Toc7078319"/>
      <w:bookmarkEnd w:id="233"/>
      <w:r w:rsidRPr="00333E62">
        <w:t>Rezerva</w:t>
      </w:r>
      <w:r w:rsidR="00000D65">
        <w:rPr>
          <w:lang w:val="sk-SK"/>
        </w:rPr>
        <w:t xml:space="preserve"> zo Zmluvy o poskytnutí NFP</w:t>
      </w:r>
      <w:r w:rsidRPr="00333E62">
        <w:t xml:space="preserve"> na nepredvídané výdavky</w:t>
      </w:r>
      <w:bookmarkEnd w:id="234"/>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lastRenderedPageBreak/>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1"/>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lastRenderedPageBreak/>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2"/>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3"/>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4"/>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lastRenderedPageBreak/>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35" w:name="_Toc444852145"/>
      <w:bookmarkStart w:id="236" w:name="_Toc444852209"/>
      <w:bookmarkStart w:id="237" w:name="_Toc7078320"/>
      <w:bookmarkEnd w:id="235"/>
      <w:bookmarkEnd w:id="236"/>
      <w:r>
        <w:rPr>
          <w:b/>
          <w:color w:val="FFFFFF"/>
          <w:szCs w:val="32"/>
          <w:lang w:val="sk-SK"/>
        </w:rPr>
        <w:lastRenderedPageBreak/>
        <w:t>P</w:t>
      </w:r>
      <w:r w:rsidR="00957DDF" w:rsidRPr="00A374F2">
        <w:rPr>
          <w:b/>
          <w:color w:val="FFFFFF"/>
          <w:szCs w:val="32"/>
        </w:rPr>
        <w:t>ravidlá dokladovania a účtovného spracovania dokladov</w:t>
      </w:r>
      <w:bookmarkEnd w:id="23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38" w:name="_Toc7078321"/>
      <w:r w:rsidRPr="00A374F2">
        <w:t>Všeobecné pravidlá dokladovania a spracovania dokladov</w:t>
      </w:r>
      <w:bookmarkEnd w:id="238"/>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5"/>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7C75D355" w14:textId="2269DB6B" w:rsidR="00F92419" w:rsidRPr="00F92419" w:rsidRDefault="00F92419" w:rsidP="00F92419">
      <w:pPr>
        <w:keepNext/>
        <w:keepLines/>
        <w:spacing w:before="120" w:after="0" w:line="240" w:lineRule="auto"/>
        <w:jc w:val="both"/>
        <w:rPr>
          <w:rFonts w:cs="Calibri"/>
          <w:b/>
          <w:bCs/>
          <w:sz w:val="20"/>
          <w:szCs w:val="20"/>
          <w:u w:val="single"/>
          <w:lang w:eastAsia="cs-CZ"/>
        </w:rPr>
      </w:pPr>
      <w:r>
        <w:rPr>
          <w:rFonts w:cs="Calibri"/>
          <w:bCs/>
          <w:sz w:val="20"/>
          <w:szCs w:val="20"/>
          <w:lang w:eastAsia="cs-CZ"/>
        </w:rPr>
        <w:t xml:space="preserve">Pri </w:t>
      </w:r>
      <w:r w:rsidRPr="00792357">
        <w:rPr>
          <w:rFonts w:cs="Calibri"/>
          <w:bCs/>
          <w:sz w:val="20"/>
          <w:szCs w:val="20"/>
          <w:lang w:eastAsia="cs-CZ"/>
        </w:rPr>
        <w:t>predkladan</w:t>
      </w:r>
      <w:r>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w:t>
      </w:r>
      <w:r>
        <w:rPr>
          <w:rFonts w:cs="Calibri"/>
          <w:b/>
          <w:bCs/>
          <w:sz w:val="20"/>
          <w:szCs w:val="20"/>
          <w:u w:val="single"/>
          <w:lang w:eastAsia="cs-CZ"/>
        </w:rPr>
        <w:t xml:space="preserve"> alebo</w:t>
      </w:r>
      <w:r w:rsidRPr="00E91FA3">
        <w:rPr>
          <w:rFonts w:cs="Calibri"/>
          <w:b/>
          <w:bCs/>
          <w:sz w:val="20"/>
          <w:szCs w:val="20"/>
          <w:u w:val="single"/>
          <w:lang w:eastAsia="cs-CZ"/>
        </w:rPr>
        <w:t xml:space="preserve"> ostatný ústredný orgán štátnej správy</w:t>
      </w:r>
      <w:r w:rsidRPr="00E91FA3">
        <w:rPr>
          <w:rFonts w:cs="Calibri"/>
          <w:b/>
          <w:bCs/>
          <w:sz w:val="20"/>
          <w:szCs w:val="20"/>
          <w:u w:val="single"/>
          <w:vertAlign w:val="superscript"/>
          <w:lang w:eastAsia="cs-CZ"/>
        </w:rPr>
        <w:footnoteReference w:id="86"/>
      </w:r>
      <w:r w:rsidRPr="00E91FA3">
        <w:rPr>
          <w:rFonts w:cs="Calibri"/>
          <w:b/>
          <w:bCs/>
          <w:sz w:val="20"/>
          <w:szCs w:val="20"/>
          <w:u w:val="single"/>
          <w:lang w:eastAsia="cs-CZ"/>
        </w:rPr>
        <w:t xml:space="preserve"> alebo organizácie v ich zriaďovateľskej pôsobnosti</w:t>
      </w:r>
      <w:r w:rsidRPr="00F92419">
        <w:rPr>
          <w:rFonts w:cs="Calibri"/>
          <w:bCs/>
          <w:sz w:val="20"/>
          <w:szCs w:val="20"/>
          <w:lang w:eastAsia="cs-CZ"/>
        </w:rPr>
        <w:t xml:space="preserve"> sa postupuje podľa metodických postupov uvedených v samostatnej</w:t>
      </w:r>
      <w:r w:rsidRPr="00F92419">
        <w:rPr>
          <w:rFonts w:cs="Calibri"/>
          <w:b/>
          <w:bCs/>
          <w:sz w:val="20"/>
          <w:szCs w:val="20"/>
          <w:u w:val="single"/>
          <w:lang w:eastAsia="cs-CZ"/>
        </w:rPr>
        <w:t xml:space="preserve"> prílohe č. 4 tejto príručky.</w:t>
      </w:r>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6AAC551D"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sa vedie spôsobom zaručujúcim trvalosť účtovných záznamov, ak účtovná jednotka je schopná zabezpečiť trvalosť po celú dobu spracovania a</w:t>
      </w:r>
      <w:r w:rsidR="0022068F">
        <w:rPr>
          <w:sz w:val="20"/>
          <w:szCs w:val="20"/>
        </w:rPr>
        <w:t> </w:t>
      </w:r>
      <w:r w:rsidRPr="00A374F2">
        <w:rPr>
          <w:sz w:val="20"/>
          <w:szCs w:val="20"/>
        </w:rPr>
        <w:t>úschovy</w:t>
      </w:r>
      <w:r w:rsidR="0022068F">
        <w:rPr>
          <w:sz w:val="20"/>
          <w:szCs w:val="20"/>
        </w:rPr>
        <w:t xml:space="preserve"> v súlade so zákonom o účtovníctve</w:t>
      </w:r>
      <w:r w:rsidRPr="00A374F2">
        <w:rPr>
          <w:sz w:val="20"/>
          <w:szCs w:val="20"/>
        </w:rPr>
        <w:t xml:space="preserve">.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7"/>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239" w:name="_Toc441426429"/>
      <w:bookmarkStart w:id="240" w:name="_Toc441426972"/>
      <w:bookmarkStart w:id="241" w:name="_Toc441427796"/>
      <w:bookmarkStart w:id="242" w:name="_Toc441431422"/>
      <w:bookmarkStart w:id="243" w:name="_Toc441488813"/>
      <w:bookmarkStart w:id="244" w:name="_Toc441426430"/>
      <w:bookmarkStart w:id="245" w:name="_Toc441426973"/>
      <w:bookmarkStart w:id="246" w:name="_Toc441427797"/>
      <w:bookmarkStart w:id="247" w:name="_Toc441431423"/>
      <w:bookmarkStart w:id="248" w:name="_Toc441488814"/>
      <w:bookmarkStart w:id="249" w:name="_Nákup_pozemkov"/>
      <w:bookmarkStart w:id="250" w:name="_Toc441426431"/>
      <w:bookmarkStart w:id="251" w:name="_Toc441426974"/>
      <w:bookmarkStart w:id="252" w:name="_Toc441427798"/>
      <w:bookmarkStart w:id="253" w:name="_Toc441431424"/>
      <w:bookmarkStart w:id="254" w:name="_Toc441488815"/>
      <w:bookmarkStart w:id="255" w:name="_Nákup_pozemkov_2"/>
      <w:bookmarkStart w:id="256" w:name="_Toc7078322"/>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374F2">
        <w:t>Nákup pozemkov</w:t>
      </w:r>
      <w:bookmarkEnd w:id="256"/>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88"/>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6D0DC3"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257" w:name="_Nákup_a_obstaranie"/>
      <w:bookmarkStart w:id="258" w:name="_Toc7078323"/>
      <w:bookmarkEnd w:id="257"/>
      <w:r w:rsidRPr="00A374F2">
        <w:t>Nákup</w:t>
      </w:r>
      <w:r w:rsidR="000614E0" w:rsidRPr="00A374F2">
        <w:t xml:space="preserve"> stavieb</w:t>
      </w:r>
      <w:bookmarkEnd w:id="258"/>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89"/>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259" w:name="_Obstaranie_stavebných_prác_1"/>
      <w:bookmarkStart w:id="260" w:name="_Toc7078324"/>
      <w:bookmarkEnd w:id="259"/>
      <w:r>
        <w:rPr>
          <w:lang w:val="sk-SK"/>
        </w:rPr>
        <w:t>O</w:t>
      </w:r>
      <w:r w:rsidRPr="00A374F2">
        <w:t>bstaranie stavebných prác</w:t>
      </w:r>
      <w:bookmarkEnd w:id="260"/>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0"/>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1"/>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lastRenderedPageBreak/>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261" w:name="_Stavebný_dozor_1"/>
      <w:bookmarkStart w:id="262" w:name="_Toc7078325"/>
      <w:bookmarkEnd w:id="261"/>
      <w:r w:rsidRPr="00A374F2">
        <w:t>Stavebný dozor</w:t>
      </w:r>
      <w:bookmarkEnd w:id="262"/>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lastRenderedPageBreak/>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263" w:name="_Nákup_použitého_zariadenia"/>
      <w:bookmarkStart w:id="264" w:name="_Toc7078326"/>
      <w:bookmarkEnd w:id="263"/>
      <w:r w:rsidRPr="00A374F2">
        <w:t>Nákup hmotného a nehmotného majetku (okrem nehnuteľností)</w:t>
      </w:r>
      <w:bookmarkEnd w:id="264"/>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2"/>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265" w:name="_Nákup_použitého_zariadenia_2"/>
      <w:bookmarkStart w:id="266" w:name="_Toc7078327"/>
      <w:bookmarkEnd w:id="265"/>
      <w:r w:rsidRPr="00A374F2">
        <w:t>Nákup použitého zariadenia</w:t>
      </w:r>
      <w:bookmarkEnd w:id="266"/>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3"/>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267" w:name="_Nákup_hmotného_a"/>
      <w:bookmarkStart w:id="268" w:name="_Finančný_prenájom_a"/>
      <w:bookmarkStart w:id="269" w:name="_Toc7078328"/>
      <w:bookmarkEnd w:id="267"/>
      <w:bookmarkEnd w:id="268"/>
      <w:r w:rsidRPr="00A374F2">
        <w:t>Finančný prenájom a operatívny nájom</w:t>
      </w:r>
      <w:bookmarkEnd w:id="269"/>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270" w:name="_Toc441248649"/>
      <w:bookmarkStart w:id="271" w:name="_Toc441426437"/>
      <w:bookmarkStart w:id="272" w:name="_Toc441426980"/>
      <w:bookmarkStart w:id="273" w:name="_Toc441427804"/>
      <w:bookmarkStart w:id="274" w:name="_Toc441431430"/>
      <w:bookmarkStart w:id="275" w:name="_Toc441488821"/>
      <w:bookmarkStart w:id="276" w:name="_Odpisy,_režijné_náklady"/>
      <w:bookmarkStart w:id="277" w:name="_Toc441248650"/>
      <w:bookmarkStart w:id="278" w:name="_Toc441426438"/>
      <w:bookmarkStart w:id="279" w:name="_Toc441426981"/>
      <w:bookmarkStart w:id="280" w:name="_Toc441427805"/>
      <w:bookmarkStart w:id="281" w:name="_Toc441431431"/>
      <w:bookmarkStart w:id="282" w:name="_Toc441488822"/>
      <w:bookmarkStart w:id="283" w:name="_Toc441248683"/>
      <w:bookmarkStart w:id="284" w:name="_Toc441426471"/>
      <w:bookmarkStart w:id="285" w:name="_Toc441427014"/>
      <w:bookmarkStart w:id="286" w:name="_Toc441427838"/>
      <w:bookmarkStart w:id="287" w:name="_Toc441431464"/>
      <w:bookmarkStart w:id="288" w:name="_Toc441488855"/>
      <w:bookmarkStart w:id="289" w:name="_Osobné_výdavky_a_1"/>
      <w:bookmarkStart w:id="290" w:name="_Toc70783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74F2">
        <w:t>Osobné výdavky a cestovné náhrady</w:t>
      </w:r>
      <w:bookmarkEnd w:id="290"/>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4"/>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5"/>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6"/>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7"/>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8"/>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lastRenderedPageBreak/>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99"/>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0"/>
      </w:r>
      <w:r w:rsidRPr="00084557">
        <w:rPr>
          <w:sz w:val="20"/>
          <w:szCs w:val="20"/>
        </w:rPr>
        <w:t>,</w:t>
      </w:r>
    </w:p>
    <w:p w14:paraId="1FE65B5F" w14:textId="10E4939C"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pracovný výkaz</w:t>
      </w:r>
      <w:r w:rsidR="0022068F">
        <w:rPr>
          <w:sz w:val="20"/>
          <w:szCs w:val="20"/>
          <w:vertAlign w:val="superscript"/>
        </w:rPr>
        <w:t>101</w:t>
      </w:r>
      <w:r w:rsidRPr="00084557">
        <w:rPr>
          <w:sz w:val="20"/>
          <w:szCs w:val="20"/>
        </w:rPr>
        <w:t xml:space="preserve">,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631E7AF3"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C95F62" w:rsidRPr="00C95F62">
        <w:rPr>
          <w:sz w:val="20"/>
          <w:szCs w:val="20"/>
        </w:rPr>
        <w:t>Je záväzné, aby opisy štátnozamestnaneckých miest, resp. pracovné náplne zamestnancov pracujúcich vo verejnom záujme obsahovali minimálne uvedené kľúčové činnosti pre konkrétnu štandardizovanú pracovnú pozíciu</w:t>
      </w:r>
      <w:r w:rsidR="00C95F62">
        <w:rPr>
          <w:sz w:val="20"/>
          <w:szCs w:val="20"/>
        </w:rPr>
        <w:t xml:space="preserve"> administratívnej kapacity </w:t>
      </w:r>
      <w:r w:rsidR="00863E7C">
        <w:rPr>
          <w:sz w:val="20"/>
          <w:szCs w:val="20"/>
        </w:rPr>
        <w:t>RO</w:t>
      </w:r>
      <w:r w:rsidR="00C95F62">
        <w:rPr>
          <w:sz w:val="20"/>
          <w:szCs w:val="20"/>
        </w:rPr>
        <w:t xml:space="preserve"> v zmysle MP GAK č. 22.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lastRenderedPageBreak/>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1"/>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2"/>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3"/>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4"/>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5"/>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6"/>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lastRenderedPageBreak/>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672920C6"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t xml:space="preserve">Ak </w:t>
      </w:r>
      <w:r w:rsidR="008F4E69" w:rsidRPr="008F4E69">
        <w:rPr>
          <w:sz w:val="20"/>
        </w:rPr>
        <w:t>ide o administratívne kapacity RO/SO/PJ</w:t>
      </w:r>
      <w:r w:rsidR="00CD34A7">
        <w:rPr>
          <w:sz w:val="20"/>
        </w:rPr>
        <w:t xml:space="preserve"> </w:t>
      </w:r>
      <w:r w:rsidR="00CD34A7" w:rsidRPr="00CD34A7">
        <w:rPr>
          <w:sz w:val="20"/>
        </w:rPr>
        <w:t>a </w:t>
      </w:r>
      <w:r w:rsidR="00863E7C" w:rsidRPr="00CD34A7">
        <w:rPr>
          <w:sz w:val="20"/>
        </w:rPr>
        <w:t xml:space="preserve">zamestnancov </w:t>
      </w:r>
      <w:r w:rsidR="00863E7C">
        <w:rPr>
          <w:sz w:val="20"/>
        </w:rPr>
        <w:t xml:space="preserve">vykonávajúcich podporné činnosti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7"/>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6CCCF719"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 xml:space="preserve">a zamestnancov </w:t>
      </w:r>
      <w:r w:rsidR="00863E7C">
        <w:rPr>
          <w:sz w:val="20"/>
        </w:rPr>
        <w:t xml:space="preserve">vykonávajúcich podporné činnosti </w:t>
      </w:r>
      <w:r w:rsidR="0047320F" w:rsidRPr="008F4E69">
        <w:rPr>
          <w:sz w:val="20"/>
        </w:rPr>
        <w:t>RO/SO/</w:t>
      </w:r>
      <w:r w:rsidR="00863E7C">
        <w:rPr>
          <w:sz w:val="20"/>
        </w:rPr>
        <w:t>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863E7C">
        <w:rPr>
          <w:sz w:val="20"/>
        </w:rPr>
        <w:t> prípravou Programu Slovensko v r</w:t>
      </w:r>
      <w:r w:rsidR="001F2221" w:rsidRPr="001F2221">
        <w:rPr>
          <w:sz w:val="20"/>
        </w:rPr>
        <w:t>ámci programového obdobia 20</w:t>
      </w:r>
      <w:r w:rsidR="00863E7C">
        <w:rPr>
          <w:sz w:val="20"/>
        </w:rPr>
        <w:t>21</w:t>
      </w:r>
      <w:r w:rsidR="001F2221" w:rsidRPr="001F2221">
        <w:rPr>
          <w:sz w:val="20"/>
        </w:rPr>
        <w:t xml:space="preserve"> – 20</w:t>
      </w:r>
      <w:r w:rsidR="00863E7C">
        <w:rPr>
          <w:sz w:val="20"/>
        </w:rPr>
        <w:t>27</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8"/>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lastRenderedPageBreak/>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lístok, palubný lístok</w:t>
      </w:r>
      <w:r w:rsidR="007D3CDC" w:rsidRPr="007D3CDC">
        <w:rPr>
          <w:sz w:val="20"/>
          <w:szCs w:val="20"/>
          <w:vertAlign w:val="superscript"/>
        </w:rPr>
        <w:footnoteReference w:id="109"/>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592164B9"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lastRenderedPageBreak/>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291" w:name="_Ostatné_výdavky_–"/>
      <w:bookmarkEnd w:id="291"/>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292" w:name="_Ostatné_výdavky_–_2"/>
      <w:bookmarkStart w:id="293" w:name="_Toc7078330"/>
      <w:bookmarkEnd w:id="292"/>
      <w:r w:rsidRPr="00A374F2">
        <w:t>Ostatné výdavky – externé služby (outsourcing)</w:t>
      </w:r>
      <w:bookmarkEnd w:id="293"/>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0"/>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1"/>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2"/>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294" w:name="_Finančné_výdavky_a"/>
      <w:bookmarkStart w:id="295" w:name="_Toc7078331"/>
      <w:bookmarkEnd w:id="294"/>
      <w:r w:rsidRPr="00A374F2">
        <w:t>Finančné výdavky a</w:t>
      </w:r>
      <w:r w:rsidR="00A7280F">
        <w:rPr>
          <w:lang w:val="sk-SK"/>
        </w:rPr>
        <w:t xml:space="preserve"> </w:t>
      </w:r>
      <w:r w:rsidRPr="00A374F2">
        <w:t>poplatky</w:t>
      </w:r>
      <w:bookmarkEnd w:id="295"/>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296" w:name="_Stavebný_dozor,_vypracovanie"/>
      <w:bookmarkStart w:id="297" w:name="_Dodatočné_výdavky"/>
      <w:bookmarkStart w:id="298" w:name="_Toc7078332"/>
      <w:bookmarkEnd w:id="296"/>
      <w:bookmarkEnd w:id="297"/>
      <w:r w:rsidRPr="00A374F2">
        <w:t>Dodatočné výdavky</w:t>
      </w:r>
      <w:bookmarkEnd w:id="298"/>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3"/>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4"/>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5"/>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lastRenderedPageBreak/>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lastRenderedPageBreak/>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299" w:name="_Toc7078333"/>
      <w:r w:rsidRPr="00A374F2">
        <w:rPr>
          <w:b/>
          <w:color w:val="FFFFFF"/>
        </w:rPr>
        <w:lastRenderedPageBreak/>
        <w:t>Hospodárnosť výdavkov</w:t>
      </w:r>
      <w:bookmarkEnd w:id="299"/>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6"/>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7"/>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lastRenderedPageBreak/>
        <w:t>Žiadateľ/prijímateľ v zmysle osobitných predpisov pri používaní verejných prostriedkov, ktorým je aj nenávratný finančný príspevok, zachováva zásadu hospodárnosti</w:t>
      </w:r>
      <w:r>
        <w:rPr>
          <w:rStyle w:val="Odkaznapoznmkupodiarou"/>
        </w:rPr>
        <w:footnoteReference w:id="118"/>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19"/>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0"/>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lastRenderedPageBreak/>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lastRenderedPageBreak/>
        <w:t>v postupe zadávania zákazky na bežne dostupné</w:t>
      </w:r>
      <w:r w:rsidRPr="00AA3377">
        <w:rPr>
          <w:rStyle w:val="Odkaznapoznmkupodiarou"/>
          <w:szCs w:val="16"/>
        </w:rPr>
        <w:footnoteReference w:id="121"/>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2"/>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3"/>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lastRenderedPageBreak/>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4"/>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lastRenderedPageBreak/>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0"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5"/>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lastRenderedPageBreak/>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6"/>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7"/>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8"/>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lastRenderedPageBreak/>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29"/>
      </w:r>
      <w:r w:rsidRPr="00BF06EB">
        <w:t xml:space="preserve"> </w:t>
      </w:r>
      <w:r w:rsidRPr="00BC4266">
        <w:rPr>
          <w:sz w:val="20"/>
          <w:szCs w:val="20"/>
        </w:rPr>
        <w:t>musí obsahovať</w:t>
      </w:r>
      <w:r>
        <w:rPr>
          <w:rStyle w:val="Odkaznapoznmkupodiarou"/>
        </w:rPr>
        <w:footnoteReference w:id="130"/>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1"/>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2"/>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lastRenderedPageBreak/>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3"/>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00" w:name="_Toc441426479"/>
      <w:bookmarkStart w:id="301" w:name="_Toc441427022"/>
      <w:bookmarkStart w:id="302" w:name="_Toc441427846"/>
      <w:bookmarkStart w:id="303" w:name="_Toc441431471"/>
      <w:bookmarkStart w:id="304" w:name="_Toc441488862"/>
      <w:bookmarkStart w:id="305" w:name="_Toc7078334"/>
      <w:bookmarkEnd w:id="300"/>
      <w:bookmarkEnd w:id="301"/>
      <w:bookmarkEnd w:id="302"/>
      <w:bookmarkEnd w:id="303"/>
      <w:bookmarkEnd w:id="304"/>
      <w:r w:rsidRPr="00A374F2">
        <w:rPr>
          <w:b/>
          <w:color w:val="FFFFFF"/>
        </w:rPr>
        <w:lastRenderedPageBreak/>
        <w:t>Zoznam skratiek</w:t>
      </w:r>
      <w:bookmarkEnd w:id="305"/>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06" w:name="_Prílohy"/>
      <w:bookmarkStart w:id="307" w:name="_Toc7078335"/>
      <w:bookmarkEnd w:id="306"/>
      <w:r w:rsidRPr="00A374F2">
        <w:rPr>
          <w:b/>
          <w:color w:val="FFFFFF"/>
        </w:rPr>
        <w:lastRenderedPageBreak/>
        <w:t>Prílohy</w:t>
      </w:r>
      <w:bookmarkEnd w:id="307"/>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32D2A352" w:rsidR="00D826F9" w:rsidRDefault="00D826F9" w:rsidP="00A93431">
      <w:pPr>
        <w:keepNext/>
        <w:keepLines/>
        <w:spacing w:before="120" w:after="0" w:line="240" w:lineRule="auto"/>
        <w:rPr>
          <w:rFonts w:cs="Calibri"/>
          <w:color w:val="000000"/>
          <w:sz w:val="20"/>
        </w:rPr>
      </w:pPr>
      <w:r w:rsidRPr="00D826F9">
        <w:rPr>
          <w:rFonts w:cs="Calibri"/>
          <w:color w:val="000000"/>
          <w:sz w:val="20"/>
        </w:rPr>
        <w:t>Príloha č. 3 Spôsob overenia hospodárnosti výdavkov projektov OPII</w:t>
      </w:r>
    </w:p>
    <w:p w14:paraId="013C2B9B" w14:textId="7D340881" w:rsidR="00CA4113" w:rsidRPr="00CA4113" w:rsidRDefault="00CA4113" w:rsidP="00CA4113">
      <w:pPr>
        <w:keepNext/>
        <w:keepLines/>
        <w:spacing w:before="120" w:after="0" w:line="240" w:lineRule="auto"/>
        <w:rPr>
          <w:rFonts w:cs="Calibri"/>
          <w:color w:val="000000"/>
          <w:sz w:val="20"/>
        </w:rPr>
      </w:pPr>
      <w:r w:rsidRPr="00CA4113">
        <w:rPr>
          <w:rFonts w:cs="Calibri"/>
          <w:color w:val="000000"/>
          <w:sz w:val="20"/>
        </w:rPr>
        <w:t xml:space="preserve">Príloha č. 4 </w:t>
      </w:r>
      <w:r>
        <w:rPr>
          <w:rFonts w:cs="Calibri"/>
          <w:color w:val="000000"/>
          <w:sz w:val="20"/>
        </w:rPr>
        <w:t>Jednotná príručka k predkladaniu dokumentácie k ŽoP, kde prijímateľom je ministerstvo alebo ostatný ústredný orgán štátnej správy</w:t>
      </w:r>
    </w:p>
    <w:p w14:paraId="7F39A40E" w14:textId="21628589" w:rsidR="00CA4113" w:rsidRPr="00D826F9" w:rsidRDefault="00CA4113" w:rsidP="00CA4113">
      <w:pPr>
        <w:keepNext/>
        <w:keepLines/>
        <w:spacing w:before="120" w:after="0" w:line="240" w:lineRule="auto"/>
        <w:rPr>
          <w:rFonts w:cs="Calibri"/>
          <w:color w:val="000000"/>
          <w:sz w:val="20"/>
        </w:rPr>
        <w:sectPr w:rsidR="00CA4113" w:rsidRPr="00D826F9" w:rsidSect="001D7477">
          <w:footerReference w:type="default" r:id="rId31"/>
          <w:headerReference w:type="first" r:id="rId32"/>
          <w:footerReference w:type="first" r:id="rId33"/>
          <w:pgSz w:w="11906" w:h="16838" w:code="9"/>
          <w:pgMar w:top="1418" w:right="1418" w:bottom="1418" w:left="1247" w:header="709" w:footer="219" w:gutter="0"/>
          <w:pgNumType w:start="4"/>
          <w:cols w:space="708"/>
          <w:titlePg/>
          <w:docGrid w:linePitch="360"/>
        </w:sectPr>
      </w:pPr>
    </w:p>
    <w:p w14:paraId="786143DE" w14:textId="77777777" w:rsidR="00345A5B" w:rsidRDefault="00DF50AA" w:rsidP="00415B1C">
      <w:pPr>
        <w:keepNext/>
        <w:keepLines/>
        <w:spacing w:before="120" w:after="0" w:line="240" w:lineRule="auto"/>
        <w:jc w:val="both"/>
        <w:rPr>
          <w:rFonts w:cs="Calibri"/>
          <w:b/>
          <w:color w:val="000000"/>
          <w:sz w:val="28"/>
        </w:rPr>
      </w:pPr>
      <w:bookmarkStart w:id="308" w:name="Príloha1"/>
      <w:bookmarkEnd w:id="308"/>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4"/>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5"/>
            </w:r>
            <w:r w:rsidR="00616675" w:rsidRPr="00D96C63">
              <w:rPr>
                <w:rFonts w:cs="Calibri"/>
                <w:b/>
                <w:bCs/>
                <w:sz w:val="20"/>
                <w:szCs w:val="20"/>
              </w:rPr>
              <w:t xml:space="preserve"> </w:t>
            </w:r>
          </w:p>
          <w:p w14:paraId="2066DC6C" w14:textId="67F9A131"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6"/>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415B1C">
      <w:pPr>
        <w:keepNext/>
        <w:keepLines/>
        <w:spacing w:before="120" w:after="0" w:line="240" w:lineRule="auto"/>
        <w:rPr>
          <w:rFonts w:cs="Calibri"/>
          <w:b/>
          <w:color w:val="000000"/>
        </w:rPr>
      </w:pPr>
    </w:p>
    <w:p w14:paraId="32B31041" w14:textId="116F40C9" w:rsidR="00BE25A5" w:rsidRDefault="00BE25A5" w:rsidP="00400C7A">
      <w:pPr>
        <w:keepNext/>
        <w:keepLines/>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415B1C">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6793"/>
        <w:gridCol w:w="1809"/>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19,00</w:t>
            </w:r>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23,00</w:t>
            </w:r>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30,00</w:t>
            </w:r>
          </w:p>
        </w:tc>
      </w:tr>
      <w:tr w:rsidR="00D44FD7" w:rsidRPr="00BE25A5" w14:paraId="7FC06C4B" w14:textId="77777777" w:rsidTr="00D44FD7">
        <w:trPr>
          <w:trHeight w:val="531"/>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4</w:t>
            </w:r>
            <w:r w:rsidRPr="00BE25A5">
              <w:rPr>
                <w:rFonts w:cs="Calibri"/>
                <w:b/>
                <w:sz w:val="20"/>
                <w:szCs w:val="20"/>
              </w:rPr>
              <w:t>.</w:t>
            </w:r>
          </w:p>
        </w:tc>
        <w:tc>
          <w:tcPr>
            <w:tcW w:w="3657" w:type="pct"/>
            <w:shd w:val="clear" w:color="auto" w:fill="C6D9F1"/>
          </w:tcPr>
          <w:p w14:paraId="5E853BAC" w14:textId="77777777" w:rsidR="00D44FD7" w:rsidRDefault="00D44FD7" w:rsidP="0056714F">
            <w:pPr>
              <w:keepNext/>
              <w:keepLines/>
              <w:spacing w:before="120" w:after="0" w:line="240" w:lineRule="auto"/>
              <w:rPr>
                <w:rFonts w:cs="Calibri"/>
                <w:b/>
                <w:sz w:val="20"/>
                <w:szCs w:val="20"/>
              </w:rPr>
            </w:pPr>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p>
          <w:p w14:paraId="384F1A1D"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lastRenderedPageBreak/>
              <w:t>40,00</w:t>
            </w:r>
          </w:p>
        </w:tc>
      </w:tr>
      <w:tr w:rsidR="00D44FD7" w:rsidRPr="00BE25A5" w14:paraId="09081C81" w14:textId="77777777" w:rsidTr="00D44FD7">
        <w:trPr>
          <w:trHeight w:val="250"/>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5</w:t>
            </w:r>
            <w:r w:rsidRPr="00BE25A5">
              <w:rPr>
                <w:rFonts w:cs="Calibri"/>
                <w:b/>
                <w:sz w:val="20"/>
                <w:szCs w:val="20"/>
              </w:rPr>
              <w:t>.</w:t>
            </w:r>
          </w:p>
        </w:tc>
        <w:tc>
          <w:tcPr>
            <w:tcW w:w="3657" w:type="pct"/>
            <w:shd w:val="clear" w:color="auto" w:fill="C6D9F1"/>
          </w:tcPr>
          <w:p w14:paraId="7E635B97"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odborných, konzultačných a metodických činností, vypracovanie odborných materiálov</w:t>
            </w:r>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50,00</w:t>
            </w:r>
          </w:p>
        </w:tc>
      </w:tr>
      <w:tr w:rsidR="00D44FD7" w:rsidRPr="00BE25A5" w14:paraId="2CD6EB96" w14:textId="77777777" w:rsidTr="00D44FD7">
        <w:trPr>
          <w:trHeight w:val="379"/>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6</w:t>
            </w:r>
            <w:r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66,00</w:t>
            </w:r>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4677"/>
        <w:gridCol w:w="2801"/>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(ŽoNFP</w:t>
            </w:r>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6D0DC3" w:rsidP="00415B1C">
            <w:pPr>
              <w:keepNext/>
              <w:keepLines/>
              <w:spacing w:after="0" w:line="240" w:lineRule="auto"/>
              <w:jc w:val="center"/>
              <w:rPr>
                <w:rFonts w:eastAsia="Times New Roman"/>
                <w:color w:val="494949"/>
                <w:sz w:val="20"/>
                <w:szCs w:val="20"/>
                <w:lang w:eastAsia="sk-SK"/>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6D0DC3" w:rsidP="00415B1C">
            <w:pPr>
              <w:keepNext/>
              <w:keepLines/>
              <w:spacing w:after="0" w:line="240" w:lineRule="auto"/>
              <w:jc w:val="center"/>
              <w:rPr>
                <w:rFonts w:cs="Calibri"/>
                <w:b/>
                <w:sz w:val="20"/>
                <w:szCs w:val="18"/>
              </w:rPr>
            </w:pPr>
            <w:hyperlink r:id="rId35"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lastRenderedPageBreak/>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51D223F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6"/>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7"/>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8"/>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39"/>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0"/>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1"/>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309" w:name="Príloha2"/>
      <w:bookmarkEnd w:id="309"/>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2"/>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lastRenderedPageBreak/>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55012504" w:rsidR="00CE70C1" w:rsidRPr="00A93431" w:rsidRDefault="00CE70C1" w:rsidP="00AB1A7E">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 SR č. </w:t>
            </w:r>
            <w:r w:rsidR="00AB1A7E">
              <w:rPr>
                <w:rFonts w:cs="Calibri"/>
                <w:b/>
                <w:sz w:val="16"/>
                <w:szCs w:val="16"/>
                <w:lang w:eastAsia="cs-CZ"/>
              </w:rPr>
              <w:t>6</w:t>
            </w:r>
            <w:r w:rsidRPr="00CE70C1">
              <w:rPr>
                <w:rFonts w:cs="Calibri"/>
                <w:b/>
                <w:sz w:val="16"/>
                <w:szCs w:val="16"/>
                <w:lang w:eastAsia="cs-CZ"/>
              </w:rPr>
              <w:t>/201</w:t>
            </w:r>
            <w:r w:rsidR="00AB1A7E">
              <w:rPr>
                <w:rFonts w:cs="Calibri"/>
                <w:b/>
                <w:sz w:val="16"/>
                <w:szCs w:val="16"/>
                <w:lang w:eastAsia="cs-CZ"/>
              </w:rPr>
              <w:t>8</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E2206A0" w:rsidR="00CE70C1" w:rsidRPr="00A93431" w:rsidRDefault="00CE70C1" w:rsidP="00AB1A7E">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 SR č. </w:t>
            </w:r>
            <w:r w:rsidR="00AB1A7E">
              <w:rPr>
                <w:rFonts w:cs="Calibri"/>
                <w:sz w:val="16"/>
                <w:szCs w:val="16"/>
                <w:lang w:eastAsia="cs-CZ"/>
              </w:rPr>
              <w:t>6</w:t>
            </w:r>
            <w:r w:rsidRPr="00CE70C1">
              <w:rPr>
                <w:rFonts w:cs="Calibri"/>
                <w:sz w:val="16"/>
                <w:szCs w:val="16"/>
                <w:lang w:eastAsia="cs-CZ"/>
              </w:rPr>
              <w:t>/201</w:t>
            </w:r>
            <w:r w:rsidR="00AB1A7E">
              <w:rPr>
                <w:rFonts w:cs="Calibri"/>
                <w:sz w:val="16"/>
                <w:szCs w:val="16"/>
                <w:lang w:eastAsia="cs-CZ"/>
              </w:rPr>
              <w:t>8</w:t>
            </w:r>
            <w:r w:rsidRPr="00CE70C1">
              <w:rPr>
                <w:rFonts w:cs="Calibri"/>
                <w:sz w:val="16"/>
                <w:szCs w:val="16"/>
                <w:lang w:eastAsia="cs-CZ"/>
              </w:rPr>
              <w:t>,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E83999A" w14:textId="56F83786" w:rsidR="003C638B" w:rsidRDefault="003C638B" w:rsidP="003C638B">
      <w:pPr>
        <w:keepNext/>
        <w:keepLines/>
        <w:spacing w:before="120" w:after="0" w:line="240" w:lineRule="auto"/>
        <w:jc w:val="both"/>
        <w:rPr>
          <w:rFonts w:cs="Calibri"/>
          <w:b/>
          <w:color w:val="000000"/>
          <w:sz w:val="28"/>
        </w:rPr>
      </w:pPr>
      <w:r w:rsidRPr="004D6AEB">
        <w:rPr>
          <w:rFonts w:cs="Calibri"/>
          <w:b/>
          <w:color w:val="000000"/>
          <w:sz w:val="28"/>
        </w:rPr>
        <w:t xml:space="preserve">Príloha č. </w:t>
      </w:r>
      <w:r>
        <w:rPr>
          <w:rFonts w:cs="Calibri"/>
          <w:b/>
          <w:color w:val="000000"/>
          <w:sz w:val="28"/>
        </w:rPr>
        <w:t>4</w:t>
      </w:r>
      <w:r w:rsidRPr="004D6AEB">
        <w:rPr>
          <w:rFonts w:cs="Calibri"/>
          <w:b/>
          <w:color w:val="000000"/>
          <w:sz w:val="28"/>
        </w:rPr>
        <w:t xml:space="preserve">   </w:t>
      </w:r>
    </w:p>
    <w:p w14:paraId="164CBC6B" w14:textId="6141257D" w:rsidR="00E1674B" w:rsidRPr="003C638B" w:rsidRDefault="003C638B" w:rsidP="003C638B">
      <w:pPr>
        <w:keepNext/>
        <w:keepLines/>
        <w:spacing w:before="120" w:after="0" w:line="240" w:lineRule="auto"/>
        <w:jc w:val="both"/>
        <w:rPr>
          <w:rFonts w:cs="Calibri"/>
          <w:b/>
          <w:caps/>
          <w:color w:val="000000"/>
          <w:sz w:val="24"/>
        </w:rPr>
      </w:pPr>
      <w:r w:rsidRPr="003C638B">
        <w:rPr>
          <w:rFonts w:cs="Calibri"/>
          <w:b/>
          <w:caps/>
          <w:color w:val="000000"/>
          <w:sz w:val="24"/>
        </w:rPr>
        <w:t>Jednotná príručka k predkladaniu dokumentácie k žiadosti o platbu, kde prijímateľom je ministerstvo alebo ostatný ústredný orgán štátnej správy</w:t>
      </w:r>
    </w:p>
    <w:p w14:paraId="2C8E6E11" w14:textId="511172E7" w:rsidR="00E1674B" w:rsidRPr="00E91FA3" w:rsidRDefault="00792357" w:rsidP="00792357">
      <w:pPr>
        <w:keepNext/>
        <w:keepLines/>
        <w:spacing w:before="120" w:after="0" w:line="240" w:lineRule="auto"/>
        <w:jc w:val="both"/>
        <w:rPr>
          <w:rFonts w:cs="Calibri"/>
          <w:b/>
          <w:bCs/>
          <w:sz w:val="20"/>
          <w:szCs w:val="20"/>
          <w:u w:val="single"/>
          <w:lang w:eastAsia="cs-CZ"/>
        </w:rPr>
      </w:pPr>
      <w:r>
        <w:rPr>
          <w:rFonts w:cs="Calibri"/>
          <w:bCs/>
          <w:sz w:val="20"/>
          <w:szCs w:val="20"/>
          <w:lang w:eastAsia="cs-CZ"/>
        </w:rPr>
        <w:t>Podľa</w:t>
      </w:r>
      <w:r w:rsidR="00E91FA3">
        <w:rPr>
          <w:rFonts w:cs="Calibri"/>
          <w:bCs/>
          <w:sz w:val="20"/>
          <w:szCs w:val="20"/>
          <w:lang w:eastAsia="cs-CZ"/>
        </w:rPr>
        <w:t xml:space="preserve"> týchto metodických postupov uvedených v samostatnej prílohe č. 4 PkOV sa postupuje pri </w:t>
      </w:r>
      <w:r w:rsidRPr="00792357">
        <w:rPr>
          <w:rFonts w:cs="Calibri"/>
          <w:bCs/>
          <w:sz w:val="20"/>
          <w:szCs w:val="20"/>
          <w:lang w:eastAsia="cs-CZ"/>
        </w:rPr>
        <w:t>predkladan</w:t>
      </w:r>
      <w:r w:rsidR="00E91FA3">
        <w:rPr>
          <w:rFonts w:cs="Calibri"/>
          <w:bCs/>
          <w:sz w:val="20"/>
          <w:szCs w:val="20"/>
          <w:lang w:eastAsia="cs-CZ"/>
        </w:rPr>
        <w:t>í</w:t>
      </w:r>
      <w:r w:rsidRPr="00792357">
        <w:rPr>
          <w:rFonts w:cs="Calibri"/>
          <w:bCs/>
          <w:sz w:val="20"/>
          <w:szCs w:val="20"/>
          <w:lang w:eastAsia="cs-CZ"/>
        </w:rPr>
        <w:t xml:space="preserve"> dokumentácie k </w:t>
      </w:r>
      <w:r>
        <w:rPr>
          <w:rFonts w:cs="Calibri"/>
          <w:bCs/>
          <w:sz w:val="20"/>
          <w:szCs w:val="20"/>
          <w:lang w:eastAsia="cs-CZ"/>
        </w:rPr>
        <w:t>ŽoP</w:t>
      </w:r>
      <w:r w:rsidRPr="00792357">
        <w:rPr>
          <w:rFonts w:cs="Calibri"/>
          <w:bCs/>
          <w:sz w:val="20"/>
          <w:szCs w:val="20"/>
          <w:lang w:eastAsia="cs-CZ"/>
        </w:rPr>
        <w:t xml:space="preserve"> pre všetky typy projektov, kde </w:t>
      </w:r>
      <w:r w:rsidRPr="00E91FA3">
        <w:rPr>
          <w:rFonts w:cs="Calibri"/>
          <w:b/>
          <w:bCs/>
          <w:sz w:val="20"/>
          <w:szCs w:val="20"/>
          <w:u w:val="single"/>
          <w:lang w:eastAsia="cs-CZ"/>
        </w:rPr>
        <w:t>prijímateľom je ministerstvo alebo ostatný ústredný orgán štátnej správy</w:t>
      </w:r>
      <w:r w:rsidRPr="00E91FA3">
        <w:rPr>
          <w:rFonts w:cs="Calibri"/>
          <w:b/>
          <w:bCs/>
          <w:sz w:val="20"/>
          <w:szCs w:val="20"/>
          <w:u w:val="single"/>
          <w:vertAlign w:val="superscript"/>
          <w:lang w:eastAsia="cs-CZ"/>
        </w:rPr>
        <w:footnoteReference w:id="143"/>
      </w:r>
      <w:r w:rsidRPr="00E91FA3">
        <w:rPr>
          <w:rFonts w:cs="Calibri"/>
          <w:b/>
          <w:bCs/>
          <w:sz w:val="20"/>
          <w:szCs w:val="20"/>
          <w:u w:val="single"/>
          <w:lang w:eastAsia="cs-CZ"/>
        </w:rPr>
        <w:t xml:space="preserve">  alebo organizácie v ich zriaďovateľskej pôsobnosti.</w:t>
      </w:r>
    </w:p>
    <w:p w14:paraId="18C6C1C4" w14:textId="2FB27CA8" w:rsidR="00E1674B" w:rsidRPr="00792357" w:rsidRDefault="00E1674B" w:rsidP="00415B1C">
      <w:pPr>
        <w:keepNext/>
        <w:keepLines/>
        <w:spacing w:before="120" w:after="0" w:line="240" w:lineRule="auto"/>
        <w:rPr>
          <w:rFonts w:cs="Calibri"/>
          <w:bCs/>
          <w:sz w:val="20"/>
          <w:szCs w:val="20"/>
          <w:lang w:eastAsia="cs-CZ"/>
        </w:rPr>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7"/>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7234F" w14:textId="77777777" w:rsidR="006D0DC3" w:rsidRDefault="006D0DC3" w:rsidP="003302EF">
      <w:pPr>
        <w:spacing w:after="0" w:line="240" w:lineRule="auto"/>
      </w:pPr>
      <w:r>
        <w:separator/>
      </w:r>
    </w:p>
  </w:endnote>
  <w:endnote w:type="continuationSeparator" w:id="0">
    <w:p w14:paraId="067307E4" w14:textId="77777777" w:rsidR="006D0DC3" w:rsidRDefault="006D0DC3"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356714F3" w:rsidR="0022068F" w:rsidRDefault="0022068F">
    <w:pPr>
      <w:pStyle w:val="Pta"/>
      <w:jc w:val="right"/>
    </w:pPr>
    <w:r>
      <w:fldChar w:fldCharType="begin"/>
    </w:r>
    <w:r>
      <w:instrText>PAGE   \* MERGEFORMAT</w:instrText>
    </w:r>
    <w:r>
      <w:fldChar w:fldCharType="separate"/>
    </w:r>
    <w:r w:rsidR="00856612" w:rsidRPr="00856612">
      <w:rPr>
        <w:noProof/>
        <w:lang w:val="sk-SK"/>
      </w:rPr>
      <w:t>2</w:t>
    </w:r>
    <w:r>
      <w:fldChar w:fldCharType="end"/>
    </w:r>
  </w:p>
  <w:p w14:paraId="223D0B5C" w14:textId="77777777" w:rsidR="0022068F" w:rsidRDefault="0022068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49F98323" w:rsidR="0022068F" w:rsidRDefault="0022068F">
    <w:pPr>
      <w:pStyle w:val="Pta"/>
      <w:jc w:val="right"/>
    </w:pPr>
    <w:r>
      <w:fldChar w:fldCharType="begin"/>
    </w:r>
    <w:r>
      <w:instrText>PAGE   \* MERGEFORMAT</w:instrText>
    </w:r>
    <w:r>
      <w:fldChar w:fldCharType="separate"/>
    </w:r>
    <w:r w:rsidR="00856612" w:rsidRPr="00856612">
      <w:rPr>
        <w:noProof/>
        <w:lang w:val="sk-SK"/>
      </w:rPr>
      <w:t>26</w:t>
    </w:r>
    <w:r>
      <w:fldChar w:fldCharType="end"/>
    </w:r>
  </w:p>
  <w:p w14:paraId="4E9BB8A6" w14:textId="77777777" w:rsidR="0022068F" w:rsidRDefault="0022068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22068F" w:rsidRDefault="0022068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22068F" w:rsidRPr="00482035" w:rsidRDefault="0022068F">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A8083" w14:textId="77777777" w:rsidR="006D0DC3" w:rsidRDefault="006D0DC3" w:rsidP="003302EF">
      <w:pPr>
        <w:spacing w:after="0" w:line="240" w:lineRule="auto"/>
      </w:pPr>
      <w:r>
        <w:separator/>
      </w:r>
    </w:p>
  </w:footnote>
  <w:footnote w:type="continuationSeparator" w:id="0">
    <w:p w14:paraId="24E347C2" w14:textId="77777777" w:rsidR="006D0DC3" w:rsidRDefault="006D0DC3" w:rsidP="003302EF">
      <w:pPr>
        <w:spacing w:after="0" w:line="240" w:lineRule="auto"/>
      </w:pPr>
      <w:r>
        <w:continuationSeparator/>
      </w:r>
    </w:p>
  </w:footnote>
  <w:footnote w:id="1">
    <w:p w14:paraId="7004E30A" w14:textId="77777777" w:rsidR="0022068F" w:rsidRPr="00333E62" w:rsidRDefault="0022068F"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22068F" w:rsidRPr="001D3F15" w:rsidRDefault="0022068F">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22068F" w:rsidRPr="001D3F15" w:rsidRDefault="0022068F">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22068F" w:rsidRPr="00333E62" w:rsidRDefault="0022068F">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22068F" w:rsidRPr="00333E62" w:rsidRDefault="0022068F">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22068F" w:rsidRPr="00CA6CC8" w:rsidRDefault="0022068F"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fázovaných medzi dvoma programovými obdobiami (OPII/OPSK) sa predmetné časové obmedzenie vzťahuje na 1.fázu projektu financovanú z OPII 2014-2020.</w:t>
      </w:r>
    </w:p>
  </w:footnote>
  <w:footnote w:id="7">
    <w:p w14:paraId="58E72E03" w14:textId="77777777" w:rsidR="0022068F" w:rsidRPr="008E548B" w:rsidRDefault="0022068F"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22068F" w:rsidRPr="00475D62" w:rsidRDefault="0022068F"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22068F" w:rsidRPr="00C503D1" w:rsidRDefault="0022068F"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22068F" w:rsidRPr="002E39E2" w:rsidRDefault="0022068F"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22068F" w:rsidRPr="00C503D1" w:rsidRDefault="0022068F"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22068F" w:rsidRPr="00333E62" w:rsidRDefault="0022068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22068F" w:rsidRPr="00FE6C82" w:rsidRDefault="0022068F"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22068F" w:rsidRPr="004B47F3" w:rsidRDefault="0022068F"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22068F" w:rsidRPr="00333E62" w:rsidRDefault="0022068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22068F" w:rsidRDefault="0022068F"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7">
    <w:p w14:paraId="6263116F" w14:textId="77777777" w:rsidR="0022068F" w:rsidRDefault="0022068F"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8">
    <w:p w14:paraId="6DC3587A" w14:textId="77777777" w:rsidR="0022068F" w:rsidRPr="008E2DA2" w:rsidRDefault="0022068F"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22068F" w:rsidRPr="00B541E6" w:rsidRDefault="0022068F">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22068F" w:rsidRPr="00C503D1" w:rsidRDefault="0022068F"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22068F" w:rsidRPr="00C503D1" w:rsidRDefault="0022068F"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22068F" w:rsidRPr="00C35C9D" w:rsidRDefault="0022068F"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od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r w:rsidRPr="00C35C9D">
        <w:t>Podmienka sa nevzťahuje na investície žiadateľov/prijímateľov OPII, ktoré nie sú v priamej zriaďovateľskej/zakladateľskej pôsobnosti MDV SR, t.j. nerelevantné pre mestá, dopravné podniky a pod.</w:t>
      </w:r>
    </w:p>
    <w:p w14:paraId="20EAC0D0" w14:textId="3A6D6757" w:rsidR="0022068F" w:rsidRPr="00981700" w:rsidRDefault="0022068F" w:rsidP="00981700">
      <w:pPr>
        <w:pStyle w:val="Textpoznmkypodiarou"/>
        <w:jc w:val="both"/>
        <w:rPr>
          <w:lang w:val="sk-SK"/>
        </w:rPr>
      </w:pPr>
    </w:p>
  </w:footnote>
  <w:footnote w:id="23">
    <w:p w14:paraId="3F21AC52"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22068F" w:rsidRPr="002732B2" w:rsidRDefault="0022068F"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22068F" w:rsidRPr="002732B2" w:rsidRDefault="0022068F">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22068F" w:rsidRPr="00333E62" w:rsidRDefault="0022068F"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22068F" w:rsidRPr="00333E62" w:rsidRDefault="0022068F"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22068F" w:rsidRPr="00333E62" w:rsidRDefault="0022068F">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22068F" w:rsidRPr="00C503D1" w:rsidRDefault="0022068F"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22068F" w:rsidRPr="00333E62" w:rsidRDefault="0022068F"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22068F" w:rsidRPr="00333E62" w:rsidRDefault="0022068F"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22068F" w:rsidRPr="00333E62" w:rsidRDefault="0022068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22068F" w:rsidRPr="00333E62" w:rsidRDefault="0022068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22068F" w:rsidRPr="00333E62" w:rsidRDefault="0022068F"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22068F" w:rsidRPr="006A017F" w:rsidRDefault="0022068F"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22068F" w:rsidRPr="00333E62" w:rsidRDefault="0022068F"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22068F" w:rsidRPr="00333E62" w:rsidRDefault="0022068F"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22068F" w:rsidRPr="00333E62" w:rsidRDefault="0022068F"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22068F" w:rsidRPr="00FE1741" w:rsidRDefault="0022068F"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22068F" w:rsidRPr="00333E62" w:rsidRDefault="0022068F"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22068F" w:rsidRPr="00333E62" w:rsidRDefault="0022068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22068F" w:rsidRPr="00481BA2" w:rsidRDefault="0022068F"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22068F" w:rsidRPr="00C503D1" w:rsidRDefault="0022068F"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22068F" w:rsidRPr="00C503D1" w:rsidRDefault="0022068F"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22068F" w:rsidRPr="00481BA2" w:rsidRDefault="0022068F"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22068F" w:rsidRPr="00175249" w:rsidRDefault="0022068F"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22068F" w:rsidRPr="00333E62" w:rsidRDefault="0022068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22068F" w:rsidRPr="00333E62" w:rsidRDefault="0022068F"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22068F" w:rsidRPr="005A6BBB" w:rsidRDefault="0022068F"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22068F" w:rsidRPr="005A6BBB" w:rsidRDefault="0022068F"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22068F" w:rsidRDefault="0022068F"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4">
    <w:p w14:paraId="7A835E03" w14:textId="77777777" w:rsidR="0022068F" w:rsidRPr="00121B9A" w:rsidRDefault="0022068F"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22068F" w:rsidRPr="002F12B3" w:rsidRDefault="0022068F"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22068F" w:rsidRDefault="0022068F"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7">
    <w:p w14:paraId="730F4A62" w14:textId="77777777" w:rsidR="0022068F" w:rsidRPr="002F56FC" w:rsidRDefault="0022068F"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58">
    <w:p w14:paraId="2CA57A21" w14:textId="77777777" w:rsidR="0022068F" w:rsidRPr="009C2187" w:rsidRDefault="0022068F">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59">
    <w:p w14:paraId="6E5AEE70" w14:textId="77777777" w:rsidR="0022068F" w:rsidRDefault="0022068F" w:rsidP="00C95F62">
      <w:pPr>
        <w:pStyle w:val="Textpoznmkypodiarou"/>
        <w:jc w:val="both"/>
      </w:pPr>
      <w:r>
        <w:rPr>
          <w:rStyle w:val="Odkaznapoznmkupodiarou"/>
        </w:rPr>
        <w:footnoteRef/>
      </w:r>
      <w:r>
        <w:t xml:space="preserve"> Uvedené nemá vplyv na povinnosť zamestnávateľa viesť evidenciu pracovného času podľa §99 zákonníka práce.</w:t>
      </w:r>
    </w:p>
  </w:footnote>
  <w:footnote w:id="60">
    <w:p w14:paraId="634B0673" w14:textId="77777777" w:rsidR="0022068F" w:rsidRPr="009C2187" w:rsidRDefault="0022068F"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1">
    <w:p w14:paraId="50434809" w14:textId="77777777" w:rsidR="0022068F" w:rsidRPr="00C503D1" w:rsidRDefault="0022068F"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2">
    <w:p w14:paraId="65ACDD02" w14:textId="77777777" w:rsidR="0022068F" w:rsidRPr="00DA6978" w:rsidRDefault="0022068F"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3">
    <w:p w14:paraId="402F6E71" w14:textId="77777777" w:rsidR="0022068F" w:rsidRPr="0051501C" w:rsidRDefault="0022068F"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4">
    <w:p w14:paraId="76ACB17A" w14:textId="77777777" w:rsidR="0022068F" w:rsidRPr="00C503D1" w:rsidRDefault="0022068F"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5">
    <w:p w14:paraId="5A2179A6" w14:textId="77777777" w:rsidR="0022068F" w:rsidRPr="00C503D1" w:rsidRDefault="0022068F"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6">
    <w:p w14:paraId="5144B789" w14:textId="77777777" w:rsidR="0022068F" w:rsidRPr="008D6A6D" w:rsidRDefault="0022068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7">
    <w:p w14:paraId="5441E1A1" w14:textId="77777777" w:rsidR="0022068F" w:rsidRPr="00C503D1" w:rsidRDefault="0022068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68">
    <w:p w14:paraId="7E79B5AD" w14:textId="77777777" w:rsidR="0022068F" w:rsidRPr="008D6A6D" w:rsidRDefault="0022068F"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69">
    <w:p w14:paraId="1E3BA609" w14:textId="77777777" w:rsidR="0022068F" w:rsidRPr="00C503D1" w:rsidRDefault="0022068F"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0">
    <w:p w14:paraId="715D683B"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1">
    <w:p w14:paraId="27748BC8"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2">
    <w:p w14:paraId="3D23444F" w14:textId="77777777" w:rsidR="0022068F" w:rsidRPr="009C2187" w:rsidRDefault="0022068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3">
    <w:p w14:paraId="0D005D93" w14:textId="77777777" w:rsidR="0022068F" w:rsidRPr="00C310F6" w:rsidRDefault="0022068F"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4">
    <w:p w14:paraId="62127FD5" w14:textId="77777777" w:rsidR="0022068F" w:rsidRPr="009C2187" w:rsidRDefault="0022068F"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5">
    <w:p w14:paraId="7ABEE764" w14:textId="77777777" w:rsidR="0022068F" w:rsidRPr="002732B2" w:rsidRDefault="0022068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6">
    <w:p w14:paraId="08BFDF71" w14:textId="77777777" w:rsidR="0022068F" w:rsidRPr="00C503D1" w:rsidRDefault="0022068F"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7">
    <w:p w14:paraId="43EBAC1F" w14:textId="77777777" w:rsidR="0022068F" w:rsidRPr="009C2187" w:rsidRDefault="0022068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336F256" w14:textId="77777777" w:rsidR="0022068F" w:rsidRPr="009C2187" w:rsidRDefault="0022068F"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79">
    <w:p w14:paraId="2DFB9540" w14:textId="77777777" w:rsidR="0022068F" w:rsidRPr="009C2187" w:rsidRDefault="0022068F"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0">
    <w:p w14:paraId="27998115" w14:textId="77777777" w:rsidR="0022068F" w:rsidRPr="00F510AA" w:rsidRDefault="0022068F"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1">
    <w:p w14:paraId="46F9CB62" w14:textId="77777777" w:rsidR="0022068F" w:rsidRDefault="0022068F"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2">
    <w:p w14:paraId="77FC56C0" w14:textId="77777777" w:rsidR="0022068F" w:rsidRDefault="0022068F"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3">
    <w:p w14:paraId="2698F006" w14:textId="77777777" w:rsidR="0022068F" w:rsidRDefault="0022068F"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4">
    <w:p w14:paraId="543CDBCA" w14:textId="77777777" w:rsidR="0022068F" w:rsidRDefault="0022068F"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5">
    <w:p w14:paraId="50FFC4CC" w14:textId="4159DB85" w:rsidR="0022068F" w:rsidRDefault="0022068F"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6">
    <w:p w14:paraId="3096FCC3" w14:textId="77777777" w:rsidR="0022068F" w:rsidRPr="00E91FA3" w:rsidRDefault="0022068F" w:rsidP="00F92419">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 w:id="87">
    <w:p w14:paraId="55580352" w14:textId="77777777" w:rsidR="0022068F" w:rsidRPr="00117D92" w:rsidRDefault="0022068F">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8">
    <w:p w14:paraId="394AA518" w14:textId="2C0A98D4" w:rsidR="0022068F" w:rsidRPr="007E391B" w:rsidRDefault="0022068F"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89">
    <w:p w14:paraId="4C3B99D5" w14:textId="77777777" w:rsidR="0022068F" w:rsidRDefault="0022068F"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90">
    <w:p w14:paraId="68232026" w14:textId="77777777" w:rsidR="0022068F" w:rsidRPr="0023706D" w:rsidRDefault="0022068F">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1">
    <w:p w14:paraId="269544E5" w14:textId="77777777" w:rsidR="0022068F" w:rsidRPr="00B36A60" w:rsidRDefault="0022068F"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2">
    <w:p w14:paraId="2874BBD7" w14:textId="77777777" w:rsidR="0022068F" w:rsidRDefault="0022068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3">
    <w:p w14:paraId="38EEE85C" w14:textId="77777777" w:rsidR="0022068F" w:rsidRDefault="0022068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4">
    <w:p w14:paraId="1BC7502E" w14:textId="77777777" w:rsidR="0022068F" w:rsidRPr="003D5F0F" w:rsidRDefault="0022068F"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5">
    <w:p w14:paraId="485BB0CE" w14:textId="77777777" w:rsidR="0022068F" w:rsidRPr="009C2187" w:rsidRDefault="0022068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6">
    <w:p w14:paraId="009A9C3E" w14:textId="77777777" w:rsidR="0022068F" w:rsidRPr="009C2187" w:rsidRDefault="0022068F"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7">
    <w:p w14:paraId="46689BFD" w14:textId="77777777" w:rsidR="0022068F" w:rsidRPr="0050342E" w:rsidRDefault="0022068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8">
    <w:p w14:paraId="36350BDC" w14:textId="1DDDECCC" w:rsidR="0022068F" w:rsidRPr="00C503D1" w:rsidRDefault="0022068F"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99">
    <w:p w14:paraId="2C14B8C9" w14:textId="77777777" w:rsidR="0022068F" w:rsidRPr="00303684" w:rsidRDefault="0022068F"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0">
    <w:p w14:paraId="3201C3E6" w14:textId="77777777" w:rsidR="0022068F" w:rsidRPr="0050342E" w:rsidRDefault="0022068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1">
    <w:p w14:paraId="0B026687" w14:textId="77777777" w:rsidR="0022068F" w:rsidRPr="00B453DB" w:rsidRDefault="0022068F"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2">
    <w:p w14:paraId="7623FCD1" w14:textId="77777777" w:rsidR="0022068F" w:rsidRPr="006F0A56" w:rsidRDefault="0022068F">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3">
    <w:p w14:paraId="5DA6CB78" w14:textId="77777777" w:rsidR="0022068F" w:rsidRPr="006F0A56" w:rsidRDefault="0022068F"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4">
    <w:p w14:paraId="62D8AA03" w14:textId="77777777" w:rsidR="0022068F" w:rsidRPr="006F0A56" w:rsidRDefault="0022068F"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5">
    <w:p w14:paraId="2CFF12C0" w14:textId="77777777" w:rsidR="0022068F" w:rsidRPr="006F0A56" w:rsidRDefault="0022068F"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6">
    <w:p w14:paraId="507F2B89" w14:textId="77777777" w:rsidR="0022068F" w:rsidRPr="003177A3" w:rsidRDefault="0022068F">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7">
    <w:p w14:paraId="39B6142A" w14:textId="77777777" w:rsidR="0022068F" w:rsidRPr="001F2221" w:rsidRDefault="0022068F">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8">
    <w:p w14:paraId="19307098" w14:textId="77777777" w:rsidR="0022068F" w:rsidRPr="00365DF0" w:rsidRDefault="0022068F">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09">
    <w:p w14:paraId="32E5B983" w14:textId="77777777" w:rsidR="0022068F" w:rsidRPr="007D3CDC" w:rsidRDefault="0022068F"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0">
    <w:p w14:paraId="725C28D2" w14:textId="77777777" w:rsidR="0022068F" w:rsidRPr="00B63D6B" w:rsidRDefault="0022068F"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1">
    <w:p w14:paraId="3622875C" w14:textId="77777777" w:rsidR="0022068F" w:rsidRDefault="0022068F"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2">
    <w:p w14:paraId="3A9229AF" w14:textId="44B9077C" w:rsidR="0022068F" w:rsidRPr="009664EF" w:rsidRDefault="0022068F"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3">
    <w:p w14:paraId="1455FB57" w14:textId="77777777" w:rsidR="0022068F" w:rsidRPr="00717FBF" w:rsidRDefault="0022068F">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4">
    <w:p w14:paraId="4197E723" w14:textId="77777777" w:rsidR="0022068F" w:rsidRDefault="0022068F"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5">
    <w:p w14:paraId="7B8AFBD5" w14:textId="77777777" w:rsidR="0022068F" w:rsidRPr="00717FBF" w:rsidRDefault="0022068F">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6">
    <w:p w14:paraId="1DEC1D95" w14:textId="77777777" w:rsidR="0022068F" w:rsidRPr="006746E7" w:rsidRDefault="0022068F"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7">
    <w:p w14:paraId="6B928014" w14:textId="77777777" w:rsidR="0022068F" w:rsidRPr="001D0A98" w:rsidRDefault="0022068F"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8">
    <w:p w14:paraId="1D03D85D" w14:textId="5DC2CCCA" w:rsidR="0022068F" w:rsidRPr="00D96C63" w:rsidRDefault="0022068F"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19">
    <w:p w14:paraId="1F4971CD" w14:textId="77777777" w:rsidR="0022068F" w:rsidRPr="00E50FC8" w:rsidRDefault="0022068F"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0">
    <w:p w14:paraId="37901A83" w14:textId="77777777" w:rsidR="0022068F" w:rsidRPr="00C503D1" w:rsidRDefault="0022068F"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1">
    <w:p w14:paraId="2E55EC4E" w14:textId="77777777" w:rsidR="0022068F" w:rsidRPr="001D0A98" w:rsidRDefault="0022068F"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2">
    <w:p w14:paraId="31574893" w14:textId="77777777" w:rsidR="0022068F" w:rsidRPr="001D0A98" w:rsidRDefault="0022068F"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3">
    <w:p w14:paraId="7C87F9E1" w14:textId="77777777" w:rsidR="0022068F" w:rsidRPr="001D0A98" w:rsidRDefault="0022068F"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4">
    <w:p w14:paraId="078A1BB6" w14:textId="77777777" w:rsidR="0022068F" w:rsidRPr="00333E62" w:rsidRDefault="0022068F">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5">
    <w:p w14:paraId="5855C90B" w14:textId="77777777" w:rsidR="0022068F" w:rsidRPr="008D4D24" w:rsidRDefault="0022068F"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6">
    <w:p w14:paraId="6E0E801D" w14:textId="77777777" w:rsidR="0022068F" w:rsidRPr="008D4D24" w:rsidRDefault="0022068F"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7">
    <w:p w14:paraId="3D55BF90" w14:textId="77777777" w:rsidR="0022068F" w:rsidRPr="008D4D24" w:rsidRDefault="0022068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8">
    <w:p w14:paraId="1DA2C7DD" w14:textId="77777777" w:rsidR="0022068F" w:rsidRPr="008D4D24" w:rsidRDefault="0022068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29">
    <w:p w14:paraId="08DA26E1" w14:textId="77777777" w:rsidR="0022068F" w:rsidRPr="008D4D24" w:rsidRDefault="0022068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0">
    <w:p w14:paraId="3412450E" w14:textId="77777777" w:rsidR="0022068F" w:rsidRPr="008D4D24" w:rsidRDefault="0022068F"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1">
    <w:p w14:paraId="3BEFF038" w14:textId="77777777" w:rsidR="0022068F" w:rsidRPr="008D4D24" w:rsidRDefault="0022068F"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2">
    <w:p w14:paraId="7EDF6EC7" w14:textId="77777777" w:rsidR="0022068F" w:rsidRPr="008D4D24" w:rsidRDefault="0022068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3">
    <w:p w14:paraId="3E05204C" w14:textId="77777777" w:rsidR="0022068F" w:rsidRDefault="0022068F"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4">
    <w:p w14:paraId="5CA9D1B6" w14:textId="77777777" w:rsidR="0022068F" w:rsidRPr="00E95257" w:rsidRDefault="0022068F"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5">
    <w:p w14:paraId="79DF120C" w14:textId="77777777" w:rsidR="0022068F" w:rsidRPr="00956F72" w:rsidRDefault="0022068F"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6">
    <w:p w14:paraId="7DC45BE1" w14:textId="77777777" w:rsidR="0022068F" w:rsidRPr="0046436C" w:rsidRDefault="0022068F"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7">
    <w:p w14:paraId="7105BAF3" w14:textId="77777777" w:rsidR="0022068F" w:rsidRPr="00956F72" w:rsidRDefault="0022068F">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8">
    <w:p w14:paraId="03E1F1FE" w14:textId="77777777" w:rsidR="0022068F" w:rsidRPr="00956F72" w:rsidRDefault="0022068F"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39">
    <w:p w14:paraId="0E0D5E8A" w14:textId="77777777" w:rsidR="0022068F" w:rsidRPr="00956F72" w:rsidRDefault="0022068F"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0">
    <w:p w14:paraId="24730688" w14:textId="3E45E4A1" w:rsidR="0022068F" w:rsidRPr="00E95257" w:rsidRDefault="0022068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1">
    <w:p w14:paraId="6BCE5277" w14:textId="1A60BA53" w:rsidR="0022068F" w:rsidRPr="00956F72" w:rsidRDefault="0022068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2">
    <w:p w14:paraId="31F08FA1" w14:textId="77777777" w:rsidR="0022068F" w:rsidRPr="00C503D1" w:rsidRDefault="0022068F"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 w:id="143">
    <w:p w14:paraId="19DD41D2" w14:textId="77777777" w:rsidR="0022068F" w:rsidRPr="00E91FA3" w:rsidRDefault="0022068F" w:rsidP="00E91FA3">
      <w:pPr>
        <w:jc w:val="both"/>
        <w:rPr>
          <w:rFonts w:ascii="Arial" w:eastAsia="Times New Roman" w:hAnsi="Arial"/>
          <w:sz w:val="16"/>
          <w:szCs w:val="20"/>
        </w:rPr>
      </w:pPr>
      <w:r w:rsidRPr="00741D13">
        <w:rPr>
          <w:vertAlign w:val="superscript"/>
        </w:rPr>
        <w:footnoteRef/>
      </w:r>
      <w:r>
        <w:t xml:space="preserve"> </w:t>
      </w:r>
      <w:r w:rsidRPr="00E91FA3">
        <w:rPr>
          <w:rFonts w:ascii="Arial" w:eastAsia="Times New Roman" w:hAnsi="Arial"/>
          <w:sz w:val="16"/>
          <w:szCs w:val="20"/>
        </w:rPr>
        <w:t>§ 3 a § 21 zákona č. 575/2001 Z. z. o organizácii činnosti vlády a organizácii ústrednej štátnej správy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2068F" w:rsidRPr="00C63D2F" w14:paraId="21621D5A" w14:textId="77777777" w:rsidTr="00333E62">
      <w:trPr>
        <w:trHeight w:hRule="exact" w:val="284"/>
      </w:trPr>
      <w:tc>
        <w:tcPr>
          <w:tcW w:w="3794" w:type="dxa"/>
          <w:shd w:val="clear" w:color="auto" w:fill="auto"/>
        </w:tcPr>
        <w:p w14:paraId="4BFB61A5" w14:textId="77777777" w:rsidR="0022068F" w:rsidRPr="00DE0C72" w:rsidRDefault="0022068F"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22068F" w:rsidRPr="00DE0C72" w:rsidRDefault="0022068F" w:rsidP="001314C4">
          <w:pPr>
            <w:pStyle w:val="Hlavika"/>
            <w:ind w:left="142" w:hanging="142"/>
            <w:rPr>
              <w:rFonts w:cs="Calibri"/>
              <w:lang w:val="sk-SK"/>
            </w:rPr>
          </w:pPr>
        </w:p>
      </w:tc>
      <w:tc>
        <w:tcPr>
          <w:tcW w:w="2126" w:type="dxa"/>
          <w:shd w:val="clear" w:color="auto" w:fill="auto"/>
        </w:tcPr>
        <w:p w14:paraId="2D0C12E3" w14:textId="0E307412" w:rsidR="0022068F" w:rsidRPr="00DE0C72" w:rsidRDefault="0022068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r>
            <w:rPr>
              <w:rFonts w:cs="Calibri"/>
              <w:sz w:val="20"/>
              <w:lang w:val="sk-SK"/>
            </w:rPr>
            <w:t>4</w:t>
          </w:r>
        </w:p>
      </w:tc>
      <w:tc>
        <w:tcPr>
          <w:tcW w:w="3402" w:type="dxa"/>
          <w:shd w:val="clear" w:color="auto" w:fill="auto"/>
        </w:tcPr>
        <w:p w14:paraId="433D4A8F" w14:textId="2115A659" w:rsidR="0022068F" w:rsidRPr="00C63D2F" w:rsidRDefault="0022068F" w:rsidP="000177E4">
          <w:pPr>
            <w:pStyle w:val="Hlavika"/>
            <w:ind w:left="142" w:hanging="142"/>
            <w:jc w:val="right"/>
            <w:rPr>
              <w:rFonts w:cs="Calibri"/>
              <w:sz w:val="20"/>
              <w:lang w:val="sk-SK"/>
            </w:rPr>
          </w:pPr>
          <w:r w:rsidRPr="00C63D2F">
            <w:rPr>
              <w:rFonts w:cs="Calibri"/>
              <w:sz w:val="20"/>
              <w:lang w:val="sk-SK"/>
            </w:rPr>
            <w:t xml:space="preserve">Platnosť: </w:t>
          </w:r>
          <w:r w:rsidR="000177E4">
            <w:rPr>
              <w:rFonts w:cs="Calibri"/>
              <w:sz w:val="20"/>
              <w:lang w:val="sk-SK"/>
            </w:rPr>
            <w:t>17</w:t>
          </w:r>
          <w:r>
            <w:rPr>
              <w:rFonts w:cs="Calibri"/>
              <w:sz w:val="20"/>
              <w:lang w:val="sk-SK"/>
            </w:rPr>
            <w:t>.0</w:t>
          </w:r>
          <w:r w:rsidR="000177E4">
            <w:rPr>
              <w:rFonts w:cs="Calibri"/>
              <w:sz w:val="20"/>
              <w:lang w:val="sk-SK"/>
            </w:rPr>
            <w:t>6</w:t>
          </w:r>
          <w:r w:rsidRPr="00C63D2F">
            <w:rPr>
              <w:rFonts w:cs="Calibri"/>
              <w:sz w:val="20"/>
              <w:lang w:val="sk-SK"/>
            </w:rPr>
            <w:t>.20</w:t>
          </w:r>
          <w:r>
            <w:rPr>
              <w:rFonts w:cs="Calibri"/>
              <w:sz w:val="20"/>
              <w:lang w:val="sk-SK"/>
            </w:rPr>
            <w:t>22</w:t>
          </w:r>
        </w:p>
      </w:tc>
    </w:tr>
  </w:tbl>
  <w:p w14:paraId="4C0CD186" w14:textId="77777777" w:rsidR="0022068F" w:rsidRDefault="0022068F"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22068F" w:rsidRDefault="006D0DC3" w:rsidP="00741244">
    <w:pPr>
      <w:pStyle w:val="Hlavika"/>
      <w:jc w:val="center"/>
    </w:pPr>
    <w:r>
      <w:rPr>
        <w:noProof/>
        <w:lang w:val="sk-SK" w:eastAsia="sk-SK"/>
      </w:rPr>
      <w:pict w14:anchorId="3F5C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alt="" style="width:350.25pt;height:39.75pt;visibility:visible;mso-wrap-style:square;mso-width-percent:0;mso-height-percent:0;mso-width-percent:0;mso-height-percent:0" o:ole="">
          <v:imagedata r:id="rId1" o:title="logo OPII a MDV_ESIF_resize"/>
        </v:shape>
      </w:pict>
    </w:r>
  </w:p>
  <w:p w14:paraId="62FF39A1" w14:textId="77777777" w:rsidR="0022068F" w:rsidRPr="00EB7E61" w:rsidRDefault="0022068F"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22068F" w:rsidRDefault="0022068F">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22068F" w:rsidRPr="00CE29B4" w14:paraId="14120267" w14:textId="77777777" w:rsidTr="004E52D7">
      <w:trPr>
        <w:trHeight w:hRule="exact" w:val="284"/>
      </w:trPr>
      <w:tc>
        <w:tcPr>
          <w:tcW w:w="3794" w:type="dxa"/>
          <w:shd w:val="clear" w:color="auto" w:fill="auto"/>
        </w:tcPr>
        <w:p w14:paraId="1F88E9D4" w14:textId="77777777" w:rsidR="0022068F" w:rsidRPr="00DE0C72" w:rsidRDefault="0022068F"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22068F" w:rsidRPr="00DE0C72" w:rsidRDefault="0022068F" w:rsidP="004E52D7">
          <w:pPr>
            <w:pStyle w:val="Hlavika"/>
            <w:ind w:left="142" w:hanging="142"/>
            <w:rPr>
              <w:rFonts w:cs="Calibri"/>
              <w:lang w:val="sk-SK"/>
            </w:rPr>
          </w:pPr>
        </w:p>
      </w:tc>
      <w:tc>
        <w:tcPr>
          <w:tcW w:w="2126" w:type="dxa"/>
          <w:shd w:val="clear" w:color="auto" w:fill="auto"/>
        </w:tcPr>
        <w:p w14:paraId="4638A74B" w14:textId="569B6F69" w:rsidR="0022068F" w:rsidRPr="00DE0C72" w:rsidRDefault="0022068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sidR="000177E4">
            <w:rPr>
              <w:rFonts w:cs="Calibri"/>
              <w:sz w:val="20"/>
              <w:lang w:val="sk-SK"/>
            </w:rPr>
            <w:t>4</w:t>
          </w:r>
        </w:p>
      </w:tc>
      <w:tc>
        <w:tcPr>
          <w:tcW w:w="3402" w:type="dxa"/>
          <w:shd w:val="clear" w:color="auto" w:fill="auto"/>
        </w:tcPr>
        <w:p w14:paraId="0676BBDF" w14:textId="44B59CF6" w:rsidR="0022068F" w:rsidRPr="00DE0C72" w:rsidRDefault="0022068F" w:rsidP="000177E4">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1</w:t>
          </w:r>
          <w:r w:rsidR="000177E4">
            <w:rPr>
              <w:rFonts w:cs="Calibri"/>
              <w:sz w:val="20"/>
              <w:lang w:val="sk-SK"/>
            </w:rPr>
            <w:t>7</w:t>
          </w:r>
          <w:r w:rsidRPr="00814A0E">
            <w:rPr>
              <w:rFonts w:cs="Calibri"/>
              <w:sz w:val="20"/>
              <w:lang w:val="sk-SK"/>
            </w:rPr>
            <w:t>.</w:t>
          </w:r>
          <w:r>
            <w:rPr>
              <w:rFonts w:cs="Calibri"/>
              <w:sz w:val="20"/>
              <w:lang w:val="sk-SK"/>
            </w:rPr>
            <w:t>0</w:t>
          </w:r>
          <w:r w:rsidR="000177E4">
            <w:rPr>
              <w:rFonts w:cs="Calibri"/>
              <w:sz w:val="20"/>
              <w:lang w:val="sk-SK"/>
            </w:rPr>
            <w:t>6</w:t>
          </w:r>
          <w:r w:rsidRPr="00814A0E">
            <w:rPr>
              <w:rFonts w:cs="Calibri"/>
              <w:sz w:val="20"/>
              <w:lang w:val="sk-SK"/>
            </w:rPr>
            <w:t>.20</w:t>
          </w:r>
          <w:r>
            <w:rPr>
              <w:rFonts w:cs="Calibri"/>
              <w:sz w:val="20"/>
              <w:lang w:val="sk-SK"/>
            </w:rPr>
            <w:t>22</w:t>
          </w:r>
        </w:p>
      </w:tc>
    </w:tr>
  </w:tbl>
  <w:p w14:paraId="11F2D93A" w14:textId="77777777" w:rsidR="0022068F" w:rsidRDefault="0022068F"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7ED55F8"/>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1"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3"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D80158"/>
    <w:multiLevelType w:val="hybridMultilevel"/>
    <w:tmpl w:val="7062DB9A"/>
    <w:lvl w:ilvl="0" w:tplc="041B000F">
      <w:start w:val="1"/>
      <w:numFmt w:val="decimal"/>
      <w:lvlText w:val="%1."/>
      <w:lvlJc w:val="left"/>
      <w:pPr>
        <w:ind w:left="720" w:hanging="360"/>
      </w:pPr>
    </w:lvl>
    <w:lvl w:ilvl="1" w:tplc="4044BBF2">
      <w:start w:val="1"/>
      <w:numFmt w:val="lowerLetter"/>
      <w:lvlText w:val="%2)"/>
      <w:lvlJc w:val="left"/>
      <w:pPr>
        <w:ind w:left="785" w:hanging="360"/>
      </w:pPr>
      <w:rPr>
        <w:rFonts w:ascii="Times New Roman" w:eastAsia="Times New Roman" w:hAnsi="Times New Roman" w:cs="Times New Roman"/>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0"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1" w15:restartNumberingAfterBreak="0">
    <w:nsid w:val="6B0D2B1F"/>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4"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8"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101"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4"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82"/>
  </w:num>
  <w:num w:numId="5">
    <w:abstractNumId w:val="12"/>
  </w:num>
  <w:num w:numId="6">
    <w:abstractNumId w:val="81"/>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8"/>
  </w:num>
  <w:num w:numId="12">
    <w:abstractNumId w:val="92"/>
  </w:num>
  <w:num w:numId="13">
    <w:abstractNumId w:val="87"/>
  </w:num>
  <w:num w:numId="14">
    <w:abstractNumId w:val="102"/>
  </w:num>
  <w:num w:numId="15">
    <w:abstractNumId w:val="80"/>
  </w:num>
  <w:num w:numId="16">
    <w:abstractNumId w:val="41"/>
  </w:num>
  <w:num w:numId="17">
    <w:abstractNumId w:val="24"/>
  </w:num>
  <w:num w:numId="18">
    <w:abstractNumId w:val="8"/>
  </w:num>
  <w:num w:numId="19">
    <w:abstractNumId w:val="97"/>
  </w:num>
  <w:num w:numId="20">
    <w:abstractNumId w:val="51"/>
  </w:num>
  <w:num w:numId="21">
    <w:abstractNumId w:val="85"/>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9"/>
  </w:num>
  <w:num w:numId="39">
    <w:abstractNumId w:val="23"/>
  </w:num>
  <w:num w:numId="40">
    <w:abstractNumId w:val="52"/>
  </w:num>
  <w:num w:numId="41">
    <w:abstractNumId w:val="101"/>
  </w:num>
  <w:num w:numId="42">
    <w:abstractNumId w:val="71"/>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7"/>
  </w:num>
  <w:num w:numId="46">
    <w:abstractNumId w:val="84"/>
  </w:num>
  <w:num w:numId="47">
    <w:abstractNumId w:val="86"/>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2"/>
  </w:num>
  <w:num w:numId="56">
    <w:abstractNumId w:val="68"/>
  </w:num>
  <w:num w:numId="57">
    <w:abstractNumId w:val="103"/>
  </w:num>
  <w:num w:numId="58">
    <w:abstractNumId w:val="60"/>
  </w:num>
  <w:num w:numId="59">
    <w:abstractNumId w:val="37"/>
  </w:num>
  <w:num w:numId="60">
    <w:abstractNumId w:val="15"/>
  </w:num>
  <w:num w:numId="61">
    <w:abstractNumId w:val="104"/>
  </w:num>
  <w:num w:numId="62">
    <w:abstractNumId w:val="32"/>
  </w:num>
  <w:num w:numId="63">
    <w:abstractNumId w:val="63"/>
  </w:num>
  <w:num w:numId="64">
    <w:abstractNumId w:val="50"/>
  </w:num>
  <w:num w:numId="65">
    <w:abstractNumId w:val="70"/>
  </w:num>
  <w:num w:numId="66">
    <w:abstractNumId w:val="5"/>
  </w:num>
  <w:num w:numId="67">
    <w:abstractNumId w:val="88"/>
  </w:num>
  <w:num w:numId="68">
    <w:abstractNumId w:val="55"/>
  </w:num>
  <w:num w:numId="69">
    <w:abstractNumId w:val="95"/>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90"/>
  </w:num>
  <w:num w:numId="78">
    <w:abstractNumId w:val="46"/>
  </w:num>
  <w:num w:numId="79">
    <w:abstractNumId w:val="7"/>
  </w:num>
  <w:num w:numId="80">
    <w:abstractNumId w:val="100"/>
  </w:num>
  <w:num w:numId="81">
    <w:abstractNumId w:val="79"/>
  </w:num>
  <w:num w:numId="82">
    <w:abstractNumId w:val="43"/>
  </w:num>
  <w:num w:numId="83">
    <w:abstractNumId w:val="58"/>
  </w:num>
  <w:num w:numId="84">
    <w:abstractNumId w:val="83"/>
  </w:num>
  <w:num w:numId="85">
    <w:abstractNumId w:val="3"/>
  </w:num>
  <w:num w:numId="86">
    <w:abstractNumId w:val="16"/>
  </w:num>
  <w:num w:numId="87">
    <w:abstractNumId w:val="74"/>
  </w:num>
  <w:num w:numId="88">
    <w:abstractNumId w:val="98"/>
  </w:num>
  <w:num w:numId="89">
    <w:abstractNumId w:val="94"/>
  </w:num>
  <w:num w:numId="90">
    <w:abstractNumId w:val="6"/>
  </w:num>
  <w:num w:numId="91">
    <w:abstractNumId w:val="13"/>
  </w:num>
  <w:num w:numId="92">
    <w:abstractNumId w:val="53"/>
  </w:num>
  <w:num w:numId="93">
    <w:abstractNumId w:val="96"/>
  </w:num>
  <w:num w:numId="94">
    <w:abstractNumId w:val="69"/>
  </w:num>
  <w:num w:numId="95">
    <w:abstractNumId w:val="76"/>
  </w:num>
  <w:num w:numId="96">
    <w:abstractNumId w:val="28"/>
  </w:num>
  <w:num w:numId="97">
    <w:abstractNumId w:val="36"/>
  </w:num>
  <w:num w:numId="98">
    <w:abstractNumId w:val="99"/>
  </w:num>
  <w:num w:numId="99">
    <w:abstractNumId w:val="31"/>
  </w:num>
  <w:num w:numId="100">
    <w:abstractNumId w:val="26"/>
  </w:num>
  <w:num w:numId="101">
    <w:abstractNumId w:val="67"/>
  </w:num>
  <w:num w:numId="102">
    <w:abstractNumId w:val="91"/>
  </w:num>
  <w:num w:numId="103">
    <w:abstractNumId w:val="73"/>
  </w:num>
  <w:num w:numId="104">
    <w:abstractNumId w:val="7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7E4"/>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79D"/>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068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38B"/>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D7E6C"/>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DC3"/>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357"/>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612"/>
    <w:rsid w:val="00856AB1"/>
    <w:rsid w:val="0085749A"/>
    <w:rsid w:val="00860F79"/>
    <w:rsid w:val="00862BAC"/>
    <w:rsid w:val="00863A45"/>
    <w:rsid w:val="00863E7C"/>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2417"/>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28C"/>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A2C"/>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4AA"/>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5F62"/>
    <w:rsid w:val="00C964FF"/>
    <w:rsid w:val="00C966FA"/>
    <w:rsid w:val="00C97849"/>
    <w:rsid w:val="00CA004C"/>
    <w:rsid w:val="00CA020A"/>
    <w:rsid w:val="00CA08CE"/>
    <w:rsid w:val="00CA0FB4"/>
    <w:rsid w:val="00CA1385"/>
    <w:rsid w:val="00CA1691"/>
    <w:rsid w:val="00CA282A"/>
    <w:rsid w:val="00CA3D31"/>
    <w:rsid w:val="00CA4113"/>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1A11"/>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1FA3"/>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4CD0"/>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419"/>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employment.gov.s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partnerskadohoda.sk/"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opi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image" Target="media/image6.png"/><Relationship Id="rId32" Type="http://schemas.openxmlformats.org/officeDocument/2006/relationships/header" Target="header3.xm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s://www.opii.gov.sk/metodicke-dokumenty/prirucka-cba" TargetMode="External"/><Relationship Id="rId28" Type="http://schemas.openxmlformats.org/officeDocument/2006/relationships/hyperlink" Target="http://www.mindop.sk"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zbierka.sk/sk/predpisy/401-2012-z-z.p-34960.pdf" TargetMode="External"/><Relationship Id="rId30" Type="http://schemas.openxmlformats.org/officeDocument/2006/relationships/hyperlink" Target="http://www.eks.sk" TargetMode="External"/><Relationship Id="rId35" Type="http://schemas.openxmlformats.org/officeDocument/2006/relationships/hyperlink" Target="https://www.employment.gov.sk/sk/legislativa/pracovna-legislativ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D95D3-3EBD-4EB1-B517-E460E1FC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Pages>
  <Words>37908</Words>
  <Characters>216080</Characters>
  <Application>Microsoft Office Word</Application>
  <DocSecurity>0</DocSecurity>
  <Lines>1800</Lines>
  <Paragraphs>506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253482</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Uzivatel</cp:lastModifiedBy>
  <cp:revision>116</cp:revision>
  <cp:lastPrinted>2022-05-30T10:48:00Z</cp:lastPrinted>
  <dcterms:created xsi:type="dcterms:W3CDTF">2019-11-25T13:58:00Z</dcterms:created>
  <dcterms:modified xsi:type="dcterms:W3CDTF">2022-06-16T12:55:00Z</dcterms:modified>
</cp:coreProperties>
</file>