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2093F" w14:textId="77777777" w:rsidR="00E37C6C" w:rsidRPr="00DD6590" w:rsidRDefault="00E37C6C" w:rsidP="00E37C6C">
      <w:pPr>
        <w:pStyle w:val="Heading1"/>
      </w:pPr>
      <w:bookmarkStart w:id="0" w:name="_Toc9350259"/>
      <w:bookmarkStart w:id="1" w:name="_Toc1132682"/>
      <w:bookmarkStart w:id="2" w:name="_GoBack"/>
      <w:bookmarkEnd w:id="2"/>
      <w:r w:rsidRPr="00DD6590">
        <w:t>Prioritná os 2 – Cestná infraštruktúra (TEN-T CORE)</w:t>
      </w:r>
      <w:bookmarkEnd w:id="0"/>
      <w:r w:rsidRPr="00DD6590">
        <w:t xml:space="preserve"> </w:t>
      </w:r>
    </w:p>
    <w:p w14:paraId="4A397A25" w14:textId="0F66F5B9" w:rsidR="00E37C6C" w:rsidRPr="00DD6590" w:rsidRDefault="00686763" w:rsidP="00E37C6C">
      <w:pPr>
        <w:rPr>
          <w:szCs w:val="18"/>
        </w:rPr>
      </w:pPr>
      <w:r w:rsidRPr="00DD6590">
        <w:rPr>
          <w:szCs w:val="18"/>
        </w:rPr>
        <w:t xml:space="preserve">Cieľom prioritnej osi </w:t>
      </w:r>
      <w:r w:rsidR="00D0145C">
        <w:rPr>
          <w:szCs w:val="18"/>
        </w:rPr>
        <w:t>2</w:t>
      </w:r>
      <w:r w:rsidR="00D0145C" w:rsidRPr="00DD6590">
        <w:rPr>
          <w:szCs w:val="18"/>
        </w:rPr>
        <w:t xml:space="preserve"> </w:t>
      </w:r>
      <w:r w:rsidRPr="00DD6590">
        <w:rPr>
          <w:szCs w:val="18"/>
        </w:rPr>
        <w:t>je výstavba nových úsekov diaľnic a rýchlostných ciest</w:t>
      </w:r>
      <w:r w:rsidR="00D0145C">
        <w:rPr>
          <w:szCs w:val="18"/>
        </w:rPr>
        <w:t>.</w:t>
      </w:r>
      <w:r w:rsidRPr="00DD6590">
        <w:rPr>
          <w:szCs w:val="18"/>
        </w:rPr>
        <w:t xml:space="preserve"> </w:t>
      </w:r>
      <w:r w:rsidR="00D0145C">
        <w:rPr>
          <w:szCs w:val="18"/>
        </w:rPr>
        <w:t>T</w:t>
      </w:r>
      <w:r w:rsidRPr="00DD6590">
        <w:rPr>
          <w:szCs w:val="18"/>
        </w:rPr>
        <w:t>ieto novo</w:t>
      </w:r>
      <w:r w:rsidR="00A64CF0" w:rsidRPr="00DD6590">
        <w:rPr>
          <w:szCs w:val="18"/>
        </w:rPr>
        <w:t xml:space="preserve">vybudované </w:t>
      </w:r>
      <w:r w:rsidRPr="00DD6590">
        <w:rPr>
          <w:szCs w:val="18"/>
        </w:rPr>
        <w:t>úseky nahradia už v súčasnosti kapacitne a z pohľadu bezpečnosti nevyhovujúce cesty I. triedy</w:t>
      </w:r>
      <w:r w:rsidR="00E37C6C" w:rsidRPr="00DD6590">
        <w:rPr>
          <w:szCs w:val="18"/>
        </w:rPr>
        <w:t>.</w:t>
      </w:r>
      <w:r w:rsidRPr="00DD6590">
        <w:rPr>
          <w:szCs w:val="18"/>
        </w:rPr>
        <w:t xml:space="preserve"> Prioritným záujmom SR je výstavba tých úsekov diaľnic a rýchlostných ciest, absencia ktorých sa negatívne premieta v oblastiach hospodárstva, životného prostredia a ktoré tvoria prekážku v mobilite obyvateľstva, znižujú atraktivitu územia z pohľadu turizmu a prílevu investícií alebo významným spôsobom napomôžu zvýšiť bezpečnosť premávky.</w:t>
      </w:r>
    </w:p>
    <w:p w14:paraId="1A0FC97E" w14:textId="56639AAD" w:rsidR="00E37C6C" w:rsidRPr="00DD6590" w:rsidRDefault="00350A24" w:rsidP="00E37C6C">
      <w:pPr>
        <w:rPr>
          <w:szCs w:val="18"/>
        </w:rPr>
      </w:pPr>
      <w:r w:rsidRPr="00DD6590">
        <w:rPr>
          <w:szCs w:val="18"/>
        </w:rPr>
        <w:t>V rámci prioritnej osi 2 bol stanovený</w:t>
      </w:r>
      <w:r w:rsidR="00F25383" w:rsidRPr="00DD6590">
        <w:rPr>
          <w:szCs w:val="18"/>
        </w:rPr>
        <w:t xml:space="preserve"> jeden </w:t>
      </w:r>
      <w:r w:rsidR="00E37C6C" w:rsidRPr="00DD6590">
        <w:rPr>
          <w:szCs w:val="18"/>
        </w:rPr>
        <w:t>špecifick</w:t>
      </w:r>
      <w:r w:rsidR="00F25383" w:rsidRPr="00DD6590">
        <w:rPr>
          <w:szCs w:val="18"/>
        </w:rPr>
        <w:t>ý cieľ</w:t>
      </w:r>
      <w:r w:rsidR="00E37C6C" w:rsidRPr="00DD6590">
        <w:rPr>
          <w:szCs w:val="18"/>
        </w:rPr>
        <w:t>:</w:t>
      </w:r>
    </w:p>
    <w:p w14:paraId="6AB19766" w14:textId="5D410A21" w:rsidR="00E37C6C" w:rsidRPr="00DD6590" w:rsidRDefault="00F25383" w:rsidP="003E761D">
      <w:pPr>
        <w:pStyle w:val="ListParagraph"/>
        <w:numPr>
          <w:ilvl w:val="1"/>
          <w:numId w:val="33"/>
        </w:numPr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Odstránenie kľúčových úzkych miest na cestnej infraštruktúre TEN-T prostredníctvom výstavby  nových úsekov diaľnic a rýchlostných ciest</w:t>
      </w:r>
    </w:p>
    <w:p w14:paraId="3A0A1FD6" w14:textId="77777777" w:rsidR="00E37C6C" w:rsidRPr="00DD6590" w:rsidRDefault="000D67AE" w:rsidP="00E37C6C">
      <w:pPr>
        <w:rPr>
          <w:szCs w:val="18"/>
        </w:rPr>
      </w:pPr>
      <w:r w:rsidRPr="00DD6590">
        <w:rPr>
          <w:szCs w:val="18"/>
        </w:rPr>
        <w:t>Na úrovni PO2</w:t>
      </w:r>
      <w:r w:rsidR="00491526" w:rsidRPr="00DD6590">
        <w:rPr>
          <w:szCs w:val="18"/>
        </w:rPr>
        <w:t xml:space="preserve"> je stanovený výkon</w:t>
      </w:r>
      <w:r w:rsidR="00E37C6C" w:rsidRPr="00DD6590">
        <w:rPr>
          <w:szCs w:val="18"/>
        </w:rPr>
        <w:t>nostný rámec nasledovne:</w:t>
      </w:r>
    </w:p>
    <w:p w14:paraId="31743148" w14:textId="6ED08D51" w:rsidR="00E16394" w:rsidRPr="00DD6590" w:rsidRDefault="00E16394" w:rsidP="00E16394">
      <w:pPr>
        <w:pStyle w:val="Caption"/>
      </w:pPr>
      <w:bookmarkStart w:id="3" w:name="_Toc8805466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431E89">
        <w:rPr>
          <w:noProof/>
        </w:rPr>
        <w:t>1</w:t>
      </w:r>
      <w:r w:rsidRPr="00DD6590">
        <w:fldChar w:fldCharType="end"/>
      </w:r>
      <w:r w:rsidRPr="00DD6590">
        <w:t xml:space="preserve"> Výkonnostný rámec PO2</w:t>
      </w:r>
      <w:bookmarkEnd w:id="3"/>
    </w:p>
    <w:tbl>
      <w:tblPr>
        <w:tblStyle w:val="Svetlzoznamzvraznenie11"/>
        <w:tblW w:w="0" w:type="auto"/>
        <w:tblBorders>
          <w:top w:val="single" w:sz="4" w:space="0" w:color="86BC25" w:themeColor="accent1"/>
          <w:left w:val="single" w:sz="4" w:space="0" w:color="86BC25" w:themeColor="accent1"/>
          <w:bottom w:val="single" w:sz="4" w:space="0" w:color="86BC25" w:themeColor="accent1"/>
          <w:right w:val="single" w:sz="4" w:space="0" w:color="86BC25" w:themeColor="accent1"/>
          <w:insideH w:val="single" w:sz="4" w:space="0" w:color="86BC25" w:themeColor="accent1"/>
          <w:insideV w:val="single" w:sz="4" w:space="0" w:color="86BC25" w:themeColor="accent1"/>
        </w:tblBorders>
        <w:tblLook w:val="04A0" w:firstRow="1" w:lastRow="0" w:firstColumn="1" w:lastColumn="0" w:noHBand="0" w:noVBand="1"/>
      </w:tblPr>
      <w:tblGrid>
        <w:gridCol w:w="1804"/>
        <w:gridCol w:w="2577"/>
        <w:gridCol w:w="1184"/>
        <w:gridCol w:w="1768"/>
        <w:gridCol w:w="1741"/>
      </w:tblGrid>
      <w:tr w:rsidR="00E37C6C" w:rsidRPr="00DD6590" w14:paraId="2458AA5C" w14:textId="77777777" w:rsidTr="00E163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4" w:type="dxa"/>
          </w:tcPr>
          <w:p w14:paraId="51935725" w14:textId="77777777" w:rsidR="00E37C6C" w:rsidRPr="00DD6590" w:rsidRDefault="00E37C6C" w:rsidP="00BF7F3F">
            <w:pPr>
              <w:spacing w:before="0" w:line="240" w:lineRule="auto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Typ ukazovateľa</w:t>
            </w:r>
          </w:p>
        </w:tc>
        <w:tc>
          <w:tcPr>
            <w:tcW w:w="2577" w:type="dxa"/>
          </w:tcPr>
          <w:p w14:paraId="1C8304EE" w14:textId="77777777" w:rsidR="00E37C6C" w:rsidRPr="00DD6590" w:rsidRDefault="00E37C6C" w:rsidP="00BF7F3F">
            <w:pPr>
              <w:spacing w:before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Definícia ukazovateľa alebo implementačného kroku</w:t>
            </w:r>
          </w:p>
        </w:tc>
        <w:tc>
          <w:tcPr>
            <w:tcW w:w="1184" w:type="dxa"/>
          </w:tcPr>
          <w:p w14:paraId="6960D3CF" w14:textId="77777777" w:rsidR="00E37C6C" w:rsidRPr="00DD6590" w:rsidRDefault="00E37C6C" w:rsidP="00BF7F3F">
            <w:pPr>
              <w:spacing w:before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Merná jednotka</w:t>
            </w:r>
          </w:p>
        </w:tc>
        <w:tc>
          <w:tcPr>
            <w:tcW w:w="1768" w:type="dxa"/>
          </w:tcPr>
          <w:p w14:paraId="42AA92A0" w14:textId="77777777" w:rsidR="00E37C6C" w:rsidRPr="00DD6590" w:rsidRDefault="00E37C6C" w:rsidP="00BF7F3F">
            <w:pPr>
              <w:spacing w:before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Čiastkový cieľ pre rok 2018</w:t>
            </w:r>
          </w:p>
        </w:tc>
        <w:tc>
          <w:tcPr>
            <w:tcW w:w="1741" w:type="dxa"/>
          </w:tcPr>
          <w:p w14:paraId="24C7E994" w14:textId="77777777" w:rsidR="00E37C6C" w:rsidRPr="00DD6590" w:rsidRDefault="00E37C6C" w:rsidP="00BF7F3F">
            <w:pPr>
              <w:spacing w:before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Zámer</w:t>
            </w:r>
            <w:r w:rsidRPr="00DD6590">
              <w:rPr>
                <w:rStyle w:val="FootnoteReference"/>
                <w:rFonts w:asciiTheme="minorHAnsi" w:hAnsiTheme="minorHAnsi"/>
                <w:sz w:val="16"/>
                <w:szCs w:val="16"/>
              </w:rPr>
              <w:footnoteReference w:id="1"/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(2023)</w:t>
            </w:r>
          </w:p>
        </w:tc>
      </w:tr>
      <w:tr w:rsidR="00E37C6C" w:rsidRPr="00DD6590" w14:paraId="0C245EB2" w14:textId="77777777" w:rsidTr="00E163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4" w:type="dxa"/>
          </w:tcPr>
          <w:p w14:paraId="788C4BDB" w14:textId="77777777" w:rsidR="00E37C6C" w:rsidRPr="00DD6590" w:rsidRDefault="00E37C6C" w:rsidP="00D55683">
            <w:pPr>
              <w:spacing w:before="0" w:line="240" w:lineRule="auto"/>
              <w:jc w:val="left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Finančný ukazovateľ</w:t>
            </w:r>
          </w:p>
        </w:tc>
        <w:tc>
          <w:tcPr>
            <w:tcW w:w="2577" w:type="dxa"/>
          </w:tcPr>
          <w:p w14:paraId="394718DB" w14:textId="77777777" w:rsidR="00E37C6C" w:rsidRPr="00DD6590" w:rsidRDefault="00E37C6C" w:rsidP="00D55683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Celková suma oprávnených výdavkov po ich certifikácii certifikačným orgánom a predložení žiadostí o platby Európskej komisii</w:t>
            </w:r>
          </w:p>
        </w:tc>
        <w:tc>
          <w:tcPr>
            <w:tcW w:w="1184" w:type="dxa"/>
          </w:tcPr>
          <w:p w14:paraId="77914C9E" w14:textId="77777777" w:rsidR="00E37C6C" w:rsidRPr="00DD6590" w:rsidRDefault="00E37C6C" w:rsidP="00D55683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1768" w:type="dxa"/>
          </w:tcPr>
          <w:p w14:paraId="1C35390B" w14:textId="77777777" w:rsidR="00E37C6C" w:rsidRPr="00DD6590" w:rsidRDefault="000D67AE" w:rsidP="00D55683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470 441 177</w:t>
            </w:r>
          </w:p>
        </w:tc>
        <w:tc>
          <w:tcPr>
            <w:tcW w:w="1741" w:type="dxa"/>
          </w:tcPr>
          <w:p w14:paraId="40DA2759" w14:textId="77777777" w:rsidR="00E37C6C" w:rsidRPr="00DD6590" w:rsidRDefault="000D67AE" w:rsidP="00D55683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1 344 117 648</w:t>
            </w:r>
          </w:p>
        </w:tc>
      </w:tr>
      <w:tr w:rsidR="00E37C6C" w:rsidRPr="00DD6590" w14:paraId="6C1EF6E0" w14:textId="77777777" w:rsidTr="00E163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4" w:type="dxa"/>
          </w:tcPr>
          <w:p w14:paraId="6A519293" w14:textId="77777777" w:rsidR="00E37C6C" w:rsidRPr="00DD6590" w:rsidRDefault="00E37C6C" w:rsidP="00D55683">
            <w:pPr>
              <w:spacing w:before="0" w:line="240" w:lineRule="auto"/>
              <w:jc w:val="left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Výstupový ukazovateľ</w:t>
            </w:r>
          </w:p>
        </w:tc>
        <w:tc>
          <w:tcPr>
            <w:tcW w:w="2577" w:type="dxa"/>
          </w:tcPr>
          <w:p w14:paraId="56710F48" w14:textId="7BED6B22" w:rsidR="00E37C6C" w:rsidRPr="00DD6590" w:rsidRDefault="00E37C6C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Celková dĺžka </w:t>
            </w:r>
            <w:r w:rsidR="000D67AE" w:rsidRPr="00DD6590">
              <w:rPr>
                <w:rFonts w:asciiTheme="minorHAnsi" w:hAnsiTheme="minorHAnsi"/>
                <w:sz w:val="16"/>
                <w:szCs w:val="16"/>
              </w:rPr>
              <w:t>novovybudovaných ciest v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sieti TEN-T</w:t>
            </w:r>
          </w:p>
        </w:tc>
        <w:tc>
          <w:tcPr>
            <w:tcW w:w="1184" w:type="dxa"/>
          </w:tcPr>
          <w:p w14:paraId="4A641CFD" w14:textId="77777777" w:rsidR="00E37C6C" w:rsidRPr="00DD6590" w:rsidRDefault="00E37C6C" w:rsidP="00D55683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768" w:type="dxa"/>
          </w:tcPr>
          <w:p w14:paraId="7DB8FBF6" w14:textId="77777777" w:rsidR="00E37C6C" w:rsidRPr="00DD6590" w:rsidRDefault="000D67AE" w:rsidP="00D55683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16,6</w:t>
            </w:r>
          </w:p>
        </w:tc>
        <w:tc>
          <w:tcPr>
            <w:tcW w:w="1741" w:type="dxa"/>
          </w:tcPr>
          <w:p w14:paraId="3CA6F558" w14:textId="77777777" w:rsidR="00E37C6C" w:rsidRPr="00DD6590" w:rsidRDefault="000D67AE" w:rsidP="00D55683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111,7</w:t>
            </w:r>
          </w:p>
        </w:tc>
      </w:tr>
    </w:tbl>
    <w:p w14:paraId="7AF1DB45" w14:textId="77777777" w:rsidR="00DC7AC4" w:rsidRPr="00DD6590" w:rsidRDefault="000D67AE" w:rsidP="00B0035E">
      <w:pPr>
        <w:pStyle w:val="Heading2"/>
      </w:pPr>
      <w:bookmarkStart w:id="4" w:name="_Toc9350260"/>
      <w:r w:rsidRPr="00DD6590">
        <w:t>Špecifický cieľ 2</w:t>
      </w:r>
      <w:r w:rsidR="00E37C6C" w:rsidRPr="00DD6590">
        <w:t>.1</w:t>
      </w:r>
      <w:bookmarkEnd w:id="4"/>
      <w:r w:rsidR="00E37C6C" w:rsidRPr="00DD6590">
        <w:t xml:space="preserve"> </w:t>
      </w:r>
    </w:p>
    <w:p w14:paraId="2B75D57D" w14:textId="77777777" w:rsidR="00E37C6C" w:rsidRPr="00DD6590" w:rsidRDefault="00E37C6C" w:rsidP="00132576">
      <w:pPr>
        <w:spacing w:before="0" w:after="0"/>
        <w:rPr>
          <w:b/>
        </w:rPr>
      </w:pPr>
      <w:r w:rsidRPr="00DD6590">
        <w:rPr>
          <w:b/>
        </w:rPr>
        <w:t>Ods</w:t>
      </w:r>
      <w:r w:rsidR="000D67AE" w:rsidRPr="00DD6590">
        <w:rPr>
          <w:b/>
        </w:rPr>
        <w:t>tránenie kľúčových úzkych miest na cestnej infraštruktúre TEN-T prostredníctvom výstavby nových úsekov diaľnic a rýchlostných ciest</w:t>
      </w:r>
    </w:p>
    <w:p w14:paraId="628BD3C8" w14:textId="627B502D" w:rsidR="00E37C6C" w:rsidRPr="00DD6590" w:rsidRDefault="00926C2B" w:rsidP="00E37C6C">
      <w:pPr>
        <w:rPr>
          <w:szCs w:val="18"/>
        </w:rPr>
      </w:pPr>
      <w:r w:rsidRPr="00DD6590">
        <w:rPr>
          <w:szCs w:val="18"/>
        </w:rPr>
        <w:t xml:space="preserve">Očakávanými výsledkami </w:t>
      </w:r>
      <w:r w:rsidR="00E37C6C" w:rsidRPr="00DD6590">
        <w:rPr>
          <w:szCs w:val="18"/>
        </w:rPr>
        <w:t xml:space="preserve">implementácie ŠC </w:t>
      </w:r>
      <w:r w:rsidR="000D67AE" w:rsidRPr="00DD6590">
        <w:rPr>
          <w:szCs w:val="18"/>
        </w:rPr>
        <w:t>2</w:t>
      </w:r>
      <w:r w:rsidR="00E37C6C" w:rsidRPr="00DD6590">
        <w:rPr>
          <w:szCs w:val="18"/>
        </w:rPr>
        <w:t>.1 sú:</w:t>
      </w:r>
    </w:p>
    <w:p w14:paraId="2948826A" w14:textId="77777777" w:rsidR="000D67AE" w:rsidRPr="00DD6590" w:rsidRDefault="000D67AE" w:rsidP="003E761D">
      <w:pPr>
        <w:pStyle w:val="ListParagraph"/>
        <w:numPr>
          <w:ilvl w:val="0"/>
          <w:numId w:val="16"/>
        </w:numPr>
        <w:ind w:left="446"/>
        <w:contextualSpacing/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odstránenie kľúčových úzkych miest na sieti TEN-T, predovšetkým v úseku Žilina – Liptovský Mikuláš a Žilina – št. hr. SR/ČR a SR/PR,</w:t>
      </w:r>
    </w:p>
    <w:p w14:paraId="5DBFDF6B" w14:textId="77777777" w:rsidR="000D67AE" w:rsidRPr="00DD6590" w:rsidRDefault="000D67AE" w:rsidP="003E761D">
      <w:pPr>
        <w:pStyle w:val="ListParagraph"/>
        <w:numPr>
          <w:ilvl w:val="0"/>
          <w:numId w:val="16"/>
        </w:numPr>
        <w:ind w:left="446"/>
        <w:contextualSpacing/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zvýšenie bezpečnosti cestnej premávky, zníženie nehodovosti,</w:t>
      </w:r>
    </w:p>
    <w:p w14:paraId="24EAED94" w14:textId="77777777" w:rsidR="000D67AE" w:rsidRPr="00DD6590" w:rsidRDefault="000D67AE" w:rsidP="003E761D">
      <w:pPr>
        <w:pStyle w:val="ListParagraph"/>
        <w:numPr>
          <w:ilvl w:val="0"/>
          <w:numId w:val="16"/>
        </w:numPr>
        <w:ind w:left="446"/>
        <w:contextualSpacing/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zníženie hlukovej záťaže a emisií CO</w:t>
      </w:r>
      <w:r w:rsidRPr="00E96B75">
        <w:rPr>
          <w:rFonts w:asciiTheme="majorHAnsi" w:hAnsiTheme="majorHAnsi"/>
          <w:szCs w:val="18"/>
          <w:vertAlign w:val="subscript"/>
        </w:rPr>
        <w:t>2</w:t>
      </w:r>
      <w:r w:rsidRPr="00DD6590">
        <w:rPr>
          <w:rFonts w:asciiTheme="majorHAnsi" w:hAnsiTheme="majorHAnsi"/>
          <w:szCs w:val="18"/>
        </w:rPr>
        <w:t>, NO</w:t>
      </w:r>
      <w:r w:rsidRPr="00E96B75">
        <w:rPr>
          <w:rFonts w:asciiTheme="majorHAnsi" w:hAnsiTheme="majorHAnsi"/>
          <w:szCs w:val="18"/>
          <w:vertAlign w:val="subscript"/>
        </w:rPr>
        <w:t>2</w:t>
      </w:r>
      <w:r w:rsidRPr="00DD6590">
        <w:rPr>
          <w:rFonts w:asciiTheme="majorHAnsi" w:hAnsiTheme="majorHAnsi"/>
          <w:szCs w:val="18"/>
        </w:rPr>
        <w:t xml:space="preserve"> a PM</w:t>
      </w:r>
      <w:r w:rsidRPr="00E96B75">
        <w:rPr>
          <w:rFonts w:asciiTheme="majorHAnsi" w:hAnsiTheme="majorHAnsi"/>
          <w:szCs w:val="18"/>
          <w:vertAlign w:val="subscript"/>
        </w:rPr>
        <w:t>10</w:t>
      </w:r>
      <w:r w:rsidRPr="00DD6590">
        <w:rPr>
          <w:rFonts w:asciiTheme="majorHAnsi" w:hAnsiTheme="majorHAnsi"/>
          <w:szCs w:val="18"/>
        </w:rPr>
        <w:t xml:space="preserve"> v intraviláne miest a obcí,</w:t>
      </w:r>
    </w:p>
    <w:p w14:paraId="63A91B35" w14:textId="77777777" w:rsidR="000D67AE" w:rsidRPr="00DD6590" w:rsidRDefault="000D67AE" w:rsidP="003E761D">
      <w:pPr>
        <w:pStyle w:val="ListParagraph"/>
        <w:numPr>
          <w:ilvl w:val="0"/>
          <w:numId w:val="16"/>
        </w:numPr>
        <w:ind w:left="446"/>
        <w:contextualSpacing/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zníženie časových strát a úspora nákladov,</w:t>
      </w:r>
    </w:p>
    <w:p w14:paraId="6985B54A" w14:textId="77777777" w:rsidR="000D67AE" w:rsidRPr="00DD6590" w:rsidRDefault="000D67AE" w:rsidP="003E761D">
      <w:pPr>
        <w:pStyle w:val="ListParagraph"/>
        <w:numPr>
          <w:ilvl w:val="0"/>
          <w:numId w:val="16"/>
        </w:numPr>
        <w:ind w:left="446"/>
        <w:contextualSpacing/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poskytovanie dopravných informácií účastníkom cestnej premávky,</w:t>
      </w:r>
    </w:p>
    <w:p w14:paraId="4988CD72" w14:textId="77777777" w:rsidR="000D67AE" w:rsidRPr="00DD6590" w:rsidRDefault="000D67AE" w:rsidP="003E761D">
      <w:pPr>
        <w:pStyle w:val="ListParagraph"/>
        <w:numPr>
          <w:ilvl w:val="0"/>
          <w:numId w:val="16"/>
        </w:numPr>
        <w:ind w:left="446"/>
        <w:contextualSpacing/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zabezpečenie bezpečnej migrácie zveri,</w:t>
      </w:r>
    </w:p>
    <w:p w14:paraId="203E6808" w14:textId="77777777" w:rsidR="000D67AE" w:rsidRPr="00DD6590" w:rsidRDefault="000D67AE" w:rsidP="003E761D">
      <w:pPr>
        <w:pStyle w:val="ListParagraph"/>
        <w:numPr>
          <w:ilvl w:val="0"/>
          <w:numId w:val="16"/>
        </w:numPr>
        <w:ind w:left="446"/>
        <w:contextualSpacing/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 xml:space="preserve">vytváranie predpokladov pre zvýšenie </w:t>
      </w:r>
      <w:r w:rsidR="00491526" w:rsidRPr="00DD6590">
        <w:rPr>
          <w:rFonts w:asciiTheme="majorHAnsi" w:hAnsiTheme="majorHAnsi"/>
          <w:szCs w:val="18"/>
        </w:rPr>
        <w:t>konkurencieschopnosti</w:t>
      </w:r>
      <w:r w:rsidRPr="00DD6590">
        <w:rPr>
          <w:rFonts w:asciiTheme="majorHAnsi" w:hAnsiTheme="majorHAnsi"/>
          <w:szCs w:val="18"/>
        </w:rPr>
        <w:t xml:space="preserve"> regiónov, zlepšenie mobility obyvateľov a zvýšenie potenciálu rastu zamestnanosti. </w:t>
      </w:r>
    </w:p>
    <w:p w14:paraId="1529B7AD" w14:textId="5E33E8A4" w:rsidR="00E37C6C" w:rsidRPr="00DD6590" w:rsidRDefault="00E37C6C" w:rsidP="00E37C6C">
      <w:pPr>
        <w:ind w:left="90"/>
        <w:rPr>
          <w:szCs w:val="18"/>
        </w:rPr>
      </w:pPr>
      <w:r w:rsidRPr="00DD6590">
        <w:rPr>
          <w:szCs w:val="18"/>
        </w:rPr>
        <w:t>Výsledky projektov naplnia jed</w:t>
      </w:r>
      <w:r w:rsidR="00491526" w:rsidRPr="00DD6590">
        <w:rPr>
          <w:szCs w:val="18"/>
        </w:rPr>
        <w:t>no</w:t>
      </w:r>
      <w:r w:rsidRPr="00DD6590">
        <w:rPr>
          <w:szCs w:val="18"/>
        </w:rPr>
        <w:t>tlivé špecifické výsledkové a spoločné výstupové ukazovatele</w:t>
      </w:r>
      <w:r w:rsidR="006F1ED4">
        <w:rPr>
          <w:szCs w:val="18"/>
        </w:rPr>
        <w:t>.</w:t>
      </w:r>
    </w:p>
    <w:p w14:paraId="7C78273C" w14:textId="479A5C98" w:rsidR="00E16394" w:rsidRPr="00DD6590" w:rsidRDefault="00E16394" w:rsidP="00E16394">
      <w:pPr>
        <w:pStyle w:val="Caption"/>
      </w:pPr>
      <w:bookmarkStart w:id="5" w:name="_Toc8805467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431E89">
        <w:rPr>
          <w:noProof/>
        </w:rPr>
        <w:t>2</w:t>
      </w:r>
      <w:r w:rsidRPr="00DD6590">
        <w:fldChar w:fldCharType="end"/>
      </w:r>
      <w:r w:rsidRPr="00DD6590">
        <w:t xml:space="preserve"> </w:t>
      </w:r>
      <w:r w:rsidR="00BB0829" w:rsidRPr="00DD6590">
        <w:t>Výsledkové a výstupové u</w:t>
      </w:r>
      <w:r w:rsidRPr="00DD6590">
        <w:t>kazovatele PO2</w:t>
      </w:r>
      <w:bookmarkEnd w:id="5"/>
    </w:p>
    <w:tbl>
      <w:tblPr>
        <w:tblStyle w:val="Svetlzoznamzvraznenie11"/>
        <w:tblW w:w="0" w:type="auto"/>
        <w:jc w:val="center"/>
        <w:tblLook w:val="04A0" w:firstRow="1" w:lastRow="0" w:firstColumn="1" w:lastColumn="0" w:noHBand="0" w:noVBand="1"/>
      </w:tblPr>
      <w:tblGrid>
        <w:gridCol w:w="581"/>
        <w:gridCol w:w="2927"/>
        <w:gridCol w:w="1274"/>
        <w:gridCol w:w="1115"/>
        <w:gridCol w:w="1602"/>
        <w:gridCol w:w="1565"/>
      </w:tblGrid>
      <w:tr w:rsidR="00E37C6C" w:rsidRPr="00DD6590" w14:paraId="7BE171B5" w14:textId="77777777" w:rsidTr="00E163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28861C43" w14:textId="77777777" w:rsidR="00E37C6C" w:rsidRPr="00DD6590" w:rsidRDefault="00E37C6C" w:rsidP="00D55683">
            <w:pPr>
              <w:spacing w:before="0" w:line="240" w:lineRule="auto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P.č.</w:t>
            </w:r>
          </w:p>
        </w:tc>
        <w:tc>
          <w:tcPr>
            <w:tcW w:w="292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3BF70CBC" w14:textId="77777777" w:rsidR="00E37C6C" w:rsidRPr="00DD6590" w:rsidRDefault="00E37C6C" w:rsidP="00D55683">
            <w:pPr>
              <w:spacing w:before="0" w:line="24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Ukazovateľ </w:t>
            </w:r>
          </w:p>
        </w:tc>
        <w:tc>
          <w:tcPr>
            <w:tcW w:w="1274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FB04C56" w14:textId="77777777" w:rsidR="00E37C6C" w:rsidRPr="00DD6590" w:rsidRDefault="00E37C6C" w:rsidP="00D55683">
            <w:pPr>
              <w:spacing w:before="0" w:line="24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Typ </w:t>
            </w:r>
          </w:p>
        </w:tc>
        <w:tc>
          <w:tcPr>
            <w:tcW w:w="111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96D3004" w14:textId="77777777" w:rsidR="00E37C6C" w:rsidRPr="00DD6590" w:rsidRDefault="00E37C6C" w:rsidP="00D55683">
            <w:pPr>
              <w:spacing w:before="0" w:line="24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Merná jednotka</w:t>
            </w:r>
          </w:p>
        </w:tc>
        <w:tc>
          <w:tcPr>
            <w:tcW w:w="160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6CD8132B" w14:textId="77777777" w:rsidR="00E37C6C" w:rsidRPr="00DD6590" w:rsidRDefault="00E37C6C" w:rsidP="00D55683">
            <w:pPr>
              <w:spacing w:before="0" w:line="24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Východisková hodnota (2013)</w:t>
            </w:r>
          </w:p>
        </w:tc>
        <w:tc>
          <w:tcPr>
            <w:tcW w:w="1565" w:type="dxa"/>
            <w:tcBorders>
              <w:left w:val="single" w:sz="4" w:space="0" w:color="86BC25" w:themeColor="accent1"/>
            </w:tcBorders>
            <w:vAlign w:val="center"/>
          </w:tcPr>
          <w:p w14:paraId="3864536E" w14:textId="77777777" w:rsidR="00E37C6C" w:rsidRPr="00DD6590" w:rsidRDefault="00E37C6C" w:rsidP="00D55683">
            <w:pPr>
              <w:spacing w:before="0" w:line="24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Cieľová hodnota (2023)</w:t>
            </w:r>
          </w:p>
        </w:tc>
      </w:tr>
      <w:tr w:rsidR="00E37C6C" w:rsidRPr="00DD6590" w14:paraId="750E44B6" w14:textId="77777777" w:rsidTr="00E163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12D4294A" w14:textId="77777777" w:rsidR="00E37C6C" w:rsidRPr="00DD6590" w:rsidRDefault="00E37C6C" w:rsidP="00D55683">
            <w:pPr>
              <w:spacing w:before="0" w:line="240" w:lineRule="auto"/>
              <w:contextualSpacing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</w:t>
            </w:r>
          </w:p>
        </w:tc>
        <w:tc>
          <w:tcPr>
            <w:tcW w:w="292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040AB29" w14:textId="77777777" w:rsidR="00E37C6C" w:rsidRPr="00DD6590" w:rsidRDefault="00E37C6C" w:rsidP="00D55683">
            <w:pPr>
              <w:spacing w:before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Úspora času </w:t>
            </w:r>
            <w:r w:rsidR="00D16095" w:rsidRPr="00DD6590">
              <w:rPr>
                <w:rFonts w:asciiTheme="minorHAnsi" w:hAnsiTheme="minorHAnsi"/>
                <w:sz w:val="16"/>
                <w:szCs w:val="16"/>
              </w:rPr>
              <w:t>v cestnej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doprave na </w:t>
            </w:r>
            <w:r w:rsidR="00D16095" w:rsidRPr="00DD6590">
              <w:rPr>
                <w:rFonts w:asciiTheme="minorHAnsi" w:hAnsiTheme="minorHAnsi"/>
                <w:sz w:val="16"/>
                <w:szCs w:val="16"/>
              </w:rPr>
              <w:t>diaľniciach a rýchlostných cestách</w:t>
            </w:r>
          </w:p>
        </w:tc>
        <w:tc>
          <w:tcPr>
            <w:tcW w:w="1274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BF33555" w14:textId="77777777" w:rsidR="00E37C6C" w:rsidRPr="00DD6590" w:rsidRDefault="00E37C6C" w:rsidP="00D55683">
            <w:pPr>
              <w:spacing w:before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výsledkový </w:t>
            </w:r>
          </w:p>
        </w:tc>
        <w:tc>
          <w:tcPr>
            <w:tcW w:w="111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3C51FE62" w14:textId="77777777" w:rsidR="00E37C6C" w:rsidRPr="00DD6590" w:rsidRDefault="00E37C6C" w:rsidP="00D55683">
            <w:pPr>
              <w:spacing w:before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160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3098BCDC" w14:textId="77777777" w:rsidR="00E37C6C" w:rsidRPr="00DD6590" w:rsidRDefault="00D16095" w:rsidP="00D55683">
            <w:pPr>
              <w:spacing w:before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588 684 851</w:t>
            </w:r>
          </w:p>
        </w:tc>
        <w:tc>
          <w:tcPr>
            <w:tcW w:w="1565" w:type="dxa"/>
            <w:tcBorders>
              <w:left w:val="single" w:sz="4" w:space="0" w:color="86BC25" w:themeColor="accent1"/>
            </w:tcBorders>
            <w:vAlign w:val="center"/>
          </w:tcPr>
          <w:p w14:paraId="6E9213CB" w14:textId="77777777" w:rsidR="00E37C6C" w:rsidRPr="00DD6590" w:rsidRDefault="00D16095" w:rsidP="00D55683">
            <w:pPr>
              <w:spacing w:before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343 475 242</w:t>
            </w:r>
          </w:p>
        </w:tc>
      </w:tr>
      <w:tr w:rsidR="00E37C6C" w:rsidRPr="00DD6590" w14:paraId="520EA403" w14:textId="77777777" w:rsidTr="00E1639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3F6EDE99" w14:textId="77777777" w:rsidR="00E37C6C" w:rsidRPr="00DD6590" w:rsidRDefault="00E37C6C" w:rsidP="00D55683">
            <w:pPr>
              <w:spacing w:before="0" w:line="240" w:lineRule="auto"/>
              <w:contextualSpacing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lastRenderedPageBreak/>
              <w:t>2</w:t>
            </w:r>
          </w:p>
        </w:tc>
        <w:tc>
          <w:tcPr>
            <w:tcW w:w="292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B5E5D64" w14:textId="77777777" w:rsidR="00E37C6C" w:rsidRPr="00DD6590" w:rsidRDefault="00E37C6C" w:rsidP="00D55683">
            <w:pPr>
              <w:spacing w:before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Úspora produkcie emisií PM</w:t>
            </w:r>
            <w:r w:rsidRPr="00CB4784">
              <w:rPr>
                <w:sz w:val="16"/>
                <w:szCs w:val="16"/>
                <w:vertAlign w:val="subscript"/>
              </w:rPr>
              <w:t>10</w:t>
            </w:r>
            <w:r w:rsidRPr="00D0145C">
              <w:rPr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(vplyvom </w:t>
            </w:r>
            <w:r w:rsidR="00D16095" w:rsidRPr="00DD6590">
              <w:rPr>
                <w:rFonts w:asciiTheme="minorHAnsi" w:hAnsiTheme="minorHAnsi"/>
                <w:sz w:val="16"/>
                <w:szCs w:val="16"/>
              </w:rPr>
              <w:t>výstavby diaľnic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1274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E317596" w14:textId="77777777" w:rsidR="00E37C6C" w:rsidRPr="00DD6590" w:rsidRDefault="00E37C6C" w:rsidP="00D55683">
            <w:pPr>
              <w:spacing w:before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výsledkový</w:t>
            </w:r>
          </w:p>
        </w:tc>
        <w:tc>
          <w:tcPr>
            <w:tcW w:w="111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A78AE12" w14:textId="77777777" w:rsidR="00E37C6C" w:rsidRPr="00DD6590" w:rsidRDefault="00E37C6C" w:rsidP="00D55683">
            <w:pPr>
              <w:spacing w:before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tona</w:t>
            </w:r>
          </w:p>
        </w:tc>
        <w:tc>
          <w:tcPr>
            <w:tcW w:w="160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2BAB352" w14:textId="5E788C3B" w:rsidR="00E37C6C" w:rsidRPr="00DD6590" w:rsidRDefault="00D16095" w:rsidP="006D01E3">
            <w:pPr>
              <w:spacing w:before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30,</w:t>
            </w:r>
            <w:r w:rsidR="006D01E3" w:rsidRPr="00DD6590">
              <w:rPr>
                <w:rFonts w:asciiTheme="minorHAnsi" w:hAnsiTheme="minorHAnsi"/>
                <w:sz w:val="16"/>
                <w:szCs w:val="16"/>
              </w:rPr>
              <w:t>11</w:t>
            </w:r>
          </w:p>
        </w:tc>
        <w:tc>
          <w:tcPr>
            <w:tcW w:w="1565" w:type="dxa"/>
            <w:tcBorders>
              <w:left w:val="single" w:sz="4" w:space="0" w:color="86BC25" w:themeColor="accent1"/>
            </w:tcBorders>
            <w:vAlign w:val="center"/>
          </w:tcPr>
          <w:p w14:paraId="6F7E0EE7" w14:textId="77777777" w:rsidR="00E37C6C" w:rsidRPr="00DD6590" w:rsidRDefault="00D16095" w:rsidP="00D55683">
            <w:pPr>
              <w:spacing w:before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8,46</w:t>
            </w:r>
          </w:p>
        </w:tc>
      </w:tr>
      <w:tr w:rsidR="00E37C6C" w:rsidRPr="00DD6590" w14:paraId="1E5C9AB0" w14:textId="77777777" w:rsidTr="00E163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16B6D6BE" w14:textId="77777777" w:rsidR="00E37C6C" w:rsidRPr="00DD6590" w:rsidRDefault="00E37C6C" w:rsidP="00D55683">
            <w:pPr>
              <w:spacing w:before="0" w:line="240" w:lineRule="auto"/>
              <w:contextualSpacing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3</w:t>
            </w:r>
          </w:p>
        </w:tc>
        <w:tc>
          <w:tcPr>
            <w:tcW w:w="292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F58EDB8" w14:textId="77777777" w:rsidR="00E37C6C" w:rsidRPr="00DD6590" w:rsidRDefault="00E37C6C" w:rsidP="00D55683">
            <w:pPr>
              <w:spacing w:before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Úspora produkcie emisií  NO</w:t>
            </w:r>
            <w:r w:rsidRPr="00CB4784">
              <w:rPr>
                <w:sz w:val="16"/>
                <w:szCs w:val="16"/>
                <w:vertAlign w:val="subscript"/>
              </w:rPr>
              <w:t>2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(vplyvom </w:t>
            </w:r>
            <w:r w:rsidR="00D16095" w:rsidRPr="00DD6590">
              <w:rPr>
                <w:rFonts w:asciiTheme="minorHAnsi" w:hAnsiTheme="minorHAnsi"/>
                <w:sz w:val="16"/>
                <w:szCs w:val="16"/>
              </w:rPr>
              <w:t>výstavby diaľnic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1274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1A49C9D" w14:textId="77777777" w:rsidR="00E37C6C" w:rsidRPr="00DD6590" w:rsidRDefault="00E37C6C" w:rsidP="00D55683">
            <w:pPr>
              <w:spacing w:before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výsledkový</w:t>
            </w:r>
          </w:p>
        </w:tc>
        <w:tc>
          <w:tcPr>
            <w:tcW w:w="111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318F4BF" w14:textId="77777777" w:rsidR="00E37C6C" w:rsidRPr="00DD6590" w:rsidRDefault="00E37C6C" w:rsidP="00D55683">
            <w:pPr>
              <w:spacing w:before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tona</w:t>
            </w:r>
          </w:p>
        </w:tc>
        <w:tc>
          <w:tcPr>
            <w:tcW w:w="160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F7228B1" w14:textId="77777777" w:rsidR="00E37C6C" w:rsidRPr="00DD6590" w:rsidRDefault="00D16095" w:rsidP="00D55683">
            <w:pPr>
              <w:spacing w:before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129,18</w:t>
            </w:r>
          </w:p>
        </w:tc>
        <w:tc>
          <w:tcPr>
            <w:tcW w:w="1565" w:type="dxa"/>
            <w:tcBorders>
              <w:left w:val="single" w:sz="4" w:space="0" w:color="86BC25" w:themeColor="accent1"/>
            </w:tcBorders>
            <w:vAlign w:val="center"/>
          </w:tcPr>
          <w:p w14:paraId="798FD7F4" w14:textId="77777777" w:rsidR="00E37C6C" w:rsidRPr="00DD6590" w:rsidRDefault="00D16095" w:rsidP="00D55683">
            <w:pPr>
              <w:spacing w:before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33,02</w:t>
            </w:r>
          </w:p>
        </w:tc>
      </w:tr>
      <w:tr w:rsidR="00E37C6C" w:rsidRPr="00DD6590" w14:paraId="47734B12" w14:textId="77777777" w:rsidTr="00E1639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61A70CE8" w14:textId="77777777" w:rsidR="00E37C6C" w:rsidRPr="00DD6590" w:rsidRDefault="00E37C6C" w:rsidP="00D55683">
            <w:pPr>
              <w:spacing w:before="0" w:line="240" w:lineRule="auto"/>
              <w:contextualSpacing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4</w:t>
            </w:r>
          </w:p>
        </w:tc>
        <w:tc>
          <w:tcPr>
            <w:tcW w:w="292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60A6F83F" w14:textId="0870CDFF" w:rsidR="00E37C6C" w:rsidRPr="00DD6590" w:rsidRDefault="00E37C6C">
            <w:pPr>
              <w:spacing w:before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Celková dĺžka </w:t>
            </w:r>
            <w:r w:rsidR="00F153A6" w:rsidRPr="00DD6590">
              <w:rPr>
                <w:rFonts w:asciiTheme="minorHAnsi" w:hAnsiTheme="minorHAnsi"/>
                <w:sz w:val="16"/>
                <w:szCs w:val="16"/>
              </w:rPr>
              <w:t xml:space="preserve">novovybudovaných ciest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v sieti TEN-T </w:t>
            </w:r>
          </w:p>
        </w:tc>
        <w:tc>
          <w:tcPr>
            <w:tcW w:w="1274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08E6C2C" w14:textId="77777777" w:rsidR="00E37C6C" w:rsidRPr="00DD6590" w:rsidRDefault="00E37C6C" w:rsidP="00D55683">
            <w:pPr>
              <w:spacing w:before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výstupový</w:t>
            </w:r>
          </w:p>
        </w:tc>
        <w:tc>
          <w:tcPr>
            <w:tcW w:w="111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2D87AF2" w14:textId="77777777" w:rsidR="00E37C6C" w:rsidRPr="00DD6590" w:rsidRDefault="00E37C6C" w:rsidP="00D55683">
            <w:pPr>
              <w:spacing w:before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602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5F18122" w14:textId="77777777" w:rsidR="00E37C6C" w:rsidRPr="00DD6590" w:rsidRDefault="00E37C6C" w:rsidP="00D55683">
            <w:pPr>
              <w:spacing w:before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-</w:t>
            </w:r>
          </w:p>
        </w:tc>
        <w:tc>
          <w:tcPr>
            <w:tcW w:w="1565" w:type="dxa"/>
            <w:tcBorders>
              <w:left w:val="single" w:sz="4" w:space="0" w:color="86BC25" w:themeColor="accent1"/>
            </w:tcBorders>
            <w:vAlign w:val="center"/>
          </w:tcPr>
          <w:p w14:paraId="4CF3FE65" w14:textId="77777777" w:rsidR="00E37C6C" w:rsidRPr="00DD6590" w:rsidRDefault="00F153A6" w:rsidP="00D55683">
            <w:pPr>
              <w:spacing w:before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111,7</w:t>
            </w:r>
          </w:p>
        </w:tc>
      </w:tr>
    </w:tbl>
    <w:p w14:paraId="2D13DE56" w14:textId="77777777" w:rsidR="00A70055" w:rsidRPr="00DD6590" w:rsidRDefault="00A70055" w:rsidP="00A70055">
      <w:pPr>
        <w:ind w:left="90"/>
        <w:contextualSpacing/>
        <w:rPr>
          <w:szCs w:val="18"/>
        </w:rPr>
      </w:pPr>
    </w:p>
    <w:p w14:paraId="6E455930" w14:textId="77777777" w:rsidR="00E37C6C" w:rsidRPr="00DD6590" w:rsidRDefault="00621D34" w:rsidP="00A70055">
      <w:pPr>
        <w:ind w:left="90"/>
        <w:contextualSpacing/>
        <w:rPr>
          <w:szCs w:val="18"/>
        </w:rPr>
      </w:pPr>
      <w:r w:rsidRPr="00DD6590">
        <w:rPr>
          <w:szCs w:val="18"/>
        </w:rPr>
        <w:t>Napĺňanie</w:t>
      </w:r>
      <w:r w:rsidR="00E37C6C" w:rsidRPr="00DD6590">
        <w:rPr>
          <w:szCs w:val="18"/>
        </w:rPr>
        <w:t xml:space="preserve"> </w:t>
      </w:r>
      <w:r w:rsidRPr="00DD6590">
        <w:rPr>
          <w:szCs w:val="18"/>
        </w:rPr>
        <w:t>cieľov</w:t>
      </w:r>
      <w:r w:rsidR="00E37C6C" w:rsidRPr="00DD6590">
        <w:rPr>
          <w:szCs w:val="18"/>
        </w:rPr>
        <w:t xml:space="preserve"> sa realizuje prostredníctvom týchto aktivít:</w:t>
      </w:r>
    </w:p>
    <w:p w14:paraId="757B7F5E" w14:textId="6A9B711F" w:rsidR="00043CF2" w:rsidRPr="00DD6590" w:rsidRDefault="0016619E" w:rsidP="003E761D">
      <w:pPr>
        <w:pStyle w:val="ListParagraph"/>
        <w:numPr>
          <w:ilvl w:val="0"/>
          <w:numId w:val="17"/>
        </w:numPr>
        <w:contextualSpacing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>v</w:t>
      </w:r>
      <w:r w:rsidRPr="00DD6590">
        <w:rPr>
          <w:rFonts w:asciiTheme="majorHAnsi" w:hAnsiTheme="majorHAnsi"/>
          <w:szCs w:val="18"/>
        </w:rPr>
        <w:t xml:space="preserve">ýstavba </w:t>
      </w:r>
      <w:r w:rsidR="00491526" w:rsidRPr="00DD6590">
        <w:rPr>
          <w:rFonts w:asciiTheme="majorHAnsi" w:hAnsiTheme="majorHAnsi"/>
          <w:szCs w:val="18"/>
        </w:rPr>
        <w:t>diaľnic</w:t>
      </w:r>
      <w:r w:rsidR="00043CF2" w:rsidRPr="00DD6590">
        <w:rPr>
          <w:rFonts w:asciiTheme="majorHAnsi" w:hAnsiTheme="majorHAnsi"/>
          <w:szCs w:val="18"/>
        </w:rPr>
        <w:t xml:space="preserve"> a rýchlostných ciest vrátane privádzačov (TEN-T),</w:t>
      </w:r>
    </w:p>
    <w:p w14:paraId="1DD23FF2" w14:textId="684FA905" w:rsidR="00043CF2" w:rsidRPr="00DD6590" w:rsidRDefault="0016619E" w:rsidP="003E761D">
      <w:pPr>
        <w:pStyle w:val="ListParagraph"/>
        <w:numPr>
          <w:ilvl w:val="0"/>
          <w:numId w:val="17"/>
        </w:numPr>
        <w:contextualSpacing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>b</w:t>
      </w:r>
      <w:r w:rsidRPr="00DD6590">
        <w:rPr>
          <w:rFonts w:asciiTheme="majorHAnsi" w:hAnsiTheme="majorHAnsi"/>
          <w:szCs w:val="18"/>
        </w:rPr>
        <w:t xml:space="preserve">udovanie </w:t>
      </w:r>
      <w:r w:rsidR="00621D34" w:rsidRPr="00DD6590">
        <w:rPr>
          <w:rFonts w:asciiTheme="majorHAnsi" w:hAnsiTheme="majorHAnsi"/>
          <w:szCs w:val="18"/>
        </w:rPr>
        <w:t>inteligentných</w:t>
      </w:r>
      <w:r w:rsidR="00043CF2" w:rsidRPr="00DD6590">
        <w:rPr>
          <w:rFonts w:asciiTheme="majorHAnsi" w:hAnsiTheme="majorHAnsi"/>
          <w:szCs w:val="18"/>
        </w:rPr>
        <w:t xml:space="preserve"> dopravných systémov,</w:t>
      </w:r>
    </w:p>
    <w:p w14:paraId="25EBF810" w14:textId="53142132" w:rsidR="00621D34" w:rsidRPr="00DD6590" w:rsidRDefault="0016619E" w:rsidP="003E761D">
      <w:pPr>
        <w:pStyle w:val="ListParagraph"/>
        <w:numPr>
          <w:ilvl w:val="0"/>
          <w:numId w:val="17"/>
        </w:numPr>
        <w:contextualSpacing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>z</w:t>
      </w:r>
      <w:r w:rsidRPr="00DD6590">
        <w:rPr>
          <w:rFonts w:asciiTheme="majorHAnsi" w:hAnsiTheme="majorHAnsi"/>
          <w:szCs w:val="18"/>
        </w:rPr>
        <w:t xml:space="preserve">vyšovanie </w:t>
      </w:r>
      <w:r w:rsidR="00621D34" w:rsidRPr="00DD6590">
        <w:rPr>
          <w:rFonts w:asciiTheme="majorHAnsi" w:hAnsiTheme="majorHAnsi"/>
          <w:szCs w:val="18"/>
        </w:rPr>
        <w:t>bezpečnosti cestnej dopravy,</w:t>
      </w:r>
    </w:p>
    <w:p w14:paraId="68984CC9" w14:textId="464A6915" w:rsidR="00621D34" w:rsidRPr="00DD6590" w:rsidRDefault="0016619E" w:rsidP="003E761D">
      <w:pPr>
        <w:pStyle w:val="ListParagraph"/>
        <w:numPr>
          <w:ilvl w:val="0"/>
          <w:numId w:val="17"/>
        </w:numPr>
        <w:contextualSpacing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>p</w:t>
      </w:r>
      <w:r w:rsidRPr="00DD6590">
        <w:rPr>
          <w:rFonts w:asciiTheme="majorHAnsi" w:hAnsiTheme="majorHAnsi"/>
          <w:szCs w:val="18"/>
        </w:rPr>
        <w:t xml:space="preserve">rojektová </w:t>
      </w:r>
      <w:r w:rsidR="00621D34" w:rsidRPr="00DD6590">
        <w:rPr>
          <w:rFonts w:asciiTheme="majorHAnsi" w:hAnsiTheme="majorHAnsi"/>
          <w:szCs w:val="18"/>
        </w:rPr>
        <w:t>príprava.</w:t>
      </w:r>
    </w:p>
    <w:p w14:paraId="35C6A618" w14:textId="77777777" w:rsidR="00A70055" w:rsidRPr="00DD6590" w:rsidRDefault="00A70055" w:rsidP="00A70055">
      <w:pPr>
        <w:pStyle w:val="Heading1"/>
      </w:pPr>
      <w:bookmarkStart w:id="6" w:name="_Ref7527997"/>
      <w:bookmarkStart w:id="7" w:name="_Toc9350261"/>
      <w:r w:rsidRPr="00DD6590">
        <w:t>Výsledky analýzy Prioritnej osi 2 – Cestná infraštruktúra (TEN-T)</w:t>
      </w:r>
      <w:bookmarkEnd w:id="6"/>
      <w:bookmarkEnd w:id="7"/>
      <w:r w:rsidRPr="00DD6590">
        <w:t xml:space="preserve"> </w:t>
      </w:r>
    </w:p>
    <w:p w14:paraId="20DEAFDA" w14:textId="2FAE3661" w:rsidR="00A70055" w:rsidRPr="00DD6590" w:rsidRDefault="00A70055" w:rsidP="00A70055">
      <w:pPr>
        <w:pStyle w:val="06Normal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 xml:space="preserve">V hodnotenom období bolo v realizácii </w:t>
      </w:r>
      <w:r w:rsidR="00336C0D" w:rsidRPr="00DD6590">
        <w:rPr>
          <w:rFonts w:asciiTheme="minorHAnsi" w:hAnsiTheme="minorHAnsi"/>
          <w:szCs w:val="18"/>
        </w:rPr>
        <w:t>8</w:t>
      </w:r>
      <w:r w:rsidRPr="00DD6590">
        <w:rPr>
          <w:rFonts w:asciiTheme="minorHAnsi" w:hAnsiTheme="minorHAnsi"/>
          <w:szCs w:val="18"/>
        </w:rPr>
        <w:t xml:space="preserve"> projektov. Z celkovej alokácie prioritnej osi </w:t>
      </w:r>
      <w:r w:rsidR="00336C0D" w:rsidRPr="00DD6590">
        <w:rPr>
          <w:rFonts w:asciiTheme="minorHAnsi" w:hAnsiTheme="minorHAnsi"/>
          <w:szCs w:val="18"/>
        </w:rPr>
        <w:t>2</w:t>
      </w:r>
      <w:r w:rsidRPr="00DD6590">
        <w:rPr>
          <w:rFonts w:asciiTheme="minorHAnsi" w:hAnsiTheme="minorHAnsi"/>
          <w:szCs w:val="18"/>
        </w:rPr>
        <w:t xml:space="preserve"> (1 </w:t>
      </w:r>
      <w:r w:rsidR="00336C0D" w:rsidRPr="00DD6590">
        <w:rPr>
          <w:rFonts w:asciiTheme="minorHAnsi" w:hAnsiTheme="minorHAnsi"/>
          <w:szCs w:val="18"/>
        </w:rPr>
        <w:t>344</w:t>
      </w:r>
      <w:r w:rsidRPr="00DD6590">
        <w:rPr>
          <w:rFonts w:asciiTheme="minorHAnsi" w:hAnsiTheme="minorHAnsi"/>
          <w:szCs w:val="18"/>
        </w:rPr>
        <w:t xml:space="preserve"> mil. </w:t>
      </w:r>
      <w:r w:rsidR="00336C0D" w:rsidRPr="00DD6590">
        <w:rPr>
          <w:rFonts w:asciiTheme="minorHAnsi" w:hAnsiTheme="minorHAnsi"/>
          <w:szCs w:val="18"/>
        </w:rPr>
        <w:t>EUR</w:t>
      </w:r>
      <w:r w:rsidRPr="00DD6590">
        <w:rPr>
          <w:rFonts w:asciiTheme="minorHAnsi" w:hAnsiTheme="minorHAnsi"/>
          <w:szCs w:val="18"/>
        </w:rPr>
        <w:t>) bolo vyčerpaných</w:t>
      </w:r>
      <w:r w:rsidR="001A4DEE" w:rsidRPr="00DD6590">
        <w:rPr>
          <w:rFonts w:asciiTheme="minorHAnsi" w:hAnsiTheme="minorHAnsi"/>
          <w:szCs w:val="18"/>
        </w:rPr>
        <w:t xml:space="preserve"> </w:t>
      </w:r>
      <w:r w:rsidR="00336C0D" w:rsidRPr="00DD6590">
        <w:rPr>
          <w:rFonts w:asciiTheme="minorHAnsi" w:hAnsiTheme="minorHAnsi"/>
          <w:szCs w:val="18"/>
        </w:rPr>
        <w:t>63,05</w:t>
      </w:r>
      <w:r w:rsidR="00D0145C">
        <w:rPr>
          <w:rFonts w:asciiTheme="minorHAnsi" w:hAnsiTheme="minorHAnsi"/>
          <w:szCs w:val="18"/>
        </w:rPr>
        <w:t> </w:t>
      </w:r>
      <w:r w:rsidRPr="00DD6590">
        <w:rPr>
          <w:rFonts w:asciiTheme="minorHAnsi" w:hAnsiTheme="minorHAnsi"/>
          <w:szCs w:val="18"/>
        </w:rPr>
        <w:t xml:space="preserve">% a zakontrahovaných </w:t>
      </w:r>
      <w:r w:rsidR="0017585F" w:rsidRPr="00DD6590">
        <w:rPr>
          <w:rFonts w:asciiTheme="minorHAnsi" w:hAnsiTheme="minorHAnsi"/>
          <w:szCs w:val="18"/>
        </w:rPr>
        <w:t>115,10</w:t>
      </w:r>
      <w:r w:rsidR="00D0145C">
        <w:rPr>
          <w:rFonts w:asciiTheme="minorHAnsi" w:hAnsiTheme="minorHAnsi"/>
          <w:szCs w:val="18"/>
        </w:rPr>
        <w:t> </w:t>
      </w:r>
      <w:r w:rsidRPr="00DD6590">
        <w:rPr>
          <w:rFonts w:asciiTheme="minorHAnsi" w:hAnsiTheme="minorHAnsi"/>
          <w:szCs w:val="18"/>
        </w:rPr>
        <w:t>%. Prijímateľom v rámci PO2 je Národná diaľničná spoločnosť, a.s. (NDS).</w:t>
      </w:r>
      <w:r w:rsidR="00BF7F3F" w:rsidRPr="00DD6590">
        <w:rPr>
          <w:rFonts w:asciiTheme="minorHAnsi" w:hAnsiTheme="minorHAnsi"/>
          <w:szCs w:val="18"/>
        </w:rPr>
        <w:t xml:space="preserve"> </w:t>
      </w:r>
      <w:r w:rsidR="001A4DEE" w:rsidRPr="00DD6590">
        <w:rPr>
          <w:rFonts w:asciiTheme="minorHAnsi" w:hAnsiTheme="minorHAnsi"/>
          <w:szCs w:val="18"/>
        </w:rPr>
        <w:t>Certifikované výdavky</w:t>
      </w:r>
      <w:r w:rsidR="008159D8" w:rsidRPr="00DD6590">
        <w:rPr>
          <w:rFonts w:asciiTheme="minorHAnsi" w:hAnsiTheme="minorHAnsi"/>
          <w:szCs w:val="18"/>
        </w:rPr>
        <w:t xml:space="preserve"> k 31.</w:t>
      </w:r>
      <w:r w:rsidR="00D0145C">
        <w:rPr>
          <w:rFonts w:asciiTheme="minorHAnsi" w:hAnsiTheme="minorHAnsi"/>
          <w:szCs w:val="18"/>
        </w:rPr>
        <w:t> </w:t>
      </w:r>
      <w:r w:rsidR="008159D8" w:rsidRPr="00DD6590">
        <w:rPr>
          <w:rFonts w:asciiTheme="minorHAnsi" w:hAnsiTheme="minorHAnsi"/>
          <w:szCs w:val="18"/>
        </w:rPr>
        <w:t>12.</w:t>
      </w:r>
      <w:r w:rsidR="00D0145C">
        <w:rPr>
          <w:rFonts w:asciiTheme="minorHAnsi" w:hAnsiTheme="minorHAnsi"/>
          <w:szCs w:val="18"/>
        </w:rPr>
        <w:t> </w:t>
      </w:r>
      <w:r w:rsidR="008159D8" w:rsidRPr="00DD6590">
        <w:rPr>
          <w:rFonts w:asciiTheme="minorHAnsi" w:hAnsiTheme="minorHAnsi"/>
          <w:szCs w:val="18"/>
        </w:rPr>
        <w:t>2018</w:t>
      </w:r>
      <w:r w:rsidR="001A4DEE" w:rsidRPr="00DD6590">
        <w:rPr>
          <w:rFonts w:asciiTheme="minorHAnsi" w:hAnsiTheme="minorHAnsi"/>
          <w:szCs w:val="18"/>
        </w:rPr>
        <w:t xml:space="preserve"> boli vo výške 673</w:t>
      </w:r>
      <w:r w:rsidR="00D0145C">
        <w:rPr>
          <w:rFonts w:asciiTheme="minorHAnsi" w:hAnsiTheme="minorHAnsi"/>
          <w:szCs w:val="18"/>
        </w:rPr>
        <w:t> </w:t>
      </w:r>
      <w:r w:rsidR="001A4DEE" w:rsidRPr="00DD6590">
        <w:rPr>
          <w:rFonts w:asciiTheme="minorHAnsi" w:hAnsiTheme="minorHAnsi"/>
          <w:szCs w:val="18"/>
        </w:rPr>
        <w:t>665 846 EUR (EÚ zdroje), čo predstavuje 58,96</w:t>
      </w:r>
      <w:r w:rsidR="00D0145C">
        <w:rPr>
          <w:rFonts w:asciiTheme="minorHAnsi" w:hAnsiTheme="minorHAnsi"/>
          <w:szCs w:val="18"/>
        </w:rPr>
        <w:t> </w:t>
      </w:r>
      <w:r w:rsidR="001A4DEE" w:rsidRPr="00DD6590">
        <w:rPr>
          <w:rFonts w:asciiTheme="minorHAnsi" w:hAnsiTheme="minorHAnsi"/>
          <w:szCs w:val="18"/>
        </w:rPr>
        <w:t>%</w:t>
      </w:r>
      <w:r w:rsidR="00B91705" w:rsidRPr="00DD6590">
        <w:rPr>
          <w:rFonts w:asciiTheme="minorHAnsi" w:hAnsiTheme="minorHAnsi"/>
          <w:szCs w:val="18"/>
        </w:rPr>
        <w:t xml:space="preserve"> alokácie PO</w:t>
      </w:r>
      <w:r w:rsidR="008159D8" w:rsidRPr="00DD6590">
        <w:rPr>
          <w:rFonts w:asciiTheme="minorHAnsi" w:hAnsiTheme="minorHAnsi"/>
          <w:szCs w:val="18"/>
        </w:rPr>
        <w:t>2</w:t>
      </w:r>
      <w:r w:rsidR="001A4DEE" w:rsidRPr="00DD6590">
        <w:rPr>
          <w:rFonts w:asciiTheme="minorHAnsi" w:hAnsiTheme="minorHAnsi"/>
          <w:szCs w:val="18"/>
        </w:rPr>
        <w:t>.</w:t>
      </w:r>
    </w:p>
    <w:p w14:paraId="1A0CFC77" w14:textId="14389268" w:rsidR="00A70055" w:rsidRPr="00DD6590" w:rsidRDefault="00A70055" w:rsidP="00A70055">
      <w:pPr>
        <w:pStyle w:val="06Normal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Pri dvoch projektoch je ukončená fyzická realizácia avšak ešte nie sú administratívne vysporiadané. Pri týchto projektoch zatiaľ došlo k úspore finančných prostriedkov</w:t>
      </w:r>
      <w:r w:rsidR="00A64CF0" w:rsidRPr="00DD6590">
        <w:rPr>
          <w:rFonts w:asciiTheme="minorHAnsi" w:hAnsiTheme="minorHAnsi"/>
          <w:szCs w:val="18"/>
        </w:rPr>
        <w:t xml:space="preserve"> vo výške</w:t>
      </w:r>
      <w:r w:rsidRPr="00DD6590">
        <w:rPr>
          <w:rFonts w:asciiTheme="minorHAnsi" w:hAnsiTheme="minorHAnsi"/>
          <w:szCs w:val="18"/>
        </w:rPr>
        <w:t xml:space="preserve"> 13 mil. EUR </w:t>
      </w:r>
      <w:r w:rsidR="00A64CF0" w:rsidRPr="00DD6590">
        <w:rPr>
          <w:rFonts w:asciiTheme="minorHAnsi" w:hAnsiTheme="minorHAnsi"/>
          <w:szCs w:val="18"/>
        </w:rPr>
        <w:t>(</w:t>
      </w:r>
      <w:r w:rsidRPr="00DD6590">
        <w:rPr>
          <w:rFonts w:asciiTheme="minorHAnsi" w:hAnsiTheme="minorHAnsi"/>
          <w:szCs w:val="18"/>
        </w:rPr>
        <w:t xml:space="preserve">EÚ </w:t>
      </w:r>
      <w:r w:rsidR="007D58A7" w:rsidRPr="00DD6590">
        <w:rPr>
          <w:rFonts w:asciiTheme="minorHAnsi" w:hAnsiTheme="minorHAnsi"/>
          <w:szCs w:val="18"/>
        </w:rPr>
        <w:t>zdroje</w:t>
      </w:r>
      <w:r w:rsidR="00A64CF0" w:rsidRPr="00DD6590">
        <w:rPr>
          <w:rFonts w:asciiTheme="minorHAnsi" w:hAnsiTheme="minorHAnsi"/>
          <w:szCs w:val="18"/>
        </w:rPr>
        <w:t>) z dôvodu nedočerpania NFP</w:t>
      </w:r>
      <w:r w:rsidRPr="00DD6590">
        <w:rPr>
          <w:rFonts w:asciiTheme="minorHAnsi" w:hAnsiTheme="minorHAnsi"/>
          <w:szCs w:val="18"/>
        </w:rPr>
        <w:t xml:space="preserve">.  </w:t>
      </w:r>
    </w:p>
    <w:p w14:paraId="7F3E1288" w14:textId="4DC77D93" w:rsidR="00A70055" w:rsidRPr="00DD6590" w:rsidRDefault="00A70055" w:rsidP="00A70055">
      <w:pPr>
        <w:pStyle w:val="06Normal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V rámci prioritnej osi sú zazmluvnené projekty aj nad rámec alokácie</w:t>
      </w:r>
      <w:r w:rsidR="00D0145C">
        <w:rPr>
          <w:rFonts w:asciiTheme="minorHAnsi" w:hAnsiTheme="minorHAnsi"/>
          <w:szCs w:val="18"/>
        </w:rPr>
        <w:t>.</w:t>
      </w:r>
      <w:r w:rsidRPr="00DD6590">
        <w:rPr>
          <w:rFonts w:asciiTheme="minorHAnsi" w:hAnsiTheme="minorHAnsi"/>
          <w:szCs w:val="18"/>
        </w:rPr>
        <w:t xml:space="preserve"> </w:t>
      </w:r>
      <w:r w:rsidR="00D0145C">
        <w:rPr>
          <w:rFonts w:asciiTheme="minorHAnsi" w:hAnsiTheme="minorHAnsi"/>
          <w:szCs w:val="18"/>
        </w:rPr>
        <w:t>R</w:t>
      </w:r>
      <w:r w:rsidRPr="00DD6590">
        <w:rPr>
          <w:rFonts w:asciiTheme="minorHAnsi" w:hAnsiTheme="minorHAnsi"/>
          <w:szCs w:val="18"/>
        </w:rPr>
        <w:t>ealizáciou týchto projektov</w:t>
      </w:r>
      <w:r w:rsidR="00D0145C">
        <w:rPr>
          <w:rFonts w:asciiTheme="minorHAnsi" w:hAnsiTheme="minorHAnsi"/>
          <w:szCs w:val="18"/>
        </w:rPr>
        <w:t xml:space="preserve"> však</w:t>
      </w:r>
      <w:r w:rsidRPr="00DD6590">
        <w:rPr>
          <w:rFonts w:asciiTheme="minorHAnsi" w:hAnsiTheme="minorHAnsi"/>
          <w:szCs w:val="18"/>
        </w:rPr>
        <w:t xml:space="preserve"> nedôjde k naplneniu výstupového ukazovateľa výkonnostného rámca – Celková dĺžka novovybudovaných ciest v sieti TEN-T, ktorý bude naplnený len na </w:t>
      </w:r>
      <w:r w:rsidR="00B7473F" w:rsidRPr="00DD6590">
        <w:rPr>
          <w:rFonts w:asciiTheme="minorHAnsi" w:hAnsiTheme="minorHAnsi"/>
          <w:szCs w:val="18"/>
        </w:rPr>
        <w:t>86,2</w:t>
      </w:r>
      <w:r w:rsidR="007D58A7" w:rsidRPr="00DD6590">
        <w:rPr>
          <w:rFonts w:asciiTheme="minorHAnsi" w:hAnsiTheme="minorHAnsi"/>
          <w:szCs w:val="18"/>
        </w:rPr>
        <w:t>0</w:t>
      </w:r>
      <w:r w:rsidR="00D0145C">
        <w:rPr>
          <w:rFonts w:asciiTheme="minorHAnsi" w:hAnsiTheme="minorHAnsi"/>
          <w:szCs w:val="18"/>
        </w:rPr>
        <w:t> </w:t>
      </w:r>
      <w:r w:rsidRPr="00DD6590">
        <w:rPr>
          <w:rFonts w:asciiTheme="minorHAnsi" w:hAnsiTheme="minorHAnsi"/>
          <w:szCs w:val="18"/>
        </w:rPr>
        <w:t xml:space="preserve">%. </w:t>
      </w:r>
      <w:r w:rsidR="007D58A7" w:rsidRPr="00DD6590">
        <w:rPr>
          <w:rFonts w:asciiTheme="minorHAnsi" w:hAnsiTheme="minorHAnsi"/>
          <w:szCs w:val="18"/>
        </w:rPr>
        <w:t>Prijímateľ NDS plánuje predložiť projekt</w:t>
      </w:r>
      <w:r w:rsidR="007D58A7" w:rsidRPr="00DD6590">
        <w:t xml:space="preserve"> </w:t>
      </w:r>
      <w:r w:rsidR="00D0145C">
        <w:t>„</w:t>
      </w:r>
      <w:r w:rsidR="007D58A7" w:rsidRPr="00DD6590">
        <w:rPr>
          <w:rFonts w:asciiTheme="minorHAnsi" w:hAnsiTheme="minorHAnsi"/>
          <w:szCs w:val="18"/>
        </w:rPr>
        <w:t>D1 Hubová – Ivachnová (2. fáza)</w:t>
      </w:r>
      <w:r w:rsidR="00D0145C">
        <w:rPr>
          <w:rFonts w:asciiTheme="minorHAnsi" w:hAnsiTheme="minorHAnsi"/>
          <w:szCs w:val="18"/>
        </w:rPr>
        <w:t>“</w:t>
      </w:r>
      <w:r w:rsidR="007D58A7" w:rsidRPr="00DD6590">
        <w:rPr>
          <w:rFonts w:asciiTheme="minorHAnsi" w:hAnsiTheme="minorHAnsi"/>
          <w:szCs w:val="18"/>
        </w:rPr>
        <w:t>, ktorým by sa tento ukazovateľ naplnil na 100</w:t>
      </w:r>
      <w:r w:rsidR="00D0145C">
        <w:rPr>
          <w:rFonts w:asciiTheme="minorHAnsi" w:hAnsiTheme="minorHAnsi"/>
          <w:szCs w:val="18"/>
        </w:rPr>
        <w:t> </w:t>
      </w:r>
      <w:r w:rsidR="007D58A7" w:rsidRPr="00DD6590">
        <w:rPr>
          <w:rFonts w:asciiTheme="minorHAnsi" w:hAnsiTheme="minorHAnsi"/>
          <w:szCs w:val="18"/>
        </w:rPr>
        <w:t>%.</w:t>
      </w:r>
    </w:p>
    <w:p w14:paraId="0B59D92E" w14:textId="780E8416" w:rsidR="00A70055" w:rsidRPr="00DD6590" w:rsidRDefault="00A70055" w:rsidP="00A70055">
      <w:pPr>
        <w:pStyle w:val="06Normal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V rámci vyhodnotenia ukazovateľov pri plánovaných projektoch a vyhodnotenia skutočného stavu realizácie prebiehajúcich projektov bol projektový</w:t>
      </w:r>
      <w:r w:rsidR="00D0145C">
        <w:rPr>
          <w:rFonts w:asciiTheme="minorHAnsi" w:hAnsiTheme="minorHAnsi"/>
          <w:szCs w:val="18"/>
        </w:rPr>
        <w:t>m</w:t>
      </w:r>
      <w:r w:rsidRPr="00DD6590">
        <w:rPr>
          <w:rFonts w:asciiTheme="minorHAnsi" w:hAnsiTheme="minorHAnsi"/>
          <w:szCs w:val="18"/>
        </w:rPr>
        <w:t xml:space="preserve"> manažéro</w:t>
      </w:r>
      <w:r w:rsidR="00D0145C">
        <w:rPr>
          <w:rFonts w:asciiTheme="minorHAnsi" w:hAnsiTheme="minorHAnsi"/>
          <w:szCs w:val="18"/>
        </w:rPr>
        <w:t>m</w:t>
      </w:r>
      <w:r w:rsidRPr="00DD6590">
        <w:rPr>
          <w:rFonts w:asciiTheme="minorHAnsi" w:hAnsiTheme="minorHAnsi"/>
          <w:szCs w:val="18"/>
        </w:rPr>
        <w:t xml:space="preserve"> </w:t>
      </w:r>
      <w:r w:rsidR="00D0145C" w:rsidRPr="00DD6590">
        <w:rPr>
          <w:rFonts w:asciiTheme="minorHAnsi" w:hAnsiTheme="minorHAnsi"/>
          <w:szCs w:val="18"/>
        </w:rPr>
        <w:t>zodpovedný</w:t>
      </w:r>
      <w:r w:rsidR="00D0145C">
        <w:rPr>
          <w:rFonts w:asciiTheme="minorHAnsi" w:hAnsiTheme="minorHAnsi"/>
          <w:szCs w:val="18"/>
        </w:rPr>
        <w:t>m</w:t>
      </w:r>
      <w:r w:rsidR="00D0145C" w:rsidRPr="00DD6590">
        <w:rPr>
          <w:rFonts w:asciiTheme="minorHAnsi" w:hAnsiTheme="minorHAnsi"/>
          <w:szCs w:val="18"/>
        </w:rPr>
        <w:t xml:space="preserve"> </w:t>
      </w:r>
      <w:r w:rsidRPr="00DD6590">
        <w:rPr>
          <w:rFonts w:asciiTheme="minorHAnsi" w:hAnsiTheme="minorHAnsi"/>
          <w:szCs w:val="18"/>
        </w:rPr>
        <w:t>za projekty cestnej infraštruktúry PO2</w:t>
      </w:r>
      <w:r w:rsidR="003F2F79" w:rsidRPr="00DD6590">
        <w:rPr>
          <w:rFonts w:asciiTheme="minorHAnsi" w:hAnsiTheme="minorHAnsi"/>
          <w:szCs w:val="18"/>
        </w:rPr>
        <w:t xml:space="preserve"> a </w:t>
      </w:r>
      <w:r w:rsidR="00D0145C" w:rsidRPr="00DD6590">
        <w:rPr>
          <w:rFonts w:asciiTheme="minorHAnsi" w:hAnsiTheme="minorHAnsi"/>
          <w:szCs w:val="18"/>
        </w:rPr>
        <w:t>prijímateľo</w:t>
      </w:r>
      <w:r w:rsidR="00D0145C">
        <w:rPr>
          <w:rFonts w:asciiTheme="minorHAnsi" w:hAnsiTheme="minorHAnsi"/>
          <w:szCs w:val="18"/>
        </w:rPr>
        <w:t>m</w:t>
      </w:r>
      <w:r w:rsidR="006F6CE5" w:rsidRPr="006F6CE5">
        <w:rPr>
          <w:rFonts w:asciiTheme="minorHAnsi" w:hAnsiTheme="minorHAnsi"/>
          <w:szCs w:val="18"/>
        </w:rPr>
        <w:t xml:space="preserve"> </w:t>
      </w:r>
      <w:r w:rsidR="006F6CE5" w:rsidRPr="00DD6590">
        <w:rPr>
          <w:rFonts w:asciiTheme="minorHAnsi" w:hAnsiTheme="minorHAnsi"/>
          <w:szCs w:val="18"/>
        </w:rPr>
        <w:t>rozoslaný dotazník</w:t>
      </w:r>
      <w:r w:rsidRPr="00DD6590">
        <w:rPr>
          <w:rFonts w:asciiTheme="minorHAnsi" w:hAnsiTheme="minorHAnsi"/>
          <w:szCs w:val="18"/>
        </w:rPr>
        <w:t>.</w:t>
      </w:r>
    </w:p>
    <w:p w14:paraId="10ED713C" w14:textId="5FEE2585" w:rsidR="00A70055" w:rsidRPr="00DD6590" w:rsidRDefault="00A70055" w:rsidP="00B0035E">
      <w:pPr>
        <w:pStyle w:val="Heading2"/>
      </w:pPr>
      <w:bookmarkStart w:id="8" w:name="_Toc9350262"/>
      <w:r w:rsidRPr="00DD6590">
        <w:t>Vyhodnotenie stavu realizácie jednotlivých projektov v PO2</w:t>
      </w:r>
      <w:bookmarkEnd w:id="8"/>
    </w:p>
    <w:p w14:paraId="001DD521" w14:textId="4E223DF3" w:rsidR="00A70055" w:rsidRPr="00DD6590" w:rsidRDefault="00A70055" w:rsidP="00A70055">
      <w:r w:rsidRPr="00DD6590">
        <w:t xml:space="preserve">Nasledujúca tabuľka obsahuje vyhodnotenie realizovaných projektov z hľadiska času, financií a plnenia ukazovateľov a návrh opatrení na úrovni jednotlivých projektov. Vyhodnotenie realizácie jednotlivých projektov je farebne rozlíšené nasledovne: </w:t>
      </w:r>
    </w:p>
    <w:p w14:paraId="50415C9E" w14:textId="12AF7CEE" w:rsidR="00634260" w:rsidRPr="00DD6590" w:rsidRDefault="00634260" w:rsidP="003E761D">
      <w:pPr>
        <w:pStyle w:val="ListParagraph"/>
        <w:numPr>
          <w:ilvl w:val="0"/>
          <w:numId w:val="37"/>
        </w:numPr>
        <w:ind w:left="360"/>
        <w:contextualSpacing/>
        <w:rPr>
          <w:szCs w:val="18"/>
        </w:rPr>
      </w:pPr>
      <w:r w:rsidRPr="00DD6590">
        <w:rPr>
          <w:rFonts w:asciiTheme="minorHAnsi" w:hAnsiTheme="minorHAnsi"/>
          <w:color w:val="D0EC9F"/>
          <w:szCs w:val="18"/>
        </w:rPr>
        <w:t xml:space="preserve">zelená farba </w:t>
      </w:r>
      <w:r w:rsidRPr="00DD6590">
        <w:rPr>
          <w:rFonts w:asciiTheme="minorHAnsi" w:hAnsiTheme="minorHAnsi"/>
          <w:szCs w:val="18"/>
        </w:rPr>
        <w:t>– žiadne</w:t>
      </w:r>
      <w:r w:rsidR="00EC7D17" w:rsidRPr="00DD6590">
        <w:rPr>
          <w:rFonts w:asciiTheme="minorHAnsi" w:hAnsiTheme="minorHAnsi"/>
          <w:szCs w:val="18"/>
        </w:rPr>
        <w:t>, resp. nízke</w:t>
      </w:r>
      <w:r w:rsidRPr="00DD6590">
        <w:rPr>
          <w:rFonts w:asciiTheme="minorHAnsi" w:hAnsiTheme="minorHAnsi"/>
          <w:szCs w:val="18"/>
        </w:rPr>
        <w:t xml:space="preserve"> riziko, tzn. projekty sú realizované/ukončené v súlade s harmonogramom, bez omeškania. Naplnenie ukazovateľov z realizovaných projektov by malo byť na úrovni min. 85</w:t>
      </w:r>
      <w:r w:rsidR="006F6CE5">
        <w:rPr>
          <w:rFonts w:asciiTheme="minorHAnsi" w:hAnsiTheme="minorHAnsi"/>
          <w:szCs w:val="18"/>
        </w:rPr>
        <w:t> </w:t>
      </w:r>
      <w:r w:rsidR="006F6CE5" w:rsidRPr="00DD6590">
        <w:rPr>
          <w:rFonts w:asciiTheme="minorHAnsi" w:hAnsiTheme="minorHAnsi"/>
          <w:szCs w:val="18"/>
        </w:rPr>
        <w:t>%</w:t>
      </w:r>
      <w:r w:rsidR="006F6CE5">
        <w:rPr>
          <w:rFonts w:asciiTheme="minorHAnsi" w:hAnsiTheme="minorHAnsi"/>
          <w:szCs w:val="18"/>
        </w:rPr>
        <w:t>,</w:t>
      </w:r>
    </w:p>
    <w:p w14:paraId="768AE752" w14:textId="2B16AEBB" w:rsidR="00634260" w:rsidRPr="00DD6590" w:rsidRDefault="00634260" w:rsidP="003E761D">
      <w:pPr>
        <w:pStyle w:val="ListParagraph"/>
        <w:numPr>
          <w:ilvl w:val="0"/>
          <w:numId w:val="37"/>
        </w:numPr>
        <w:ind w:left="360"/>
        <w:contextualSpacing/>
        <w:rPr>
          <w:szCs w:val="18"/>
        </w:rPr>
      </w:pPr>
      <w:r w:rsidRPr="00DD6590">
        <w:rPr>
          <w:rFonts w:asciiTheme="minorHAnsi" w:hAnsiTheme="minorHAnsi"/>
          <w:color w:val="FFD653"/>
          <w:szCs w:val="18"/>
        </w:rPr>
        <w:t xml:space="preserve">žltá farba </w:t>
      </w:r>
      <w:r w:rsidRPr="00DD6590">
        <w:rPr>
          <w:rFonts w:asciiTheme="minorHAnsi" w:hAnsiTheme="minorHAnsi"/>
          <w:szCs w:val="18"/>
        </w:rPr>
        <w:t>– stredné riziko, tzn. projekty, ktoré nevykazujú závažné riziká, avšak časová realizácia nie je v súlade s vecným plnením a čerpaním. Zazmluvnené projekty nenapĺňajú min. požadovanú hodnotu (85</w:t>
      </w:r>
      <w:r w:rsidR="006F6CE5">
        <w:rPr>
          <w:rFonts w:asciiTheme="minorHAnsi" w:hAnsiTheme="minorHAnsi"/>
          <w:szCs w:val="18"/>
        </w:rPr>
        <w:t> </w:t>
      </w:r>
      <w:r w:rsidRPr="00DD6590">
        <w:rPr>
          <w:rFonts w:asciiTheme="minorHAnsi" w:hAnsiTheme="minorHAnsi"/>
          <w:szCs w:val="18"/>
        </w:rPr>
        <w:t>%)</w:t>
      </w:r>
      <w:r w:rsidR="006F6CE5">
        <w:rPr>
          <w:rFonts w:asciiTheme="minorHAnsi" w:hAnsiTheme="minorHAnsi"/>
          <w:szCs w:val="18"/>
        </w:rPr>
        <w:t>,</w:t>
      </w:r>
      <w:r w:rsidRPr="00DD6590">
        <w:rPr>
          <w:rFonts w:asciiTheme="minorHAnsi" w:hAnsiTheme="minorHAnsi"/>
          <w:szCs w:val="18"/>
        </w:rPr>
        <w:t xml:space="preserve"> </w:t>
      </w:r>
      <w:r w:rsidR="006F6CE5">
        <w:rPr>
          <w:rFonts w:asciiTheme="minorHAnsi" w:hAnsiTheme="minorHAnsi"/>
          <w:szCs w:val="18"/>
        </w:rPr>
        <w:t>ale</w:t>
      </w:r>
      <w:r w:rsidRPr="00DD6590">
        <w:rPr>
          <w:rFonts w:asciiTheme="minorHAnsi" w:hAnsiTheme="minorHAnsi"/>
          <w:szCs w:val="18"/>
        </w:rPr>
        <w:t xml:space="preserve"> v rámci PO sú plánované projekty, ktoré tento ukazovateľ naplnia</w:t>
      </w:r>
      <w:r w:rsidR="006F6CE5">
        <w:rPr>
          <w:rFonts w:asciiTheme="minorHAnsi" w:hAnsiTheme="minorHAnsi"/>
          <w:szCs w:val="18"/>
        </w:rPr>
        <w:t>,</w:t>
      </w:r>
      <w:r w:rsidR="006F6CE5" w:rsidRPr="00DD6590">
        <w:rPr>
          <w:rFonts w:asciiTheme="minorHAnsi" w:hAnsiTheme="minorHAnsi"/>
          <w:szCs w:val="18"/>
        </w:rPr>
        <w:t xml:space="preserve"> </w:t>
      </w:r>
    </w:p>
    <w:p w14:paraId="68F1A6EB" w14:textId="010DE281" w:rsidR="00634260" w:rsidRPr="00DD6590" w:rsidRDefault="00634260" w:rsidP="00CB4784">
      <w:pPr>
        <w:pStyle w:val="ListParagraph"/>
        <w:numPr>
          <w:ilvl w:val="0"/>
          <w:numId w:val="37"/>
        </w:numPr>
        <w:ind w:left="360"/>
        <w:contextualSpacing/>
        <w:sectPr w:rsidR="00634260" w:rsidRPr="00DD6590" w:rsidSect="00847AD7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411" w:right="1411" w:bottom="1411" w:left="1411" w:header="677" w:footer="562" w:gutter="0"/>
          <w:cols w:space="284"/>
          <w:titlePg/>
          <w:docGrid w:linePitch="360"/>
        </w:sectPr>
      </w:pPr>
      <w:r w:rsidRPr="00DD6590">
        <w:rPr>
          <w:rFonts w:asciiTheme="minorHAnsi" w:hAnsiTheme="minorHAnsi"/>
          <w:color w:val="EF858F"/>
          <w:szCs w:val="18"/>
        </w:rPr>
        <w:t xml:space="preserve">červená farba </w:t>
      </w:r>
      <w:r w:rsidRPr="00DD6590">
        <w:rPr>
          <w:rFonts w:asciiTheme="minorHAnsi" w:hAnsiTheme="minorHAnsi"/>
          <w:szCs w:val="18"/>
        </w:rPr>
        <w:t xml:space="preserve">– vysoké riziko, tzn. projekt nie je realizovaný v súlade s harmonogramom, resp. </w:t>
      </w:r>
      <w:r w:rsidR="006F6CE5" w:rsidRPr="00DD6590">
        <w:rPr>
          <w:rFonts w:asciiTheme="minorHAnsi" w:hAnsiTheme="minorHAnsi"/>
          <w:szCs w:val="18"/>
        </w:rPr>
        <w:t xml:space="preserve">počas realizácie projektu </w:t>
      </w:r>
      <w:r w:rsidRPr="00DD6590">
        <w:rPr>
          <w:rFonts w:asciiTheme="minorHAnsi" w:hAnsiTheme="minorHAnsi"/>
          <w:szCs w:val="18"/>
        </w:rPr>
        <w:t>došlo k závažným udalostiam, ktoré môžu ohroziť úspešné ukončenie realizácie</w:t>
      </w:r>
      <w:r w:rsidR="00117A06">
        <w:rPr>
          <w:rFonts w:asciiTheme="minorHAnsi" w:hAnsiTheme="minorHAnsi"/>
          <w:szCs w:val="18"/>
        </w:rPr>
        <w:t>,</w:t>
      </w:r>
      <w:r w:rsidRPr="00DD6590">
        <w:rPr>
          <w:rFonts w:asciiTheme="minorHAnsi" w:hAnsiTheme="minorHAnsi"/>
          <w:szCs w:val="18"/>
        </w:rPr>
        <w:t xml:space="preserve"> </w:t>
      </w:r>
      <w:r w:rsidR="006F6CE5">
        <w:rPr>
          <w:rFonts w:asciiTheme="minorHAnsi" w:hAnsiTheme="minorHAnsi"/>
          <w:szCs w:val="18"/>
        </w:rPr>
        <w:t>a</w:t>
      </w:r>
      <w:r w:rsidR="00590694" w:rsidRPr="00DD6590">
        <w:rPr>
          <w:rFonts w:asciiTheme="minorHAnsi" w:hAnsiTheme="minorHAnsi"/>
          <w:szCs w:val="18"/>
        </w:rPr>
        <w:t xml:space="preserve"> n</w:t>
      </w:r>
      <w:r w:rsidRPr="00DD6590">
        <w:rPr>
          <w:rFonts w:asciiTheme="minorHAnsi" w:hAnsiTheme="minorHAnsi"/>
          <w:szCs w:val="18"/>
        </w:rPr>
        <w:t xml:space="preserve">ie je predpoklad naplnenia min. hodnoty ukazovateľa. </w:t>
      </w:r>
    </w:p>
    <w:p w14:paraId="18C6C87E" w14:textId="11766F3C" w:rsidR="00E16394" w:rsidRPr="00DD6590" w:rsidRDefault="00E16394" w:rsidP="00E16394">
      <w:pPr>
        <w:pStyle w:val="Caption"/>
      </w:pPr>
      <w:bookmarkStart w:id="9" w:name="_Toc8805468"/>
      <w:r w:rsidRPr="00DD6590">
        <w:lastRenderedPageBreak/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431E89">
        <w:rPr>
          <w:noProof/>
        </w:rPr>
        <w:t>3</w:t>
      </w:r>
      <w:r w:rsidRPr="00DD6590">
        <w:fldChar w:fldCharType="end"/>
      </w:r>
      <w:r w:rsidRPr="00DD6590">
        <w:t xml:space="preserve"> Vyhodnotenie realizácie projektov PO2</w:t>
      </w:r>
      <w:bookmarkEnd w:id="9"/>
    </w:p>
    <w:tbl>
      <w:tblPr>
        <w:tblStyle w:val="ListTable3-Accent1"/>
        <w:tblW w:w="5171" w:type="pct"/>
        <w:tblInd w:w="-540" w:type="dxa"/>
        <w:tblBorders>
          <w:insideH w:val="single" w:sz="4" w:space="0" w:color="86BC25" w:themeColor="accent1"/>
          <w:insideV w:val="single" w:sz="4" w:space="0" w:color="86BC25" w:themeColor="accent1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4"/>
        <w:gridCol w:w="1959"/>
        <w:gridCol w:w="1296"/>
        <w:gridCol w:w="1629"/>
        <w:gridCol w:w="899"/>
        <w:gridCol w:w="1013"/>
        <w:gridCol w:w="923"/>
        <w:gridCol w:w="2033"/>
        <w:gridCol w:w="2424"/>
        <w:gridCol w:w="1775"/>
      </w:tblGrid>
      <w:tr w:rsidR="000808A3" w:rsidRPr="00DD6590" w14:paraId="534EE735" w14:textId="77777777" w:rsidTr="005B2C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5" w:type="pct"/>
            <w:vMerge w:val="restart"/>
            <w:vAlign w:val="center"/>
          </w:tcPr>
          <w:p w14:paraId="1D063F2E" w14:textId="77777777" w:rsidR="000808A3" w:rsidRPr="00DD6590" w:rsidRDefault="000808A3" w:rsidP="005B2C79">
            <w:pPr>
              <w:spacing w:before="60" w:after="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P.č.</w:t>
            </w:r>
          </w:p>
        </w:tc>
        <w:tc>
          <w:tcPr>
            <w:tcW w:w="677" w:type="pct"/>
            <w:tcBorders>
              <w:bottom w:val="single" w:sz="4" w:space="0" w:color="86BC25" w:themeColor="accent1"/>
            </w:tcBorders>
            <w:vAlign w:val="center"/>
          </w:tcPr>
          <w:p w14:paraId="13B29698" w14:textId="77777777" w:rsidR="000808A3" w:rsidRPr="00DD6590" w:rsidRDefault="000808A3" w:rsidP="005D4F99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7" w:type="pct"/>
            <w:tcBorders>
              <w:bottom w:val="single" w:sz="4" w:space="0" w:color="86BC25" w:themeColor="accent1"/>
            </w:tcBorders>
            <w:vAlign w:val="center"/>
          </w:tcPr>
          <w:p w14:paraId="45480AD4" w14:textId="77777777" w:rsidR="000808A3" w:rsidRPr="00DD6590" w:rsidRDefault="000808A3" w:rsidP="005D4F99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3" w:type="pct"/>
            <w:tcBorders>
              <w:bottom w:val="single" w:sz="4" w:space="0" w:color="86BC25" w:themeColor="accent1"/>
            </w:tcBorders>
            <w:vAlign w:val="center"/>
          </w:tcPr>
          <w:p w14:paraId="77D43709" w14:textId="77777777" w:rsidR="000808A3" w:rsidRPr="00DD6590" w:rsidRDefault="000808A3" w:rsidP="005D4F99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75" w:type="pct"/>
            <w:gridSpan w:val="3"/>
            <w:tcBorders>
              <w:bottom w:val="single" w:sz="4" w:space="0" w:color="86BC25" w:themeColor="accent1"/>
            </w:tcBorders>
            <w:vAlign w:val="center"/>
          </w:tcPr>
          <w:p w14:paraId="2350542D" w14:textId="77777777" w:rsidR="000808A3" w:rsidRPr="00DD6590" w:rsidRDefault="000808A3" w:rsidP="005D4F99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Stav</w:t>
            </w:r>
          </w:p>
        </w:tc>
        <w:tc>
          <w:tcPr>
            <w:tcW w:w="702" w:type="pct"/>
            <w:vMerge w:val="restart"/>
            <w:vAlign w:val="center"/>
          </w:tcPr>
          <w:p w14:paraId="5BB9F838" w14:textId="77777777" w:rsidR="000808A3" w:rsidRPr="00DD6590" w:rsidRDefault="000808A3" w:rsidP="005D4F99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Plnenie ukazovateľov výstupu a výsledku</w:t>
            </w:r>
          </w:p>
        </w:tc>
        <w:tc>
          <w:tcPr>
            <w:tcW w:w="837" w:type="pct"/>
            <w:vMerge w:val="restart"/>
            <w:vAlign w:val="center"/>
          </w:tcPr>
          <w:p w14:paraId="08746D31" w14:textId="77777777" w:rsidR="000808A3" w:rsidRPr="00DD6590" w:rsidRDefault="000808A3" w:rsidP="005D4F99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Hlavné zistenia</w:t>
            </w:r>
          </w:p>
        </w:tc>
        <w:tc>
          <w:tcPr>
            <w:tcW w:w="613" w:type="pct"/>
            <w:vMerge w:val="restart"/>
            <w:vAlign w:val="center"/>
          </w:tcPr>
          <w:p w14:paraId="758D930A" w14:textId="77777777" w:rsidR="000808A3" w:rsidRPr="00DD6590" w:rsidRDefault="000808A3" w:rsidP="005D4F99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Návrh opatrení</w:t>
            </w:r>
          </w:p>
        </w:tc>
      </w:tr>
      <w:tr w:rsidR="000808A3" w:rsidRPr="00DD6590" w14:paraId="74AD81C4" w14:textId="77777777" w:rsidTr="005B2C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" w:type="pct"/>
            <w:vMerge/>
          </w:tcPr>
          <w:p w14:paraId="1508D0C5" w14:textId="77777777" w:rsidR="000808A3" w:rsidRPr="00DD6590" w:rsidRDefault="000808A3" w:rsidP="00B9021B">
            <w:pPr>
              <w:spacing w:before="60" w:after="0" w:line="240" w:lineRule="auto"/>
              <w:jc w:val="left"/>
              <w:rPr>
                <w:rFonts w:asciiTheme="minorHAnsi" w:hAnsiTheme="min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677" w:type="pct"/>
            <w:shd w:val="clear" w:color="auto" w:fill="86BC25" w:themeFill="accent1"/>
          </w:tcPr>
          <w:p w14:paraId="0E3DDA5B" w14:textId="77777777" w:rsidR="000808A3" w:rsidRPr="00DD6590" w:rsidRDefault="000808A3" w:rsidP="00B9021B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  <w:t>Názov projektu</w:t>
            </w:r>
          </w:p>
        </w:tc>
        <w:tc>
          <w:tcPr>
            <w:tcW w:w="447" w:type="pct"/>
            <w:shd w:val="clear" w:color="auto" w:fill="86BC25" w:themeFill="accent1"/>
          </w:tcPr>
          <w:p w14:paraId="75EE7ECA" w14:textId="77777777" w:rsidR="000808A3" w:rsidRPr="00DD6590" w:rsidRDefault="000808A3" w:rsidP="00B9021B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  <w:t>Vyhodnotenie</w:t>
            </w:r>
          </w:p>
        </w:tc>
        <w:tc>
          <w:tcPr>
            <w:tcW w:w="563" w:type="pct"/>
            <w:shd w:val="clear" w:color="auto" w:fill="86BC25" w:themeFill="accent1"/>
          </w:tcPr>
          <w:p w14:paraId="59831241" w14:textId="77777777" w:rsidR="000808A3" w:rsidRPr="00DD6590" w:rsidRDefault="000808A3" w:rsidP="00B9021B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  <w:t>EÚ zdroje zazmluvnené</w:t>
            </w:r>
            <w:r w:rsidRPr="00DD6590"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306" w:type="pct"/>
            <w:shd w:val="clear" w:color="auto" w:fill="86BC25" w:themeFill="accent1"/>
          </w:tcPr>
          <w:p w14:paraId="14601FA8" w14:textId="77777777" w:rsidR="000808A3" w:rsidRPr="00DD6590" w:rsidRDefault="000808A3" w:rsidP="00B9021B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  <w:t>Finančné čerpanie</w:t>
            </w:r>
          </w:p>
          <w:p w14:paraId="46AB33EB" w14:textId="77777777" w:rsidR="000808A3" w:rsidRPr="00DD6590" w:rsidRDefault="000808A3" w:rsidP="00B9021B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  <w:t>(EÚ zdroj)</w:t>
            </w:r>
          </w:p>
        </w:tc>
        <w:tc>
          <w:tcPr>
            <w:tcW w:w="350" w:type="pct"/>
            <w:shd w:val="clear" w:color="auto" w:fill="86BC25" w:themeFill="accent1"/>
          </w:tcPr>
          <w:p w14:paraId="30F38794" w14:textId="77777777" w:rsidR="000808A3" w:rsidRPr="00DD6590" w:rsidRDefault="000808A3" w:rsidP="00B9021B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  <w:t>Časové čerpanie</w:t>
            </w:r>
            <w:r w:rsidRPr="00DD6590"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318" w:type="pct"/>
            <w:shd w:val="clear" w:color="auto" w:fill="86BC25" w:themeFill="accent1"/>
          </w:tcPr>
          <w:p w14:paraId="09A4FE01" w14:textId="77777777" w:rsidR="000808A3" w:rsidRPr="00DD6590" w:rsidRDefault="000808A3" w:rsidP="00B9021B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  <w:t>Vecné plnenie</w:t>
            </w:r>
            <w:r w:rsidRPr="00DD6590"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702" w:type="pct"/>
            <w:vMerge/>
          </w:tcPr>
          <w:p w14:paraId="19B1198C" w14:textId="77777777" w:rsidR="000808A3" w:rsidRPr="00DD6590" w:rsidRDefault="000808A3" w:rsidP="00B9021B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37" w:type="pct"/>
            <w:vMerge/>
          </w:tcPr>
          <w:p w14:paraId="3A2DD7A4" w14:textId="77777777" w:rsidR="000808A3" w:rsidRPr="00DD6590" w:rsidRDefault="000808A3" w:rsidP="00B9021B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13" w:type="pct"/>
            <w:vMerge/>
          </w:tcPr>
          <w:p w14:paraId="0BB688DF" w14:textId="77777777" w:rsidR="000808A3" w:rsidRPr="00DD6590" w:rsidRDefault="000808A3" w:rsidP="00B9021B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808A3" w:rsidRPr="00DD6590" w14:paraId="663B92D7" w14:textId="77777777" w:rsidTr="005B2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" w:type="pct"/>
          </w:tcPr>
          <w:p w14:paraId="3F58233B" w14:textId="77777777" w:rsidR="00A70055" w:rsidRPr="00DD6590" w:rsidRDefault="00A70055" w:rsidP="005B2C79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</w:t>
            </w:r>
          </w:p>
        </w:tc>
        <w:tc>
          <w:tcPr>
            <w:tcW w:w="677" w:type="pct"/>
          </w:tcPr>
          <w:p w14:paraId="334C5EFC" w14:textId="06FC8881" w:rsidR="00A70055" w:rsidRPr="00DD6590" w:rsidRDefault="00A70055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D1 Hričovské Podhradie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Lietavská Lúčka, II. Fáza</w:t>
            </w:r>
          </w:p>
        </w:tc>
        <w:tc>
          <w:tcPr>
            <w:tcW w:w="447" w:type="pct"/>
            <w:shd w:val="clear" w:color="auto" w:fill="D0EC9F"/>
          </w:tcPr>
          <w:p w14:paraId="13E4A724" w14:textId="77777777" w:rsidR="00A70055" w:rsidRPr="00DD6590" w:rsidRDefault="00A70055" w:rsidP="005D4F99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3" w:type="pct"/>
          </w:tcPr>
          <w:p w14:paraId="45ECCF64" w14:textId="210D6C85" w:rsidR="00A70055" w:rsidRPr="00DD6590" w:rsidRDefault="00A70055" w:rsidP="005D4F99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238 445 349,68 </w:t>
            </w:r>
            <w:r w:rsidR="008D1122">
              <w:rPr>
                <w:rFonts w:asciiTheme="minorHAnsi" w:hAnsiTheme="minorHAnsi"/>
                <w:sz w:val="16"/>
                <w:szCs w:val="16"/>
              </w:rPr>
              <w:t>EUR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6" w:type="pct"/>
          </w:tcPr>
          <w:p w14:paraId="28DD1BD3" w14:textId="42D1D7CB" w:rsidR="00A70055" w:rsidRPr="00DD6590" w:rsidRDefault="00A70055" w:rsidP="005D4F99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82</w:t>
            </w:r>
            <w:r w:rsidR="006F6CE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50" w:type="pct"/>
          </w:tcPr>
          <w:p w14:paraId="45814817" w14:textId="77777777" w:rsidR="00A70055" w:rsidRPr="00DD6590" w:rsidRDefault="00A70055" w:rsidP="005D4F99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92 %</w:t>
            </w:r>
          </w:p>
        </w:tc>
        <w:tc>
          <w:tcPr>
            <w:tcW w:w="318" w:type="pct"/>
          </w:tcPr>
          <w:p w14:paraId="0BB77D6A" w14:textId="07506131" w:rsidR="00A70055" w:rsidRPr="00DD6590" w:rsidRDefault="00A70055" w:rsidP="005D4F99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6F6CE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195303EE" w14:textId="77777777" w:rsidR="00A70055" w:rsidRPr="00DD6590" w:rsidRDefault="00A70055" w:rsidP="005D4F99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všetky hl. stavebné objekty sú dokončené</w:t>
            </w:r>
          </w:p>
        </w:tc>
        <w:tc>
          <w:tcPr>
            <w:tcW w:w="702" w:type="pct"/>
          </w:tcPr>
          <w:p w14:paraId="20CA92AF" w14:textId="1B08F1E0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P0648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času v cestnej doprave na diaľniciach a rýchlostných cestách: 0</w:t>
            </w:r>
            <w:r w:rsidR="006F6CE5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166A1985" w14:textId="4133E3C2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P0675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produkcie emisií PM</w:t>
            </w:r>
            <w:r w:rsidRPr="00CB4784">
              <w:rPr>
                <w:sz w:val="14"/>
                <w:szCs w:val="16"/>
                <w:vertAlign w:val="subscript"/>
              </w:rPr>
              <w:t>10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(vplyvom výstavby diaľnic)</w:t>
            </w:r>
            <w:r w:rsidR="007D58A7" w:rsidRPr="00DD6590">
              <w:rPr>
                <w:rFonts w:asciiTheme="minorHAnsi" w:hAnsiTheme="minorHAnsi"/>
                <w:sz w:val="16"/>
                <w:szCs w:val="16"/>
              </w:rPr>
              <w:t>: 0</w:t>
            </w:r>
            <w:r w:rsidR="002E216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D58A7"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7F61C3E7" w14:textId="7EB56AF4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P0668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produkcie emisií NO</w:t>
            </w:r>
            <w:r w:rsidRPr="00E96B75">
              <w:rPr>
                <w:sz w:val="16"/>
                <w:szCs w:val="16"/>
                <w:vertAlign w:val="subscript"/>
              </w:rPr>
              <w:t>2</w:t>
            </w:r>
            <w:r w:rsidRPr="00CB4784">
              <w:rPr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(vplyvom výstavby diaľnic): 0</w:t>
            </w:r>
            <w:r w:rsidR="002E216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64A564C9" w14:textId="10D51EE9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P0005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Celková dĺžka novovybudovaných ciest v sieti TEN-T (CORE): 0</w:t>
            </w:r>
            <w:r w:rsidR="002E216F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38185434" w14:textId="5B0F8551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P0022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Celková dĺžka vybudovaných tunelov (na diaľniciach a/alebo rýchlostných cestách na základnej sieti TEN-T): 0</w:t>
            </w:r>
            <w:r w:rsidR="002E216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186318EC" w14:textId="7D7A68DC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P0111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Percento fyzického pokroku z celkovej dĺžky novej a/alebo technicky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zhodnotenej infraštruktúry: 92,35</w:t>
            </w:r>
            <w:r w:rsidR="002E216F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2CBFDAE5" w14:textId="5C15CA77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P0480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vybudovaných jazdných pruhov (na diaľniciach a/alebo rýchlostných cestách na základnej sieti TEN-T): 0</w:t>
            </w:r>
            <w:r w:rsidR="002E216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573D4FC4" w14:textId="4B050B86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P0488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vybudovaných mostov (na diaľniciach a/alebo rýchlostných cestách na základnej sieti TEN-T): 0</w:t>
            </w:r>
            <w:r w:rsidR="000A42BB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37" w:type="pct"/>
          </w:tcPr>
          <w:p w14:paraId="662A0477" w14:textId="5A173B16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V súčasnom období </w:t>
            </w:r>
            <w:r w:rsidR="002E216F">
              <w:rPr>
                <w:rFonts w:asciiTheme="minorHAnsi" w:hAnsiTheme="minorHAnsi"/>
                <w:sz w:val="16"/>
                <w:szCs w:val="16"/>
              </w:rPr>
              <w:t xml:space="preserve">sa deklaruje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fyzický pokrok </w:t>
            </w:r>
            <w:r w:rsidR="002E216F">
              <w:rPr>
                <w:rFonts w:asciiTheme="minorHAnsi" w:hAnsiTheme="minorHAnsi"/>
                <w:sz w:val="16"/>
                <w:szCs w:val="16"/>
              </w:rPr>
              <w:t>vo výške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92</w:t>
            </w:r>
            <w:r w:rsidR="009E3E6C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%, </w:t>
            </w:r>
            <w:r w:rsidR="000A42BB">
              <w:rPr>
                <w:rFonts w:asciiTheme="minorHAnsi" w:hAnsiTheme="minorHAnsi"/>
                <w:sz w:val="16"/>
                <w:szCs w:val="16"/>
              </w:rPr>
              <w:t>hoci</w:t>
            </w:r>
            <w:r w:rsidR="000A42BB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ostatné ukazovatele neboli do konca roka 2018 vykazované. </w:t>
            </w:r>
          </w:p>
          <w:p w14:paraId="74FA4981" w14:textId="77777777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Podľa informácií z monitorovacej správy budú merateľné ukazovatele naplnené v roku 2019, kedy sa predmetný úsek sprejazdní, tzn. je predpoklad, že dané ukazovatele budú naplnené v súlade so schválenou ŽoNFP.</w:t>
            </w:r>
          </w:p>
          <w:p w14:paraId="40E2D8DE" w14:textId="77777777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13" w:type="pct"/>
          </w:tcPr>
          <w:p w14:paraId="59A691FE" w14:textId="50E2E719" w:rsidR="00A70055" w:rsidRPr="00DD6590" w:rsidRDefault="004F3CBB" w:rsidP="006D01E3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Dôsledný monitoring napĺňania ukazovateľov výsledku v období udržateľnosti projektu</w:t>
            </w:r>
            <w:r w:rsidR="006D01E3" w:rsidRPr="00DD6590">
              <w:rPr>
                <w:rFonts w:asciiTheme="minorHAnsi" w:hAnsiTheme="minorHAnsi"/>
                <w:sz w:val="16"/>
                <w:szCs w:val="16"/>
              </w:rPr>
              <w:t xml:space="preserve"> a monitorovanie stavu realizácie projektu -  privádzača Lietavská lúčka, bez ktorého nie je možné skutočne deklarovať naplnenie ukazovateľov. Bez privádzača nie je celý úsek cesty prevádzkyschopný.</w:t>
            </w:r>
          </w:p>
        </w:tc>
      </w:tr>
      <w:tr w:rsidR="000808A3" w:rsidRPr="00DD6590" w14:paraId="1E8C7BF4" w14:textId="77777777" w:rsidTr="005B2C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" w:type="pct"/>
          </w:tcPr>
          <w:p w14:paraId="167D2C95" w14:textId="77777777" w:rsidR="00A70055" w:rsidRPr="00DD6590" w:rsidRDefault="00A70055" w:rsidP="005B2C79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2</w:t>
            </w:r>
          </w:p>
        </w:tc>
        <w:tc>
          <w:tcPr>
            <w:tcW w:w="677" w:type="pct"/>
          </w:tcPr>
          <w:p w14:paraId="5B2407E0" w14:textId="77777777" w:rsidR="00A70055" w:rsidRPr="00DD6590" w:rsidRDefault="00A70055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D3 Žilina Strážov – Žilina Brodno (2. fáza)</w:t>
            </w:r>
          </w:p>
        </w:tc>
        <w:tc>
          <w:tcPr>
            <w:tcW w:w="447" w:type="pct"/>
            <w:shd w:val="clear" w:color="auto" w:fill="D0EC9F"/>
          </w:tcPr>
          <w:p w14:paraId="104EFB9D" w14:textId="77777777" w:rsidR="00A70055" w:rsidRPr="00DD6590" w:rsidRDefault="00A70055" w:rsidP="005D4F99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3" w:type="pct"/>
          </w:tcPr>
          <w:p w14:paraId="41176457" w14:textId="4842A398" w:rsidR="00A70055" w:rsidRPr="00DD6590" w:rsidRDefault="00A70055" w:rsidP="005D4F99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124 236 548,29 </w:t>
            </w:r>
            <w:r w:rsidR="008D1122">
              <w:rPr>
                <w:rFonts w:asciiTheme="minorHAnsi" w:hAnsiTheme="minorHAnsi"/>
                <w:sz w:val="16"/>
                <w:szCs w:val="16"/>
              </w:rPr>
              <w:t>EUR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6" w:type="pct"/>
          </w:tcPr>
          <w:p w14:paraId="39714130" w14:textId="4458F3D6" w:rsidR="00A70055" w:rsidRPr="00DD6590" w:rsidRDefault="00A70055" w:rsidP="005D4F99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94</w:t>
            </w:r>
            <w:r w:rsidR="000A42B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50" w:type="pct"/>
          </w:tcPr>
          <w:p w14:paraId="48DE9146" w14:textId="238F30DC" w:rsidR="00A70055" w:rsidRPr="00DD6590" w:rsidRDefault="00A70055" w:rsidP="005D4F99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76</w:t>
            </w:r>
            <w:r w:rsidR="000A42B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18" w:type="pct"/>
          </w:tcPr>
          <w:p w14:paraId="1D78052C" w14:textId="475232C6" w:rsidR="00A70055" w:rsidRPr="00DD6590" w:rsidRDefault="00A70055" w:rsidP="005D4F99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0A42B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02" w:type="pct"/>
          </w:tcPr>
          <w:p w14:paraId="206B1B30" w14:textId="3F8AC793" w:rsidR="00A70055" w:rsidRPr="00DD6590" w:rsidRDefault="00A70055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P0648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času v cestnej doprave na diaľniciach a rýchlostných cestách: 0</w:t>
            </w:r>
            <w:r w:rsidR="000A42BB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47FECEBD" w14:textId="4A172593" w:rsidR="00A70055" w:rsidRPr="00DD6590" w:rsidRDefault="00A70055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P0675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produkcie emisií PM</w:t>
            </w:r>
            <w:r w:rsidRPr="00E96B75">
              <w:rPr>
                <w:sz w:val="16"/>
                <w:szCs w:val="16"/>
                <w:vertAlign w:val="subscript"/>
              </w:rPr>
              <w:t>10</w:t>
            </w:r>
            <w:r w:rsidRPr="000A42BB">
              <w:rPr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(vplyvom výstavby diaľnic): 0%</w:t>
            </w:r>
          </w:p>
          <w:p w14:paraId="154DFB62" w14:textId="2729321A" w:rsidR="00A70055" w:rsidRPr="00DD6590" w:rsidRDefault="00A70055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P0668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="006F6CE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Úspora produkcie emisií NO</w:t>
            </w:r>
            <w:r w:rsidRPr="00E96B75">
              <w:rPr>
                <w:sz w:val="16"/>
                <w:szCs w:val="16"/>
                <w:vertAlign w:val="subscript"/>
              </w:rPr>
              <w:t>2</w:t>
            </w:r>
            <w:r w:rsidRPr="00DD6590">
              <w:rPr>
                <w:rFonts w:asciiTheme="minorHAnsi" w:hAnsiTheme="minorHAnsi"/>
                <w:sz w:val="16"/>
                <w:szCs w:val="16"/>
                <w:vertAlign w:val="subscript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(vplyvom výstavby diaľnic): 0</w:t>
            </w:r>
            <w:r w:rsidR="000A42B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6BB1A675" w14:textId="750943B4" w:rsidR="00A70055" w:rsidRPr="00DD6590" w:rsidRDefault="00A70055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P0005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Celková dĺžka novovybudovaných ciest v sieti TEN-T (CORE): 100</w:t>
            </w:r>
            <w:r w:rsidR="000A42B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194BB7C3" w14:textId="7F773F48" w:rsidR="00A70055" w:rsidRPr="00DD6590" w:rsidRDefault="00A70055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P0111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Percento fyzického pokroku z celkovej dĺžky novej a/alebo technicky zhodnotenej infraštruktúry: 100</w:t>
            </w:r>
            <w:r w:rsidR="000A42B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37" w:type="pct"/>
          </w:tcPr>
          <w:p w14:paraId="08D584FE" w14:textId="77777777" w:rsidR="00A70055" w:rsidRPr="00DD6590" w:rsidRDefault="00A70055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je v prevádzke.</w:t>
            </w:r>
          </w:p>
          <w:p w14:paraId="025BACE3" w14:textId="77777777" w:rsidR="00A70055" w:rsidRPr="00DD6590" w:rsidRDefault="00A70055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13" w:type="pct"/>
          </w:tcPr>
          <w:p w14:paraId="1204452D" w14:textId="2AF0C8A2" w:rsidR="00A70055" w:rsidRPr="00DD6590" w:rsidRDefault="00A70055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Dôsledný monitoring </w:t>
            </w:r>
            <w:r w:rsidR="007D58A7" w:rsidRPr="00DD6590">
              <w:rPr>
                <w:rFonts w:asciiTheme="minorHAnsi" w:hAnsiTheme="minorHAnsi"/>
                <w:sz w:val="16"/>
                <w:szCs w:val="16"/>
              </w:rPr>
              <w:t>napĺňania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ukazovateľov výsledku v období udržateľnosti projektu.</w:t>
            </w:r>
          </w:p>
          <w:p w14:paraId="48DE987B" w14:textId="39C16C74" w:rsidR="00A70055" w:rsidRPr="00DD6590" w:rsidRDefault="00195F15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Využiť </w:t>
            </w:r>
            <w:r w:rsidR="00FD5772" w:rsidRPr="00DD6590">
              <w:rPr>
                <w:rFonts w:asciiTheme="minorHAnsi" w:hAnsiTheme="minorHAnsi"/>
                <w:sz w:val="16"/>
                <w:szCs w:val="16"/>
              </w:rPr>
              <w:t xml:space="preserve">nedočerpané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finančné prostriedky na realizáciu projektov PO2, najmä - </w:t>
            </w:r>
            <w:r w:rsidR="006D01E3" w:rsidRPr="00DD6590">
              <w:rPr>
                <w:rFonts w:asciiTheme="minorHAnsi" w:hAnsiTheme="minorHAnsi"/>
                <w:sz w:val="16"/>
                <w:szCs w:val="16"/>
              </w:rPr>
              <w:t>D1 Hubová – Ivachnová (2. fáza)</w:t>
            </w:r>
          </w:p>
        </w:tc>
      </w:tr>
      <w:tr w:rsidR="00A70055" w:rsidRPr="00DD6590" w14:paraId="5AB94441" w14:textId="77777777" w:rsidTr="005B2C79">
        <w:trPr>
          <w:trHeight w:val="3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" w:type="pct"/>
          </w:tcPr>
          <w:p w14:paraId="0E7C0E3E" w14:textId="77777777" w:rsidR="00A70055" w:rsidRPr="00DD6590" w:rsidRDefault="00A70055" w:rsidP="005B2C79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lastRenderedPageBreak/>
              <w:t>3</w:t>
            </w:r>
          </w:p>
        </w:tc>
        <w:tc>
          <w:tcPr>
            <w:tcW w:w="677" w:type="pct"/>
          </w:tcPr>
          <w:p w14:paraId="483B28C1" w14:textId="77777777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D1 Lietavská Lúčka – Višňové – Dubná Skala, II. Fáza</w:t>
            </w:r>
          </w:p>
        </w:tc>
        <w:tc>
          <w:tcPr>
            <w:tcW w:w="447" w:type="pct"/>
            <w:shd w:val="clear" w:color="auto" w:fill="EF858F"/>
          </w:tcPr>
          <w:p w14:paraId="209751DA" w14:textId="77777777" w:rsidR="00A70055" w:rsidRPr="00DD6590" w:rsidRDefault="00A70055" w:rsidP="005D4F99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3" w:type="pct"/>
          </w:tcPr>
          <w:p w14:paraId="682BD496" w14:textId="1CC3A6C4" w:rsidR="00A70055" w:rsidRPr="00DD6590" w:rsidRDefault="00A70055" w:rsidP="005D4F99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273 301 668,08 </w:t>
            </w:r>
            <w:r w:rsidR="008D1122">
              <w:rPr>
                <w:rFonts w:asciiTheme="minorHAnsi" w:hAnsiTheme="minorHAnsi"/>
                <w:sz w:val="16"/>
                <w:szCs w:val="16"/>
              </w:rPr>
              <w:t>EUR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6" w:type="pct"/>
          </w:tcPr>
          <w:p w14:paraId="748767C3" w14:textId="0E3BA6DC" w:rsidR="00A70055" w:rsidRPr="00DD6590" w:rsidRDefault="00A70055" w:rsidP="005D4F99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39</w:t>
            </w:r>
            <w:r w:rsidR="000A42B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50" w:type="pct"/>
          </w:tcPr>
          <w:p w14:paraId="09A4ABEA" w14:textId="217D005E" w:rsidR="00A70055" w:rsidRPr="00DD6590" w:rsidRDefault="00A70055" w:rsidP="005D4F99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44</w:t>
            </w:r>
            <w:r w:rsidR="000A42B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18" w:type="pct"/>
          </w:tcPr>
          <w:p w14:paraId="0D63DE18" w14:textId="5383E3B3" w:rsidR="00A70055" w:rsidRPr="00DD6590" w:rsidRDefault="00A70055" w:rsidP="005D4F99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45</w:t>
            </w:r>
            <w:r w:rsidR="000A42B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02" w:type="pct"/>
          </w:tcPr>
          <w:p w14:paraId="4B4BE708" w14:textId="18E17F8D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P0648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času v cestnej doprave na diaľniciach a rýchlostných cestách: 0</w:t>
            </w:r>
            <w:r w:rsidR="000A42BB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39EAED1B" w14:textId="1DE70F9A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P0675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produkcie emisií PM</w:t>
            </w:r>
            <w:r w:rsidRPr="00E96B75">
              <w:rPr>
                <w:sz w:val="16"/>
                <w:szCs w:val="16"/>
                <w:vertAlign w:val="subscript"/>
              </w:rPr>
              <w:t>10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(vplyvom výstavby diaľnic): 0</w:t>
            </w:r>
            <w:r w:rsidR="000A42B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0496FE6D" w14:textId="17E2324A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P0668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="006F6CE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Úspora produkcie emisií NO</w:t>
            </w:r>
            <w:r w:rsidRPr="00E96B75">
              <w:rPr>
                <w:sz w:val="16"/>
                <w:szCs w:val="16"/>
                <w:vertAlign w:val="subscript"/>
              </w:rPr>
              <w:t>2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(vplyvom výstavby diaľnic): 0</w:t>
            </w:r>
            <w:r w:rsidR="000A42B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2FAB585E" w14:textId="444E5672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P0005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Celková dĺžka novovybudovaných ciest v sieti TEN-T (CORE): 0</w:t>
            </w:r>
            <w:r w:rsidR="000A42BB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37" w:type="pct"/>
          </w:tcPr>
          <w:p w14:paraId="5B69CD89" w14:textId="0C57228B" w:rsidR="00A70055" w:rsidRPr="00DD6590" w:rsidRDefault="006944FB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T</w:t>
            </w:r>
            <w:r w:rsidR="00A70055" w:rsidRPr="00DD6590">
              <w:rPr>
                <w:rFonts w:asciiTheme="minorHAnsi" w:hAnsiTheme="minorHAnsi"/>
                <w:sz w:val="16"/>
                <w:szCs w:val="16"/>
              </w:rPr>
              <w:t xml:space="preserve">unel Višňové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je </w:t>
            </w:r>
            <w:r w:rsidR="00A70055" w:rsidRPr="00DD6590">
              <w:rPr>
                <w:rFonts w:asciiTheme="minorHAnsi" w:hAnsiTheme="minorHAnsi"/>
                <w:sz w:val="16"/>
                <w:szCs w:val="16"/>
              </w:rPr>
              <w:t>prerazený, primárne ostenie</w:t>
            </w:r>
            <w:r w:rsidR="000A42BB">
              <w:rPr>
                <w:rFonts w:asciiTheme="minorHAnsi" w:hAnsiTheme="minorHAnsi"/>
                <w:sz w:val="16"/>
                <w:szCs w:val="16"/>
              </w:rPr>
              <w:t xml:space="preserve"> je</w:t>
            </w:r>
            <w:r w:rsidR="000A42BB" w:rsidRPr="00DD6590">
              <w:rPr>
                <w:rFonts w:asciiTheme="minorHAnsi" w:hAnsiTheme="minorHAnsi"/>
                <w:sz w:val="16"/>
                <w:szCs w:val="16"/>
              </w:rPr>
              <w:t xml:space="preserve"> hotové</w:t>
            </w:r>
            <w:r w:rsidR="00A70055" w:rsidRPr="00DD6590">
              <w:rPr>
                <w:rFonts w:asciiTheme="minorHAnsi" w:hAnsiTheme="minorHAnsi"/>
                <w:sz w:val="16"/>
                <w:szCs w:val="16"/>
              </w:rPr>
              <w:t xml:space="preserve">, práce sú však </w:t>
            </w:r>
            <w:r w:rsidR="00167200" w:rsidRPr="00DD6590">
              <w:rPr>
                <w:rFonts w:asciiTheme="minorHAnsi" w:hAnsiTheme="minorHAnsi"/>
                <w:sz w:val="16"/>
                <w:szCs w:val="16"/>
              </w:rPr>
              <w:t>prerušené</w:t>
            </w:r>
            <w:r w:rsidR="00A70055" w:rsidRPr="00DD6590">
              <w:rPr>
                <w:rFonts w:asciiTheme="minorHAnsi" w:hAnsiTheme="minorHAnsi"/>
                <w:sz w:val="16"/>
                <w:szCs w:val="16"/>
              </w:rPr>
              <w:t>.</w:t>
            </w:r>
          </w:p>
          <w:p w14:paraId="04FEF43D" w14:textId="65FA5AE9" w:rsidR="00A70055" w:rsidRPr="00DD6590" w:rsidRDefault="00447916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Na základe </w:t>
            </w:r>
            <w:r w:rsidR="00195F15" w:rsidRPr="00DD6590">
              <w:rPr>
                <w:rFonts w:asciiTheme="minorHAnsi" w:hAnsiTheme="minorHAnsi"/>
                <w:sz w:val="16"/>
                <w:szCs w:val="16"/>
              </w:rPr>
              <w:t>rokovania</w:t>
            </w:r>
            <w:r w:rsidR="00195F15" w:rsidRPr="00DD6590">
              <w:rPr>
                <w:rStyle w:val="FootnoteReference"/>
                <w:rFonts w:asciiTheme="minorHAnsi" w:hAnsiTheme="minorHAnsi"/>
                <w:sz w:val="16"/>
                <w:szCs w:val="16"/>
              </w:rPr>
              <w:footnoteReference w:id="5"/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vlády SR bola </w:t>
            </w:r>
            <w:r w:rsidR="00195F15" w:rsidRPr="00DD6590">
              <w:rPr>
                <w:rFonts w:asciiTheme="minorHAnsi" w:hAnsiTheme="minorHAnsi"/>
                <w:sz w:val="16"/>
                <w:szCs w:val="16"/>
              </w:rPr>
              <w:t>uzavretá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dohoda o ukončení </w:t>
            </w:r>
            <w:r w:rsidR="00195F15" w:rsidRPr="00DD6590">
              <w:rPr>
                <w:rFonts w:asciiTheme="minorHAnsi" w:hAnsiTheme="minorHAnsi"/>
                <w:sz w:val="16"/>
                <w:szCs w:val="16"/>
              </w:rPr>
              <w:t>zmluvy o dielo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265FD" w:rsidRPr="00DD6590">
              <w:rPr>
                <w:rFonts w:asciiTheme="minorHAnsi" w:hAnsiTheme="minorHAnsi"/>
                <w:sz w:val="16"/>
                <w:szCs w:val="16"/>
              </w:rPr>
              <w:t xml:space="preserve">medzi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NDS a </w:t>
            </w:r>
            <w:r w:rsidR="00FD5772" w:rsidRPr="00DD6590">
              <w:rPr>
                <w:rFonts w:asciiTheme="minorHAnsi" w:hAnsiTheme="minorHAnsi"/>
                <w:sz w:val="16"/>
                <w:szCs w:val="16"/>
              </w:rPr>
              <w:t>zhotoviteľom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.</w:t>
            </w:r>
          </w:p>
          <w:p w14:paraId="7359F065" w14:textId="77777777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Pri projekte je riziko spojené s potrebou opätovného vyhlásenia verejného obstarávania a dĺžkou procesu VO a následným pokračovaním v stavebných prácach.</w:t>
            </w:r>
          </w:p>
          <w:p w14:paraId="43EC781D" w14:textId="576FA05C" w:rsidR="003612CF" w:rsidRPr="00DD6590" w:rsidRDefault="003612CF" w:rsidP="003612C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V súčasnosti NDS spracováva štúdiu, ktorá vyhodnotí pokrok prác na projekte a stanoví harmonogram ďalšej realizácie projektu.  </w:t>
            </w:r>
          </w:p>
        </w:tc>
        <w:tc>
          <w:tcPr>
            <w:tcW w:w="613" w:type="pct"/>
          </w:tcPr>
          <w:p w14:paraId="61C8D3F7" w14:textId="51D9EB8B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Nastaviť systém monitorovania a riadenia rizík projektu so stanovením harmonogramu pre všetky aktivity, ktoré povedú k pokračovaniu realizácie projektu.</w:t>
            </w:r>
            <w:r w:rsidR="00876B01" w:rsidRPr="00DD6590">
              <w:rPr>
                <w:rFonts w:asciiTheme="minorHAnsi" w:hAnsiTheme="minorHAnsi"/>
                <w:sz w:val="16"/>
                <w:szCs w:val="16"/>
              </w:rPr>
              <w:t xml:space="preserve"> Zabezpečiť čo najskorší výber nového zhotoviteľa a nastaviť zmluvné podmienky tak</w:t>
            </w:r>
            <w:r w:rsidR="000A42BB">
              <w:rPr>
                <w:rFonts w:asciiTheme="minorHAnsi" w:hAnsiTheme="minorHAnsi"/>
                <w:sz w:val="16"/>
                <w:szCs w:val="16"/>
              </w:rPr>
              <w:t>,</w:t>
            </w:r>
            <w:r w:rsidR="00876B01" w:rsidRPr="00DD6590">
              <w:rPr>
                <w:rFonts w:asciiTheme="minorHAnsi" w:hAnsiTheme="minorHAnsi"/>
                <w:sz w:val="16"/>
                <w:szCs w:val="16"/>
              </w:rPr>
              <w:t xml:space="preserve"> aby bol projekt </w:t>
            </w:r>
            <w:r w:rsidR="00195F15" w:rsidRPr="00DD6590">
              <w:rPr>
                <w:rFonts w:asciiTheme="minorHAnsi" w:hAnsiTheme="minorHAnsi"/>
                <w:sz w:val="16"/>
                <w:szCs w:val="16"/>
              </w:rPr>
              <w:t xml:space="preserve">dokončený </w:t>
            </w:r>
            <w:r w:rsidR="00876B01" w:rsidRPr="00DD6590">
              <w:rPr>
                <w:rFonts w:asciiTheme="minorHAnsi" w:hAnsiTheme="minorHAnsi"/>
                <w:sz w:val="16"/>
                <w:szCs w:val="16"/>
              </w:rPr>
              <w:t xml:space="preserve">v tomto programovom období. </w:t>
            </w:r>
          </w:p>
          <w:p w14:paraId="707885FE" w14:textId="1841D7C8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 prípade nedodržania stanovených lehôt je potrebné odstúpiť od zmluvy o NFP a realokovať finančné prostriedky na projekt, ktorý umožní naplnenie kľúčového ukazovateľa - Celková dĺžka novovybudovaných ciest v sieti TEN-T</w:t>
            </w:r>
            <w:r w:rsidR="00195F15" w:rsidRPr="00DD6590">
              <w:rPr>
                <w:rFonts w:asciiTheme="minorHAnsi" w:hAnsiTheme="minorHAnsi"/>
                <w:sz w:val="16"/>
                <w:szCs w:val="16"/>
              </w:rPr>
              <w:t xml:space="preserve"> (CORE)</w:t>
            </w:r>
          </w:p>
        </w:tc>
      </w:tr>
      <w:tr w:rsidR="000808A3" w:rsidRPr="00DD6590" w14:paraId="168B6665" w14:textId="77777777" w:rsidTr="005B2C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" w:type="pct"/>
          </w:tcPr>
          <w:p w14:paraId="107C4982" w14:textId="77777777" w:rsidR="00A70055" w:rsidRPr="00DD6590" w:rsidRDefault="00A70055" w:rsidP="005B2C79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4</w:t>
            </w:r>
          </w:p>
        </w:tc>
        <w:tc>
          <w:tcPr>
            <w:tcW w:w="677" w:type="pct"/>
          </w:tcPr>
          <w:p w14:paraId="0B1CB62E" w14:textId="77777777" w:rsidR="00A70055" w:rsidRPr="00DD6590" w:rsidRDefault="00A70055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D3 Svrčinovec – Skalité (2. fáza)</w:t>
            </w:r>
          </w:p>
        </w:tc>
        <w:tc>
          <w:tcPr>
            <w:tcW w:w="447" w:type="pct"/>
            <w:shd w:val="clear" w:color="auto" w:fill="D0EC9F"/>
          </w:tcPr>
          <w:p w14:paraId="6785ADCB" w14:textId="77777777" w:rsidR="00A70055" w:rsidRPr="00DD6590" w:rsidRDefault="00A70055" w:rsidP="005D4F99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3" w:type="pct"/>
          </w:tcPr>
          <w:p w14:paraId="0E692F99" w14:textId="302E18E0" w:rsidR="00A70055" w:rsidRPr="00DD6590" w:rsidRDefault="00A70055" w:rsidP="005D4F99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112 115 000,00 </w:t>
            </w:r>
            <w:r w:rsidR="008D1122">
              <w:rPr>
                <w:rFonts w:asciiTheme="minorHAnsi" w:hAnsiTheme="minorHAnsi"/>
                <w:sz w:val="16"/>
                <w:szCs w:val="16"/>
              </w:rPr>
              <w:t>EUR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6" w:type="pct"/>
          </w:tcPr>
          <w:p w14:paraId="7453B4CE" w14:textId="29ECD498" w:rsidR="00A70055" w:rsidRPr="00DD6590" w:rsidRDefault="00A70055" w:rsidP="005D4F99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95</w:t>
            </w:r>
            <w:r w:rsidR="000A42B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4A4C33D4" w14:textId="77777777" w:rsidR="00A70055" w:rsidRPr="00DD6590" w:rsidRDefault="00A70055" w:rsidP="005D4F99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0" w:type="pct"/>
          </w:tcPr>
          <w:p w14:paraId="686D228E" w14:textId="7DA4970B" w:rsidR="00A70055" w:rsidRPr="00DD6590" w:rsidRDefault="00A70055" w:rsidP="005D4F99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86</w:t>
            </w:r>
            <w:r w:rsidR="000A42B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18" w:type="pct"/>
          </w:tcPr>
          <w:p w14:paraId="3DD399EC" w14:textId="2E437A4E" w:rsidR="00A70055" w:rsidRPr="00DD6590" w:rsidRDefault="00A70055" w:rsidP="005D4F99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0A42B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02" w:type="pct"/>
          </w:tcPr>
          <w:p w14:paraId="79C4C1A1" w14:textId="737D19FF" w:rsidR="00A70055" w:rsidRPr="00DD6590" w:rsidRDefault="00A70055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P0648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času v cestnej doprave na diaľniciach a rýchlostných cestách: 0</w:t>
            </w:r>
            <w:r w:rsidR="000A42BB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0C4547F6" w14:textId="215B3690" w:rsidR="00A70055" w:rsidRPr="00DD6590" w:rsidRDefault="00A70055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P0675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produkcie emisií PM</w:t>
            </w:r>
            <w:r w:rsidRPr="00E96B75">
              <w:rPr>
                <w:sz w:val="16"/>
                <w:szCs w:val="16"/>
                <w:vertAlign w:val="subscript"/>
              </w:rPr>
              <w:t>10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(vplyvom výstavby diaľnic): 0%</w:t>
            </w:r>
          </w:p>
          <w:p w14:paraId="58E64F41" w14:textId="67D05253" w:rsidR="00A70055" w:rsidRPr="00DD6590" w:rsidRDefault="00A70055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P0668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="006F6CE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Úspora produkcie emisií NO</w:t>
            </w:r>
            <w:r w:rsidRPr="00E96B75">
              <w:rPr>
                <w:sz w:val="16"/>
                <w:szCs w:val="16"/>
                <w:vertAlign w:val="subscript"/>
              </w:rPr>
              <w:t>2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(vplyvom výstavby diaľnic): 0%</w:t>
            </w:r>
          </w:p>
          <w:p w14:paraId="167B54DF" w14:textId="4348ED95" w:rsidR="00A70055" w:rsidRPr="00DD6590" w:rsidRDefault="00A70055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P0005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Celková dĺžka novovybudovaných ciest v sieti TEN-T (CORE): 100</w:t>
            </w:r>
            <w:r w:rsidR="00055E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1473A3D7" w14:textId="5FCF3A9A" w:rsidR="00A70055" w:rsidRPr="00DD6590" w:rsidRDefault="00A70055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P0111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Percento fyzického pokroku z celkovej dĺžky novej a/alebo technicky zhodnotenej infraštruktúry: 100</w:t>
            </w:r>
            <w:r w:rsidR="00055E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37" w:type="pct"/>
          </w:tcPr>
          <w:p w14:paraId="336124C1" w14:textId="77777777" w:rsidR="00A70055" w:rsidRPr="00DD6590" w:rsidRDefault="00A70055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Projekt je v prevádzke</w:t>
            </w:r>
          </w:p>
        </w:tc>
        <w:tc>
          <w:tcPr>
            <w:tcW w:w="613" w:type="pct"/>
          </w:tcPr>
          <w:p w14:paraId="30CBDC0D" w14:textId="5083E8AA" w:rsidR="00A70055" w:rsidRPr="00DD6590" w:rsidRDefault="00A70055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Dôsledný monitoring </w:t>
            </w:r>
            <w:r w:rsidR="007D58A7" w:rsidRPr="00DD6590">
              <w:rPr>
                <w:rFonts w:asciiTheme="minorHAnsi" w:hAnsiTheme="minorHAnsi"/>
                <w:sz w:val="16"/>
                <w:szCs w:val="16"/>
              </w:rPr>
              <w:t>napĺňania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ukazovateľov výsledku v období udržateľnosti projektu.</w:t>
            </w:r>
          </w:p>
          <w:p w14:paraId="17C5B3B2" w14:textId="5A5455C3" w:rsidR="00A70055" w:rsidRPr="00DD6590" w:rsidRDefault="00195F15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Využiť</w:t>
            </w:r>
            <w:r w:rsidR="00FD5772" w:rsidRPr="00DD6590">
              <w:rPr>
                <w:rFonts w:asciiTheme="minorHAnsi" w:hAnsiTheme="minorHAnsi"/>
                <w:sz w:val="16"/>
                <w:szCs w:val="16"/>
              </w:rPr>
              <w:t xml:space="preserve"> nedočerpané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finančné prostriedky na realizáciu projektov PO2, najmä - D1 Hubová – Ivachnová (2. fáza)</w:t>
            </w:r>
          </w:p>
        </w:tc>
      </w:tr>
      <w:tr w:rsidR="000808A3" w:rsidRPr="00DD6590" w14:paraId="1F3BE005" w14:textId="77777777" w:rsidTr="005B2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" w:type="pct"/>
          </w:tcPr>
          <w:p w14:paraId="7CE3E30A" w14:textId="77777777" w:rsidR="00A70055" w:rsidRPr="00DD6590" w:rsidRDefault="00A70055" w:rsidP="005B2C79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lastRenderedPageBreak/>
              <w:t>5</w:t>
            </w:r>
          </w:p>
        </w:tc>
        <w:tc>
          <w:tcPr>
            <w:tcW w:w="677" w:type="pct"/>
          </w:tcPr>
          <w:p w14:paraId="4D89F93B" w14:textId="77777777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D3 Čadca, Bukov - Svrčinovec</w:t>
            </w:r>
          </w:p>
        </w:tc>
        <w:tc>
          <w:tcPr>
            <w:tcW w:w="447" w:type="pct"/>
            <w:shd w:val="clear" w:color="auto" w:fill="D0EC9F"/>
          </w:tcPr>
          <w:p w14:paraId="412B3D5A" w14:textId="77777777" w:rsidR="00A70055" w:rsidRPr="00DD6590" w:rsidRDefault="00A70055" w:rsidP="005D4F99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3" w:type="pct"/>
          </w:tcPr>
          <w:p w14:paraId="32DD7545" w14:textId="2C081F1B" w:rsidR="00A70055" w:rsidRPr="00DD6590" w:rsidRDefault="00A70055" w:rsidP="00D6603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71</w:t>
            </w:r>
            <w:r w:rsidR="00D6603F" w:rsidRPr="00DD6590">
              <w:rPr>
                <w:rFonts w:asciiTheme="minorHAnsi" w:hAnsiTheme="minorHAnsi"/>
                <w:sz w:val="16"/>
                <w:szCs w:val="16"/>
              </w:rPr>
              <w:t xml:space="preserve"> 644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484</w:t>
            </w:r>
            <w:r w:rsidR="00D6603F" w:rsidRPr="00DD6590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07 </w:t>
            </w:r>
            <w:r w:rsidR="008D1122">
              <w:rPr>
                <w:rFonts w:asciiTheme="minorHAnsi" w:hAnsiTheme="minorHAnsi"/>
                <w:sz w:val="16"/>
                <w:szCs w:val="16"/>
              </w:rPr>
              <w:t>EUR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6" w:type="pct"/>
          </w:tcPr>
          <w:p w14:paraId="74E8AE28" w14:textId="4E9E1DA2" w:rsidR="00A70055" w:rsidRPr="00DD6590" w:rsidRDefault="00A70055" w:rsidP="005D4F99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40</w:t>
            </w:r>
            <w:r w:rsidR="00055EAC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31</w:t>
            </w:r>
            <w:r w:rsidR="00055E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1D6E296C" w14:textId="77777777" w:rsidR="00A70055" w:rsidRPr="00DD6590" w:rsidRDefault="00A70055" w:rsidP="005D4F99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0" w:type="pct"/>
          </w:tcPr>
          <w:p w14:paraId="2637D580" w14:textId="72A0CD01" w:rsidR="00A70055" w:rsidRPr="00DD6590" w:rsidRDefault="00A70055" w:rsidP="005D4F99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45</w:t>
            </w:r>
            <w:r w:rsidR="00055E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18" w:type="pct"/>
          </w:tcPr>
          <w:p w14:paraId="47064AFE" w14:textId="1DE59B13" w:rsidR="00A70055" w:rsidRPr="00DD6590" w:rsidRDefault="00A70055" w:rsidP="005D4F99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45</w:t>
            </w:r>
            <w:r w:rsidR="00055E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02" w:type="pct"/>
          </w:tcPr>
          <w:p w14:paraId="5777D4A7" w14:textId="22E3ACFD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P0648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času v cestnej doprave na diaľniciach a rýchlostných cestách: 0</w:t>
            </w:r>
            <w:r w:rsidR="00055EAC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2B25F777" w14:textId="13703749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P0675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produkcie emisií PM</w:t>
            </w:r>
            <w:r w:rsidRPr="00E96B75">
              <w:rPr>
                <w:sz w:val="16"/>
                <w:szCs w:val="16"/>
                <w:vertAlign w:val="subscript"/>
              </w:rPr>
              <w:t>10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(vplyvom výstavby diaľnic): 0</w:t>
            </w:r>
            <w:r w:rsidR="00055E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6A93602D" w14:textId="49393F28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P0668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="006F6CE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Úspora produkcie emisií NO</w:t>
            </w:r>
            <w:r w:rsidRPr="00E96B75">
              <w:rPr>
                <w:sz w:val="16"/>
                <w:szCs w:val="16"/>
                <w:vertAlign w:val="subscript"/>
              </w:rPr>
              <w:t>2</w:t>
            </w:r>
            <w:r w:rsidRPr="00055EAC">
              <w:rPr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(vplyvom výstavby diaľnic): 0</w:t>
            </w:r>
            <w:r w:rsidR="00055E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32DD9748" w14:textId="3438C124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P0005 - Celková dĺžka novovybudovaných ciest v sieti TEN-T (CORE): 0</w:t>
            </w:r>
            <w:r w:rsidR="00055EAC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37" w:type="pct"/>
          </w:tcPr>
          <w:p w14:paraId="7A018570" w14:textId="507E9833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Realizácia projektu je rámcovo v súlade s finančným čerpaním a harmonogramom. </w:t>
            </w:r>
          </w:p>
          <w:p w14:paraId="27690330" w14:textId="5A5AACD4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Dá sa predpokladať, že projekt naplní </w:t>
            </w:r>
            <w:r w:rsidR="00195F15" w:rsidRPr="00DD6590">
              <w:rPr>
                <w:rFonts w:asciiTheme="minorHAnsi" w:hAnsiTheme="minorHAnsi"/>
                <w:sz w:val="16"/>
                <w:szCs w:val="16"/>
              </w:rPr>
              <w:t>cieľovú hodnotu ukazovateľa výstupu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613" w:type="pct"/>
          </w:tcPr>
          <w:p w14:paraId="02AC18B1" w14:textId="77777777" w:rsidR="00A70055" w:rsidRPr="00DD6590" w:rsidRDefault="00A70055" w:rsidP="005D4F99">
            <w:pPr>
              <w:pStyle w:val="ListParagraph"/>
              <w:spacing w:before="60" w:after="0" w:line="240" w:lineRule="auto"/>
              <w:ind w:left="28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808A3" w:rsidRPr="00DD6590" w14:paraId="2A275549" w14:textId="77777777" w:rsidTr="005B2C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" w:type="pct"/>
          </w:tcPr>
          <w:p w14:paraId="570DEF9E" w14:textId="77777777" w:rsidR="00A70055" w:rsidRPr="00DD6590" w:rsidRDefault="00A70055" w:rsidP="005B2C79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6</w:t>
            </w:r>
          </w:p>
        </w:tc>
        <w:tc>
          <w:tcPr>
            <w:tcW w:w="677" w:type="pct"/>
          </w:tcPr>
          <w:p w14:paraId="4CAE5C09" w14:textId="77777777" w:rsidR="00A70055" w:rsidRPr="00DD6590" w:rsidRDefault="00A70055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D1 Budimír - Bidovce</w:t>
            </w:r>
          </w:p>
        </w:tc>
        <w:tc>
          <w:tcPr>
            <w:tcW w:w="447" w:type="pct"/>
            <w:shd w:val="clear" w:color="auto" w:fill="D0EC9F"/>
          </w:tcPr>
          <w:p w14:paraId="580DA4BA" w14:textId="77777777" w:rsidR="00A70055" w:rsidRPr="00DD6590" w:rsidRDefault="00A70055" w:rsidP="005D4F99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3" w:type="pct"/>
          </w:tcPr>
          <w:p w14:paraId="1E755D26" w14:textId="5305A909" w:rsidR="00A70055" w:rsidRPr="00DD6590" w:rsidRDefault="00A70055" w:rsidP="005D4F99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173 033 451,12 </w:t>
            </w:r>
            <w:r w:rsidR="008D1122">
              <w:rPr>
                <w:rFonts w:asciiTheme="minorHAnsi" w:hAnsiTheme="minorHAnsi"/>
                <w:sz w:val="16"/>
                <w:szCs w:val="16"/>
              </w:rPr>
              <w:t>EUR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6" w:type="pct"/>
          </w:tcPr>
          <w:p w14:paraId="17832BA9" w14:textId="0056533B" w:rsidR="00A70055" w:rsidRPr="00DD6590" w:rsidRDefault="00A70055" w:rsidP="005D4F99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51</w:t>
            </w:r>
            <w:r w:rsidR="00055E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50" w:type="pct"/>
          </w:tcPr>
          <w:p w14:paraId="1E2EB65B" w14:textId="0AC3A70C" w:rsidR="00A70055" w:rsidRPr="00DD6590" w:rsidRDefault="00A70055" w:rsidP="005D4F99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66</w:t>
            </w:r>
            <w:r w:rsidR="00055E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18" w:type="pct"/>
          </w:tcPr>
          <w:p w14:paraId="0116913C" w14:textId="0EEC3C13" w:rsidR="00A70055" w:rsidRPr="00DD6590" w:rsidRDefault="00FB33F3" w:rsidP="005D4F99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75</w:t>
            </w:r>
            <w:r w:rsidR="00055E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A70055"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02" w:type="pct"/>
          </w:tcPr>
          <w:p w14:paraId="59CE6BE9" w14:textId="1B329CFB" w:rsidR="00A70055" w:rsidRPr="00DD6590" w:rsidRDefault="00A70055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P0648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času v cestnej doprave na diaľniciach a rýchlostných cestách: 0</w:t>
            </w:r>
            <w:r w:rsidR="00055EAC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5F0E9D90" w14:textId="7FBD136F" w:rsidR="00A70055" w:rsidRPr="00DD6590" w:rsidRDefault="00A70055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P0675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produkcie emisií PM</w:t>
            </w:r>
            <w:r w:rsidRPr="00E96B75">
              <w:rPr>
                <w:sz w:val="16"/>
                <w:szCs w:val="16"/>
                <w:vertAlign w:val="subscript"/>
              </w:rPr>
              <w:t>10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(vplyvom výstavby diaľnic): 0</w:t>
            </w:r>
            <w:r w:rsidR="00055E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4EBF9366" w14:textId="163A4A2C" w:rsidR="00A70055" w:rsidRPr="00DD6590" w:rsidRDefault="00A70055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P0668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="006F6CE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Úspora produkcie emisií NO</w:t>
            </w:r>
            <w:r w:rsidRPr="00E96B75">
              <w:rPr>
                <w:sz w:val="16"/>
                <w:szCs w:val="16"/>
                <w:vertAlign w:val="subscript"/>
              </w:rPr>
              <w:t>2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(vplyvom výstavby diaľnic): 0</w:t>
            </w:r>
            <w:r w:rsidR="00055E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26869416" w14:textId="553C4A6B" w:rsidR="00A70055" w:rsidRPr="00DD6590" w:rsidRDefault="00A70055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P0005 - Celková dĺžka novovybudovaných ciest v sieti TEN-T (CORE): 0</w:t>
            </w:r>
            <w:r w:rsidR="00055EAC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13EBD647" w14:textId="139F89C1" w:rsidR="00A70055" w:rsidRPr="00DD6590" w:rsidRDefault="00A70055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P0007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Celková dĺžka novovybudovaných privádzačov k diaľniciam a rýchlostným cestám na sieti TEN-T: 0</w:t>
            </w:r>
            <w:r w:rsidR="00055E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37" w:type="pct"/>
          </w:tcPr>
          <w:p w14:paraId="598823CE" w14:textId="23A1CA86" w:rsidR="00FB33F3" w:rsidRPr="00DD6590" w:rsidRDefault="00FB33F3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Realizácia projektu je rámcovo v súlade s finančným čerpaním a harmonogramom. </w:t>
            </w:r>
          </w:p>
          <w:p w14:paraId="56D270A6" w14:textId="77777777" w:rsidR="00A70055" w:rsidRPr="00DD6590" w:rsidRDefault="00FB33F3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Dá sa predpokladať, že projekt naplní cieľové hodnoty nastavených ukazovateľov výstupu.</w:t>
            </w:r>
          </w:p>
        </w:tc>
        <w:tc>
          <w:tcPr>
            <w:tcW w:w="613" w:type="pct"/>
          </w:tcPr>
          <w:p w14:paraId="62386FD6" w14:textId="77777777" w:rsidR="00A70055" w:rsidRPr="00DD6590" w:rsidRDefault="00A70055" w:rsidP="005D4F99">
            <w:pPr>
              <w:pStyle w:val="ListParagraph"/>
              <w:spacing w:before="60" w:after="0" w:line="240" w:lineRule="auto"/>
              <w:ind w:left="283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808A3" w:rsidRPr="00DD6590" w14:paraId="3EA24462" w14:textId="77777777" w:rsidTr="005B2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" w:type="pct"/>
          </w:tcPr>
          <w:p w14:paraId="41FFA49D" w14:textId="77777777" w:rsidR="00A70055" w:rsidRPr="00DD6590" w:rsidRDefault="00A70055" w:rsidP="005B2C79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7</w:t>
            </w:r>
          </w:p>
        </w:tc>
        <w:tc>
          <w:tcPr>
            <w:tcW w:w="677" w:type="pct"/>
          </w:tcPr>
          <w:p w14:paraId="075B05BD" w14:textId="77777777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D1 Prešov, západ – Prešov, juh</w:t>
            </w:r>
          </w:p>
        </w:tc>
        <w:tc>
          <w:tcPr>
            <w:tcW w:w="447" w:type="pct"/>
            <w:shd w:val="clear" w:color="auto" w:fill="D0EC9F"/>
          </w:tcPr>
          <w:p w14:paraId="49F7C9F3" w14:textId="77777777" w:rsidR="00A70055" w:rsidRPr="00DD6590" w:rsidRDefault="00A70055" w:rsidP="005D4F99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3" w:type="pct"/>
          </w:tcPr>
          <w:p w14:paraId="420B4226" w14:textId="6A747179" w:rsidR="00A70055" w:rsidRPr="00DD6590" w:rsidRDefault="00A70055" w:rsidP="005D4F99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278 317 478,82 </w:t>
            </w:r>
            <w:r w:rsidR="008D1122">
              <w:rPr>
                <w:rFonts w:asciiTheme="minorHAnsi" w:hAnsiTheme="minorHAnsi"/>
                <w:sz w:val="16"/>
                <w:szCs w:val="16"/>
              </w:rPr>
              <w:t>EUR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6" w:type="pct"/>
          </w:tcPr>
          <w:p w14:paraId="44F58199" w14:textId="65FD3B4D" w:rsidR="00A70055" w:rsidRPr="00DD6590" w:rsidRDefault="00A70055" w:rsidP="005D4F99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12</w:t>
            </w:r>
            <w:r w:rsidR="00055E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50" w:type="pct"/>
          </w:tcPr>
          <w:p w14:paraId="1979A399" w14:textId="3ED8D536" w:rsidR="00A70055" w:rsidRPr="00DD6590" w:rsidRDefault="00A70055" w:rsidP="005D4F99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66</w:t>
            </w:r>
            <w:r w:rsidR="00055E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18" w:type="pct"/>
          </w:tcPr>
          <w:p w14:paraId="6A85F654" w14:textId="1F784319" w:rsidR="00A70055" w:rsidRPr="00DD6590" w:rsidRDefault="00FB33F3" w:rsidP="005D4F99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43</w:t>
            </w:r>
            <w:r w:rsidR="00055E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A70055"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02" w:type="pct"/>
          </w:tcPr>
          <w:p w14:paraId="3047D4E0" w14:textId="10323049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P0648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času v cestnej doprave na diaľniciach a rýchlostných cestách: 0</w:t>
            </w:r>
            <w:r w:rsidR="00055EAC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4EBE5F7A" w14:textId="707327A0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P0675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produkcie emisií PM</w:t>
            </w:r>
            <w:r w:rsidRPr="00E96B75">
              <w:rPr>
                <w:sz w:val="16"/>
                <w:szCs w:val="16"/>
                <w:vertAlign w:val="subscript"/>
              </w:rPr>
              <w:t>10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(vplyvom výstavby diaľnic): 0</w:t>
            </w:r>
            <w:r w:rsidR="00055EAC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7861BDCF" w14:textId="42450652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P0668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="006F6CE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Úspora produkcie emisií NO</w:t>
            </w:r>
            <w:r w:rsidRPr="00E96B75">
              <w:rPr>
                <w:sz w:val="16"/>
                <w:szCs w:val="16"/>
                <w:vertAlign w:val="subscript"/>
              </w:rPr>
              <w:t>2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(vplyvom výstavby diaľnic): 0</w:t>
            </w:r>
            <w:r w:rsidR="00055EAC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58BB9D04" w14:textId="0CC40D6E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P0005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Celková dĺžka novovybudovaných ciest v sieti TEN-T (CORE): 0</w:t>
            </w:r>
            <w:r w:rsidR="00055EAC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37" w:type="pct"/>
          </w:tcPr>
          <w:p w14:paraId="3083952B" w14:textId="798F6744" w:rsidR="00FB33F3" w:rsidRPr="00DD6590" w:rsidRDefault="00FB33F3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Realizácia projektu je rámcovo v súlade s finančným čerpaním a harmonogramom. </w:t>
            </w:r>
          </w:p>
          <w:p w14:paraId="42FE6FFB" w14:textId="63A539E0" w:rsidR="00A70055" w:rsidRPr="00DD6590" w:rsidRDefault="00FB33F3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Dá sa predpokladať, že projekt naplní </w:t>
            </w:r>
            <w:r w:rsidR="00195F15" w:rsidRPr="00DD6590">
              <w:rPr>
                <w:rFonts w:asciiTheme="minorHAnsi" w:hAnsiTheme="minorHAnsi"/>
                <w:sz w:val="16"/>
                <w:szCs w:val="16"/>
              </w:rPr>
              <w:t>cieľovú hodnotu ukazovateľa výstupu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613" w:type="pct"/>
          </w:tcPr>
          <w:p w14:paraId="361AD676" w14:textId="77777777" w:rsidR="00A70055" w:rsidRPr="00DD6590" w:rsidRDefault="00A70055" w:rsidP="005D4F99">
            <w:pPr>
              <w:pStyle w:val="ListParagraph"/>
              <w:spacing w:before="60" w:after="0" w:line="240" w:lineRule="auto"/>
              <w:ind w:left="28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95F15" w:rsidRPr="00DD6590" w14:paraId="7747F753" w14:textId="77777777" w:rsidTr="005B2C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" w:type="pct"/>
          </w:tcPr>
          <w:p w14:paraId="7226436F" w14:textId="77777777" w:rsidR="00195F15" w:rsidRPr="00DD6590" w:rsidRDefault="00195F15" w:rsidP="005B2C79">
            <w:pPr>
              <w:spacing w:before="60" w:after="0" w:line="240" w:lineRule="auto"/>
              <w:jc w:val="center"/>
              <w:rPr>
                <w:b w:val="0"/>
                <w:sz w:val="16"/>
                <w:szCs w:val="16"/>
              </w:rPr>
            </w:pPr>
            <w:r w:rsidRPr="00DD6590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677" w:type="pct"/>
          </w:tcPr>
          <w:p w14:paraId="40F5DF60" w14:textId="5843E271" w:rsidR="00195F15" w:rsidRPr="00DD6590" w:rsidRDefault="00195F15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Finančný nástroj </w:t>
            </w:r>
            <w:r w:rsidR="00055EAC">
              <w:rPr>
                <w:sz w:val="16"/>
                <w:szCs w:val="16"/>
              </w:rPr>
              <w:t>na</w:t>
            </w:r>
            <w:r w:rsidR="00055EAC" w:rsidRPr="00DD6590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implementáciu projektov Prioritnej osi 2 OPII</w:t>
            </w:r>
          </w:p>
        </w:tc>
        <w:tc>
          <w:tcPr>
            <w:tcW w:w="447" w:type="pct"/>
            <w:shd w:val="clear" w:color="auto" w:fill="D0EC9F"/>
          </w:tcPr>
          <w:p w14:paraId="33874F00" w14:textId="77777777" w:rsidR="00195F15" w:rsidRPr="00DD6590" w:rsidRDefault="00195F15" w:rsidP="005D4F99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3" w:type="pct"/>
          </w:tcPr>
          <w:p w14:paraId="68EE86C5" w14:textId="3F52ECB5" w:rsidR="00195F15" w:rsidRPr="00DD6590" w:rsidRDefault="00195F15" w:rsidP="005D4F99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43 945 500,65 </w:t>
            </w:r>
            <w:r w:rsidR="008D1122">
              <w:rPr>
                <w:sz w:val="16"/>
                <w:szCs w:val="16"/>
              </w:rPr>
              <w:t>EUR</w:t>
            </w:r>
            <w:r w:rsidRPr="00DD6590">
              <w:rPr>
                <w:sz w:val="16"/>
                <w:szCs w:val="16"/>
              </w:rPr>
              <w:t xml:space="preserve"> </w:t>
            </w:r>
          </w:p>
          <w:p w14:paraId="21B51041" w14:textId="77777777" w:rsidR="00195F15" w:rsidRPr="00DD6590" w:rsidRDefault="00195F15" w:rsidP="005D4F99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14:paraId="3A3D5B8A" w14:textId="77777777" w:rsidR="00195F15" w:rsidRPr="00DD6590" w:rsidRDefault="00195F15" w:rsidP="005D4F99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306" w:type="pct"/>
          </w:tcPr>
          <w:p w14:paraId="5EED9360" w14:textId="22F0A381" w:rsidR="00195F15" w:rsidRPr="00DD6590" w:rsidRDefault="005D4F99" w:rsidP="005D4F99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62,5</w:t>
            </w:r>
            <w:r w:rsidR="00055EAC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350" w:type="pct"/>
          </w:tcPr>
          <w:p w14:paraId="5B3BA656" w14:textId="04BD4616" w:rsidR="00195F15" w:rsidRPr="00DD6590" w:rsidRDefault="005D4F99" w:rsidP="005D4F99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33</w:t>
            </w:r>
            <w:r w:rsidR="00055EAC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318" w:type="pct"/>
          </w:tcPr>
          <w:p w14:paraId="1A6910A1" w14:textId="6C3672A3" w:rsidR="00195F15" w:rsidRPr="00DD6590" w:rsidRDefault="005D4F99" w:rsidP="005D4F99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62</w:t>
            </w:r>
            <w:r w:rsidR="00055EAC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702" w:type="pct"/>
          </w:tcPr>
          <w:p w14:paraId="4BAFACBB" w14:textId="6B4FA58E" w:rsidR="00195F15" w:rsidRPr="00DD6590" w:rsidRDefault="00195F15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P0648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sz w:val="16"/>
                <w:szCs w:val="16"/>
              </w:rPr>
              <w:t xml:space="preserve"> Úspora času v cestnej doprave na diaľniciach a rýchlostných cestách: 0%</w:t>
            </w:r>
          </w:p>
          <w:p w14:paraId="2D825D46" w14:textId="698F3590" w:rsidR="00195F15" w:rsidRPr="00DD6590" w:rsidRDefault="00195F15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P0668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sz w:val="16"/>
                <w:szCs w:val="16"/>
              </w:rPr>
              <w:t xml:space="preserve"> Úspora produkcie emisií NO</w:t>
            </w:r>
            <w:r w:rsidRPr="00CB4784">
              <w:rPr>
                <w:sz w:val="16"/>
                <w:szCs w:val="16"/>
                <w:vertAlign w:val="subscript"/>
              </w:rPr>
              <w:t>2</w:t>
            </w:r>
            <w:r w:rsidRPr="00DD6590">
              <w:rPr>
                <w:sz w:val="16"/>
                <w:szCs w:val="16"/>
              </w:rPr>
              <w:t xml:space="preserve"> (vplyvom výstavby diaľnic): 0</w:t>
            </w:r>
            <w:r w:rsidR="00055EAC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  <w:p w14:paraId="7D410A03" w14:textId="7C9BD1E2" w:rsidR="00195F15" w:rsidRPr="00DD6590" w:rsidRDefault="00195F15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P0675</w:t>
            </w:r>
            <w:r w:rsidR="006F6CE5">
              <w:rPr>
                <w:sz w:val="16"/>
                <w:szCs w:val="16"/>
              </w:rPr>
              <w:t xml:space="preserve">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sz w:val="16"/>
                <w:szCs w:val="16"/>
              </w:rPr>
              <w:tab/>
              <w:t>Úspora produkcie emisií PM</w:t>
            </w:r>
            <w:r w:rsidRPr="00CB4784">
              <w:rPr>
                <w:sz w:val="16"/>
                <w:szCs w:val="16"/>
                <w:vertAlign w:val="subscript"/>
              </w:rPr>
              <w:t>10</w:t>
            </w:r>
            <w:r w:rsidRPr="00DD6590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lastRenderedPageBreak/>
              <w:t>(vplyvom výstavby diaľnic): 0</w:t>
            </w:r>
            <w:r w:rsidR="00055EAC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  <w:p w14:paraId="432A0F26" w14:textId="3606D49E" w:rsidR="00195F15" w:rsidRPr="00DD6590" w:rsidRDefault="00195F15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P0005 </w:t>
            </w:r>
            <w:r w:rsidR="006F6CE5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sz w:val="16"/>
                <w:szCs w:val="16"/>
              </w:rPr>
              <w:t xml:space="preserve"> Celková dĺžka novovybudovaných ciest v sieti TEN-T (CORE): 0</w:t>
            </w:r>
            <w:r w:rsidR="00055EAC">
              <w:rPr>
                <w:sz w:val="16"/>
                <w:szCs w:val="16"/>
              </w:rPr>
              <w:t> 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837" w:type="pct"/>
          </w:tcPr>
          <w:p w14:paraId="4367FEE1" w14:textId="70E9A341" w:rsidR="00195F15" w:rsidRPr="00DD6590" w:rsidRDefault="00195F15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lastRenderedPageBreak/>
              <w:t xml:space="preserve">V rámci finančného nástroja sú zdroje použité na financovanie realizácie diaľničného obchvatu D4 v celkovej dĺžke 27 km. </w:t>
            </w:r>
          </w:p>
          <w:p w14:paraId="0DCE1CE5" w14:textId="77777777" w:rsidR="00980D10" w:rsidRPr="00DD6590" w:rsidRDefault="00980D10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Počas roka 2018 SIH dosiahol nasledovný pokrok v implementácii finančných nástrojov v rámci projektu:</w:t>
            </w:r>
          </w:p>
          <w:p w14:paraId="07AB1AB3" w14:textId="3F177C2D" w:rsidR="00980D10" w:rsidRPr="00DD6590" w:rsidRDefault="00980D10" w:rsidP="003E761D">
            <w:pPr>
              <w:pStyle w:val="ListParagraph"/>
              <w:numPr>
                <w:ilvl w:val="0"/>
                <w:numId w:val="37"/>
              </w:numPr>
              <w:spacing w:before="60" w:after="0" w:line="240" w:lineRule="auto"/>
              <w:ind w:left="356" w:hanging="27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/>
                <w:sz w:val="16"/>
                <w:szCs w:val="16"/>
                <w:lang w:eastAsia="cs-CZ"/>
              </w:rPr>
            </w:pPr>
            <w:r w:rsidRPr="00DD6590">
              <w:rPr>
                <w:rFonts w:eastAsia="Verdana"/>
                <w:sz w:val="16"/>
                <w:szCs w:val="16"/>
                <w:lang w:eastAsia="cs-CZ"/>
              </w:rPr>
              <w:t xml:space="preserve">zrealizovanie mezanínovej investície </w:t>
            </w:r>
            <w:r w:rsidRPr="00DD6590">
              <w:rPr>
                <w:rFonts w:eastAsia="Verdana"/>
                <w:sz w:val="16"/>
                <w:szCs w:val="16"/>
                <w:lang w:eastAsia="cs-CZ"/>
              </w:rPr>
              <w:lastRenderedPageBreak/>
              <w:t>vo výške 27 862 306,35 EUR do PPP projektu D4R7 (v roku 2016)</w:t>
            </w:r>
          </w:p>
          <w:p w14:paraId="3F93FA99" w14:textId="4C993586" w:rsidR="005D4F99" w:rsidRPr="00DD6590" w:rsidRDefault="005D4F99" w:rsidP="005D4F99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Dňa 26. 6. 2018 prebehlo zo strany SIH zúčtovanie 1. ŽoP, v rámci ktorej SIH deklaroval oprávnené výdavky v celkovej výške 31 617 189,82 Eur.</w:t>
            </w:r>
          </w:p>
        </w:tc>
        <w:tc>
          <w:tcPr>
            <w:tcW w:w="613" w:type="pct"/>
          </w:tcPr>
          <w:p w14:paraId="2B019899" w14:textId="77777777" w:rsidR="00195F15" w:rsidRPr="00DD6590" w:rsidRDefault="00195F15" w:rsidP="005D4F99">
            <w:pPr>
              <w:pStyle w:val="ListParagraph"/>
              <w:spacing w:before="60" w:after="0" w:line="240" w:lineRule="auto"/>
              <w:ind w:left="283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9021B" w:rsidRPr="00DD6590" w14:paraId="50374CA5" w14:textId="77777777" w:rsidTr="005B2C79">
        <w:trPr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" w:type="pct"/>
            <w:shd w:val="clear" w:color="auto" w:fill="E7F5CF" w:themeFill="accent1" w:themeFillTint="33"/>
          </w:tcPr>
          <w:p w14:paraId="1EE831E0" w14:textId="77777777" w:rsidR="00A70055" w:rsidRPr="00DD6590" w:rsidRDefault="00A70055" w:rsidP="005B2C79">
            <w:pPr>
              <w:spacing w:before="60" w:after="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7" w:type="pct"/>
            <w:shd w:val="clear" w:color="auto" w:fill="E7F5CF" w:themeFill="accent1" w:themeFillTint="33"/>
          </w:tcPr>
          <w:p w14:paraId="4CCE28A1" w14:textId="77777777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>Celkom</w:t>
            </w:r>
          </w:p>
        </w:tc>
        <w:tc>
          <w:tcPr>
            <w:tcW w:w="447" w:type="pct"/>
            <w:shd w:val="clear" w:color="auto" w:fill="E7F5CF" w:themeFill="accent1" w:themeFillTint="33"/>
          </w:tcPr>
          <w:p w14:paraId="1BF9828E" w14:textId="77777777" w:rsidR="00A70055" w:rsidRPr="00DD6590" w:rsidRDefault="00A70055" w:rsidP="005D4F99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3" w:type="pct"/>
            <w:shd w:val="clear" w:color="auto" w:fill="E7F5CF" w:themeFill="accent1" w:themeFillTint="33"/>
          </w:tcPr>
          <w:p w14:paraId="4E1241CD" w14:textId="0303AED5" w:rsidR="00A70055" w:rsidRPr="00DD6590" w:rsidRDefault="00FD5772" w:rsidP="005D4F99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 xml:space="preserve">1 315 039 480,71 </w:t>
            </w:r>
            <w:r w:rsidR="008D1122">
              <w:rPr>
                <w:rFonts w:asciiTheme="minorHAnsi" w:hAnsiTheme="minorHAnsi"/>
                <w:b/>
                <w:sz w:val="16"/>
                <w:szCs w:val="16"/>
              </w:rPr>
              <w:t>EUR</w:t>
            </w:r>
          </w:p>
        </w:tc>
        <w:tc>
          <w:tcPr>
            <w:tcW w:w="306" w:type="pct"/>
            <w:shd w:val="clear" w:color="auto" w:fill="E7F5CF" w:themeFill="accent1" w:themeFillTint="33"/>
          </w:tcPr>
          <w:p w14:paraId="2D732280" w14:textId="264E506A" w:rsidR="00A70055" w:rsidRPr="00DD6590" w:rsidRDefault="003F2F79" w:rsidP="005D4F99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>54,78</w:t>
            </w:r>
            <w:r w:rsidR="00055EAC">
              <w:rPr>
                <w:rFonts w:asciiTheme="minorHAnsi" w:hAnsiTheme="minorHAnsi"/>
                <w:b/>
                <w:sz w:val="16"/>
                <w:szCs w:val="16"/>
              </w:rPr>
              <w:t> </w:t>
            </w:r>
            <w:r w:rsidR="00A70055" w:rsidRPr="00DD6590">
              <w:rPr>
                <w:rFonts w:asciiTheme="minorHAnsi" w:hAnsiTheme="minorHAnsi"/>
                <w:b/>
                <w:sz w:val="16"/>
                <w:szCs w:val="16"/>
              </w:rPr>
              <w:t>%</w:t>
            </w:r>
            <w:r w:rsidR="00A70055" w:rsidRPr="00DD6590">
              <w:rPr>
                <w:rStyle w:val="FootnoteReference"/>
                <w:rFonts w:asciiTheme="minorHAnsi" w:hAnsiTheme="minorHAnsi"/>
                <w:b/>
                <w:sz w:val="16"/>
                <w:szCs w:val="16"/>
              </w:rPr>
              <w:footnoteReference w:id="6"/>
            </w:r>
          </w:p>
        </w:tc>
        <w:tc>
          <w:tcPr>
            <w:tcW w:w="350" w:type="pct"/>
            <w:shd w:val="clear" w:color="auto" w:fill="E7F5CF" w:themeFill="accent1" w:themeFillTint="33"/>
          </w:tcPr>
          <w:p w14:paraId="34FF57DA" w14:textId="77777777" w:rsidR="00A70055" w:rsidRPr="00DD6590" w:rsidRDefault="00A70055" w:rsidP="005D4F99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E7F5CF" w:themeFill="accent1" w:themeFillTint="33"/>
          </w:tcPr>
          <w:p w14:paraId="42DA0762" w14:textId="77777777" w:rsidR="00A70055" w:rsidRPr="00DD6590" w:rsidRDefault="00A70055" w:rsidP="005D4F99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2" w:type="pct"/>
            <w:shd w:val="clear" w:color="auto" w:fill="E7F5CF" w:themeFill="accent1" w:themeFillTint="33"/>
          </w:tcPr>
          <w:p w14:paraId="415A157D" w14:textId="77777777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37" w:type="pct"/>
            <w:shd w:val="clear" w:color="auto" w:fill="E7F5CF" w:themeFill="accent1" w:themeFillTint="33"/>
          </w:tcPr>
          <w:p w14:paraId="37F742EA" w14:textId="77777777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13" w:type="pct"/>
            <w:shd w:val="clear" w:color="auto" w:fill="E7F5CF" w:themeFill="accent1" w:themeFillTint="33"/>
          </w:tcPr>
          <w:p w14:paraId="23CED111" w14:textId="77777777" w:rsidR="00A70055" w:rsidRPr="00DD6590" w:rsidRDefault="00A70055" w:rsidP="005D4F99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</w:tbl>
    <w:p w14:paraId="74843D1D" w14:textId="77777777" w:rsidR="00A70055" w:rsidRPr="00DD6590" w:rsidRDefault="00A70055" w:rsidP="00A70055"/>
    <w:p w14:paraId="10298650" w14:textId="27EFEE20" w:rsidR="00A70055" w:rsidRPr="00DD6590" w:rsidRDefault="00A70055" w:rsidP="00B0035E">
      <w:pPr>
        <w:pStyle w:val="Heading2"/>
      </w:pPr>
      <w:bookmarkStart w:id="10" w:name="_Ref4417102"/>
      <w:bookmarkStart w:id="11" w:name="_Ref4417326"/>
      <w:bookmarkStart w:id="12" w:name="_Toc9350263"/>
      <w:r w:rsidRPr="00DD6590">
        <w:t>Vyhodnotenie plnenia výstupových, výsledkových a finančných ukazovateľov v rámci PO</w:t>
      </w:r>
      <w:bookmarkEnd w:id="10"/>
      <w:r w:rsidR="009917EA" w:rsidRPr="00DD6590">
        <w:t>2</w:t>
      </w:r>
      <w:bookmarkEnd w:id="11"/>
      <w:bookmarkEnd w:id="12"/>
    </w:p>
    <w:p w14:paraId="24125972" w14:textId="77777777" w:rsidR="00A70055" w:rsidRPr="00DD6590" w:rsidRDefault="00A70055" w:rsidP="00A70055">
      <w:pPr>
        <w:rPr>
          <w:i/>
          <w:u w:val="single"/>
        </w:rPr>
      </w:pPr>
      <w:r w:rsidRPr="00DD6590">
        <w:rPr>
          <w:i/>
          <w:u w:val="single"/>
        </w:rPr>
        <w:t>Vyhodnotenie ukazovateľov výsledku</w:t>
      </w:r>
    </w:p>
    <w:p w14:paraId="6EFE2E99" w14:textId="571712A3" w:rsidR="00E16394" w:rsidRPr="00DD6590" w:rsidRDefault="00E16394" w:rsidP="00E16394">
      <w:pPr>
        <w:pStyle w:val="Caption"/>
      </w:pPr>
      <w:bookmarkStart w:id="13" w:name="_Toc8805469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431E89">
        <w:rPr>
          <w:noProof/>
        </w:rPr>
        <w:t>4</w:t>
      </w:r>
      <w:r w:rsidRPr="00DD6590">
        <w:fldChar w:fldCharType="end"/>
      </w:r>
      <w:r w:rsidRPr="00DD6590">
        <w:t xml:space="preserve"> Vyhodnotenie ukazovateľov výsledku</w:t>
      </w:r>
      <w:r w:rsidR="00D02FDA" w:rsidRPr="00DD6590">
        <w:t xml:space="preserve"> PO2</w:t>
      </w:r>
      <w:bookmarkEnd w:id="13"/>
    </w:p>
    <w:tbl>
      <w:tblPr>
        <w:tblStyle w:val="TableGrid"/>
        <w:tblW w:w="14983" w:type="dxa"/>
        <w:tblInd w:w="-27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610"/>
        <w:gridCol w:w="1348"/>
        <w:gridCol w:w="1262"/>
        <w:gridCol w:w="1259"/>
        <w:gridCol w:w="1351"/>
        <w:gridCol w:w="1199"/>
        <w:gridCol w:w="965"/>
        <w:gridCol w:w="4534"/>
      </w:tblGrid>
      <w:tr w:rsidR="00A70055" w:rsidRPr="00DD6590" w14:paraId="12B472FD" w14:textId="77777777" w:rsidTr="00195F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6"/>
        </w:trPr>
        <w:tc>
          <w:tcPr>
            <w:tcW w:w="152" w:type="pct"/>
            <w:shd w:val="clear" w:color="auto" w:fill="DBDCDE" w:themeFill="text2" w:themeFillTint="33"/>
            <w:vAlign w:val="center"/>
          </w:tcPr>
          <w:p w14:paraId="284E88A9" w14:textId="77777777" w:rsidR="00A70055" w:rsidRPr="00DD6590" w:rsidRDefault="00A70055" w:rsidP="00527BCC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P.č.</w:t>
            </w:r>
          </w:p>
        </w:tc>
        <w:tc>
          <w:tcPr>
            <w:tcW w:w="871" w:type="pct"/>
            <w:shd w:val="clear" w:color="auto" w:fill="DBDCDE" w:themeFill="text2" w:themeFillTint="33"/>
            <w:vAlign w:val="center"/>
          </w:tcPr>
          <w:p w14:paraId="67DD9695" w14:textId="77777777" w:rsidR="00A70055" w:rsidRPr="00DD6590" w:rsidRDefault="00A70055" w:rsidP="00527BCC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Špecifické ukazovatele výsledku programu zodpovedajúce špecifickému cieľu</w:t>
            </w:r>
          </w:p>
        </w:tc>
        <w:tc>
          <w:tcPr>
            <w:tcW w:w="450" w:type="pct"/>
            <w:shd w:val="clear" w:color="auto" w:fill="DBDCDE" w:themeFill="text2" w:themeFillTint="33"/>
            <w:vAlign w:val="center"/>
          </w:tcPr>
          <w:p w14:paraId="3AE6AE24" w14:textId="77777777" w:rsidR="00A70055" w:rsidRPr="00DD6590" w:rsidRDefault="00A70055" w:rsidP="00527BCC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Východisková hodnota (2013)</w:t>
            </w:r>
          </w:p>
        </w:tc>
        <w:tc>
          <w:tcPr>
            <w:tcW w:w="421" w:type="pct"/>
            <w:shd w:val="clear" w:color="auto" w:fill="DBDCDE" w:themeFill="text2" w:themeFillTint="33"/>
            <w:vAlign w:val="center"/>
          </w:tcPr>
          <w:p w14:paraId="3EB37704" w14:textId="50C3674F" w:rsidR="00A70055" w:rsidRPr="00DD6590" w:rsidRDefault="00A70055" w:rsidP="00527BCC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 xml:space="preserve">Cieľová hodnota </w:t>
            </w:r>
            <w:r w:rsidR="00E67729" w:rsidRPr="00DD6590">
              <w:rPr>
                <w:b/>
                <w:sz w:val="16"/>
                <w:szCs w:val="16"/>
              </w:rPr>
              <w:t xml:space="preserve">OPII </w:t>
            </w:r>
            <w:r w:rsidRPr="00DD6590">
              <w:rPr>
                <w:b/>
                <w:sz w:val="16"/>
                <w:szCs w:val="16"/>
              </w:rPr>
              <w:t>(2023)</w:t>
            </w:r>
          </w:p>
        </w:tc>
        <w:tc>
          <w:tcPr>
            <w:tcW w:w="420" w:type="pct"/>
            <w:shd w:val="clear" w:color="auto" w:fill="DBDCDE" w:themeFill="text2" w:themeFillTint="33"/>
            <w:vAlign w:val="center"/>
          </w:tcPr>
          <w:p w14:paraId="05E9A96D" w14:textId="4E28D905" w:rsidR="00A70055" w:rsidRPr="00DD6590" w:rsidRDefault="00FC0514" w:rsidP="00527BCC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 xml:space="preserve">Plánovaná úspora </w:t>
            </w:r>
            <w:r w:rsidR="00A70055" w:rsidRPr="00DD6590">
              <w:rPr>
                <w:b/>
                <w:sz w:val="16"/>
                <w:szCs w:val="16"/>
              </w:rPr>
              <w:br/>
              <w:t>(2013-2023)</w:t>
            </w:r>
          </w:p>
        </w:tc>
        <w:tc>
          <w:tcPr>
            <w:tcW w:w="451" w:type="pct"/>
            <w:shd w:val="clear" w:color="auto" w:fill="DBDCDE" w:themeFill="text2" w:themeFillTint="33"/>
            <w:vAlign w:val="center"/>
          </w:tcPr>
          <w:p w14:paraId="70156D52" w14:textId="77777777" w:rsidR="00A70055" w:rsidRPr="00DD6590" w:rsidRDefault="00A70055" w:rsidP="00527BCC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 xml:space="preserve">Cieľové hodnoty projektov </w:t>
            </w:r>
            <w:r w:rsidRPr="00DD6590">
              <w:rPr>
                <w:b/>
                <w:sz w:val="16"/>
                <w:szCs w:val="16"/>
              </w:rPr>
              <w:br/>
              <w:t>v realizácii</w:t>
            </w:r>
          </w:p>
        </w:tc>
        <w:tc>
          <w:tcPr>
            <w:tcW w:w="400" w:type="pct"/>
            <w:shd w:val="clear" w:color="auto" w:fill="DBDCDE" w:themeFill="text2" w:themeFillTint="33"/>
            <w:vAlign w:val="center"/>
          </w:tcPr>
          <w:p w14:paraId="010FE1DF" w14:textId="77777777" w:rsidR="00A70055" w:rsidRPr="00DD6590" w:rsidRDefault="00A70055" w:rsidP="00527BCC">
            <w:pPr>
              <w:spacing w:before="60" w:after="0" w:line="240" w:lineRule="auto"/>
              <w:ind w:left="68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Hodnotenie</w:t>
            </w:r>
          </w:p>
        </w:tc>
        <w:tc>
          <w:tcPr>
            <w:tcW w:w="322" w:type="pct"/>
            <w:shd w:val="clear" w:color="auto" w:fill="DBDCDE" w:themeFill="text2" w:themeFillTint="33"/>
            <w:vAlign w:val="center"/>
          </w:tcPr>
          <w:p w14:paraId="5958DDE2" w14:textId="77777777" w:rsidR="00A70055" w:rsidRPr="00DD6590" w:rsidRDefault="00A70055" w:rsidP="00527BCC">
            <w:pPr>
              <w:spacing w:before="60" w:after="0" w:line="240" w:lineRule="auto"/>
              <w:ind w:left="68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Počet projektov</w:t>
            </w:r>
          </w:p>
        </w:tc>
        <w:tc>
          <w:tcPr>
            <w:tcW w:w="1513" w:type="pct"/>
            <w:shd w:val="clear" w:color="auto" w:fill="DBDCDE" w:themeFill="text2" w:themeFillTint="33"/>
            <w:vAlign w:val="center"/>
          </w:tcPr>
          <w:p w14:paraId="414517F2" w14:textId="77777777" w:rsidR="00A70055" w:rsidRPr="00DD6590" w:rsidRDefault="00A70055" w:rsidP="00527BCC">
            <w:pPr>
              <w:spacing w:before="60" w:after="0" w:line="240" w:lineRule="auto"/>
              <w:ind w:left="68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Hlavné zistenia a odporúčania</w:t>
            </w:r>
          </w:p>
        </w:tc>
      </w:tr>
      <w:tr w:rsidR="00A70055" w:rsidRPr="00DD6590" w14:paraId="14590D19" w14:textId="77777777" w:rsidTr="00E67729">
        <w:trPr>
          <w:trHeight w:val="184"/>
        </w:trPr>
        <w:tc>
          <w:tcPr>
            <w:tcW w:w="152" w:type="pct"/>
            <w:vAlign w:val="center"/>
          </w:tcPr>
          <w:p w14:paraId="2FABFFBF" w14:textId="77777777" w:rsidR="00A70055" w:rsidRPr="00DD6590" w:rsidRDefault="00A70055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</w:t>
            </w:r>
          </w:p>
        </w:tc>
        <w:tc>
          <w:tcPr>
            <w:tcW w:w="871" w:type="pct"/>
            <w:vAlign w:val="center"/>
          </w:tcPr>
          <w:p w14:paraId="747EFFD3" w14:textId="77777777" w:rsidR="00A70055" w:rsidRPr="00DD6590" w:rsidRDefault="00A70055" w:rsidP="00527BCC">
            <w:pPr>
              <w:spacing w:before="60" w:after="0" w:line="240" w:lineRule="auto"/>
              <w:ind w:left="18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Úspora času v cestnej doprave na diaľniciach a rýchlostných cestách </w:t>
            </w:r>
          </w:p>
        </w:tc>
        <w:tc>
          <w:tcPr>
            <w:tcW w:w="450" w:type="pct"/>
            <w:vAlign w:val="center"/>
          </w:tcPr>
          <w:p w14:paraId="47293FC2" w14:textId="77777777" w:rsidR="00A70055" w:rsidRPr="00DD6590" w:rsidRDefault="00A70055" w:rsidP="00527BC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588 684 851 EUR</w:t>
            </w:r>
          </w:p>
        </w:tc>
        <w:tc>
          <w:tcPr>
            <w:tcW w:w="421" w:type="pct"/>
            <w:vAlign w:val="center"/>
          </w:tcPr>
          <w:p w14:paraId="147FC3EE" w14:textId="5F59489E" w:rsidR="00A70055" w:rsidRPr="00DD6590" w:rsidRDefault="00A70055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343</w:t>
            </w:r>
            <w:r w:rsidR="00195F15" w:rsidRPr="00DD6590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475</w:t>
            </w:r>
            <w:r w:rsidR="00195F15" w:rsidRPr="00DD6590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242 EUR</w:t>
            </w:r>
          </w:p>
        </w:tc>
        <w:tc>
          <w:tcPr>
            <w:tcW w:w="420" w:type="pct"/>
            <w:vAlign w:val="center"/>
          </w:tcPr>
          <w:p w14:paraId="048C3BC2" w14:textId="65B465A7" w:rsidR="00A70055" w:rsidRPr="00DD6590" w:rsidRDefault="00A70055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245</w:t>
            </w:r>
            <w:r w:rsidR="00195F15" w:rsidRPr="00DD6590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209</w:t>
            </w:r>
            <w:r w:rsidR="00195F15" w:rsidRPr="00DD6590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609 EUR</w:t>
            </w:r>
          </w:p>
        </w:tc>
        <w:tc>
          <w:tcPr>
            <w:tcW w:w="451" w:type="pct"/>
            <w:vAlign w:val="center"/>
          </w:tcPr>
          <w:p w14:paraId="12DD4118" w14:textId="77777777" w:rsidR="00A70055" w:rsidRPr="00DD6590" w:rsidRDefault="003F2F79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 xml:space="preserve">329 430 824 </w:t>
            </w:r>
            <w:r w:rsidR="00A70055" w:rsidRPr="00DD6590">
              <w:rPr>
                <w:color w:val="000000"/>
                <w:sz w:val="16"/>
                <w:szCs w:val="16"/>
                <w:lang w:eastAsia="cs-CZ"/>
              </w:rPr>
              <w:t>EUR</w:t>
            </w:r>
          </w:p>
        </w:tc>
        <w:tc>
          <w:tcPr>
            <w:tcW w:w="400" w:type="pct"/>
            <w:shd w:val="clear" w:color="auto" w:fill="D0EC9F"/>
            <w:vAlign w:val="center"/>
          </w:tcPr>
          <w:p w14:paraId="4D16F15C" w14:textId="256FBB6A" w:rsidR="00A70055" w:rsidRPr="00DD6590" w:rsidRDefault="00A70055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13</w:t>
            </w:r>
            <w:r w:rsidR="003F2F79" w:rsidRPr="00DD6590">
              <w:rPr>
                <w:color w:val="000000"/>
                <w:sz w:val="16"/>
                <w:szCs w:val="16"/>
              </w:rPr>
              <w:t>4</w:t>
            </w:r>
            <w:r w:rsidR="00055EAC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322" w:type="pct"/>
            <w:vAlign w:val="center"/>
          </w:tcPr>
          <w:p w14:paraId="043646BE" w14:textId="097C51C7" w:rsidR="00A70055" w:rsidRPr="00DD6590" w:rsidRDefault="00FD5772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513" w:type="pct"/>
            <w:vAlign w:val="center"/>
          </w:tcPr>
          <w:p w14:paraId="3144A537" w14:textId="3F56C4BF" w:rsidR="00A70055" w:rsidRPr="00DD6590" w:rsidRDefault="00A70055" w:rsidP="00527BCC">
            <w:pPr>
              <w:spacing w:before="60" w:after="0" w:line="240" w:lineRule="auto"/>
              <w:jc w:val="left"/>
              <w:rPr>
                <w:b/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Úspora času v cestnej doprave na diaľniciach a rýchlostných cestách</w:t>
            </w:r>
            <w:r w:rsidRPr="00DD6590"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 xml:space="preserve">je výsledkovým ukazovateľom v rámci </w:t>
            </w:r>
            <w:r w:rsidR="00870271" w:rsidRPr="00DD6590">
              <w:rPr>
                <w:color w:val="000000"/>
                <w:sz w:val="16"/>
                <w:szCs w:val="16"/>
              </w:rPr>
              <w:t>ôsm</w:t>
            </w:r>
            <w:r w:rsidR="00566556" w:rsidRPr="00DD6590">
              <w:rPr>
                <w:color w:val="000000"/>
                <w:sz w:val="16"/>
                <w:szCs w:val="16"/>
              </w:rPr>
              <w:t>i</w:t>
            </w:r>
            <w:r w:rsidR="00870271" w:rsidRPr="00DD6590">
              <w:rPr>
                <w:color w:val="000000"/>
                <w:sz w:val="16"/>
                <w:szCs w:val="16"/>
              </w:rPr>
              <w:t xml:space="preserve">ch </w:t>
            </w:r>
            <w:r w:rsidRPr="00DD6590">
              <w:rPr>
                <w:color w:val="000000"/>
                <w:sz w:val="16"/>
                <w:szCs w:val="16"/>
              </w:rPr>
              <w:t>v súčasnosti realizovaných projektov. V</w:t>
            </w:r>
            <w:r w:rsidR="00055EAC">
              <w:rPr>
                <w:color w:val="000000"/>
                <w:sz w:val="16"/>
                <w:szCs w:val="16"/>
              </w:rPr>
              <w:t> </w:t>
            </w:r>
            <w:r w:rsidRPr="00DD6590">
              <w:rPr>
                <w:color w:val="000000"/>
                <w:sz w:val="16"/>
                <w:szCs w:val="16"/>
              </w:rPr>
              <w:t xml:space="preserve">prípade naplnenia cieľovej hodnoty týchto projektov bude cieľová hodnota ukazovateľa </w:t>
            </w:r>
            <w:r w:rsidRPr="00DD6590">
              <w:rPr>
                <w:b/>
                <w:color w:val="000000"/>
                <w:sz w:val="16"/>
                <w:szCs w:val="16"/>
              </w:rPr>
              <w:t>naplnená na 13</w:t>
            </w:r>
            <w:r w:rsidR="00B7473F" w:rsidRPr="00DD6590">
              <w:rPr>
                <w:b/>
                <w:color w:val="000000"/>
                <w:sz w:val="16"/>
                <w:szCs w:val="16"/>
              </w:rPr>
              <w:t>4</w:t>
            </w:r>
            <w:r w:rsidR="00055EAC">
              <w:rPr>
                <w:b/>
                <w:color w:val="000000"/>
                <w:sz w:val="16"/>
                <w:szCs w:val="16"/>
              </w:rPr>
              <w:t> </w:t>
            </w:r>
            <w:r w:rsidRPr="00DD6590">
              <w:rPr>
                <w:b/>
                <w:color w:val="000000"/>
                <w:sz w:val="16"/>
                <w:szCs w:val="16"/>
              </w:rPr>
              <w:t>%.</w:t>
            </w:r>
          </w:p>
          <w:p w14:paraId="3182FFAE" w14:textId="77777777" w:rsidR="00A70055" w:rsidRPr="00DD6590" w:rsidRDefault="00A70055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Odporúčanie:</w:t>
            </w:r>
          </w:p>
          <w:p w14:paraId="099781BE" w14:textId="6173D0F7" w:rsidR="00A70055" w:rsidRPr="00DD6590" w:rsidRDefault="00A70055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Zaistiť kontrolu </w:t>
            </w:r>
            <w:r w:rsidR="007D58A7" w:rsidRPr="00DD6590">
              <w:rPr>
                <w:color w:val="000000"/>
                <w:sz w:val="16"/>
                <w:szCs w:val="16"/>
              </w:rPr>
              <w:t>napĺňania</w:t>
            </w:r>
            <w:r w:rsidRPr="00DD6590">
              <w:rPr>
                <w:color w:val="000000"/>
                <w:sz w:val="16"/>
                <w:szCs w:val="16"/>
              </w:rPr>
              <w:t xml:space="preserve"> cieľových hodnôt ukazovateľa v rámci prebiehajúcich a ukončených projektov</w:t>
            </w:r>
            <w:r w:rsidR="00FC0514" w:rsidRPr="00DD6590">
              <w:rPr>
                <w:color w:val="000000"/>
                <w:sz w:val="16"/>
                <w:szCs w:val="16"/>
              </w:rPr>
              <w:t xml:space="preserve"> a zazmluvniť projekt D1 Hubová – Ivachnová (2. fáza)</w:t>
            </w:r>
            <w:r w:rsidR="00055EAC">
              <w:rPr>
                <w:color w:val="000000"/>
                <w:sz w:val="16"/>
                <w:szCs w:val="16"/>
              </w:rPr>
              <w:t>.</w:t>
            </w:r>
          </w:p>
        </w:tc>
      </w:tr>
      <w:tr w:rsidR="00A70055" w:rsidRPr="00DD6590" w14:paraId="3F53D131" w14:textId="77777777" w:rsidTr="00195F15">
        <w:trPr>
          <w:trHeight w:val="184"/>
        </w:trPr>
        <w:tc>
          <w:tcPr>
            <w:tcW w:w="152" w:type="pct"/>
            <w:vAlign w:val="center"/>
          </w:tcPr>
          <w:p w14:paraId="37583EF7" w14:textId="77777777" w:rsidR="00A70055" w:rsidRPr="00DD6590" w:rsidRDefault="00A70055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2</w:t>
            </w:r>
          </w:p>
        </w:tc>
        <w:tc>
          <w:tcPr>
            <w:tcW w:w="871" w:type="pct"/>
            <w:vAlign w:val="center"/>
          </w:tcPr>
          <w:p w14:paraId="4F745D20" w14:textId="77777777" w:rsidR="00A70055" w:rsidRPr="00DD6590" w:rsidRDefault="00A70055" w:rsidP="00527BCC">
            <w:pPr>
              <w:spacing w:before="60" w:after="0" w:line="240" w:lineRule="auto"/>
              <w:ind w:left="18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Úspora produkcie emisií PM</w:t>
            </w:r>
            <w:r w:rsidRPr="00E96B75">
              <w:rPr>
                <w:sz w:val="16"/>
                <w:szCs w:val="16"/>
                <w:vertAlign w:val="subscript"/>
              </w:rPr>
              <w:t>10</w:t>
            </w:r>
            <w:r w:rsidRPr="00DD6590">
              <w:rPr>
                <w:sz w:val="16"/>
                <w:szCs w:val="16"/>
              </w:rPr>
              <w:t xml:space="preserve"> (vplyvom výstavby diaľnic)</w:t>
            </w:r>
          </w:p>
        </w:tc>
        <w:tc>
          <w:tcPr>
            <w:tcW w:w="450" w:type="pct"/>
            <w:vAlign w:val="center"/>
          </w:tcPr>
          <w:p w14:paraId="3E2574D5" w14:textId="77777777" w:rsidR="00A70055" w:rsidRPr="00DD6590" w:rsidRDefault="00A70055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30,11 t</w:t>
            </w:r>
          </w:p>
        </w:tc>
        <w:tc>
          <w:tcPr>
            <w:tcW w:w="421" w:type="pct"/>
            <w:vAlign w:val="center"/>
          </w:tcPr>
          <w:p w14:paraId="3DFFF1E9" w14:textId="77777777" w:rsidR="00A70055" w:rsidRPr="00DD6590" w:rsidRDefault="00A70055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8,46 t</w:t>
            </w:r>
          </w:p>
        </w:tc>
        <w:tc>
          <w:tcPr>
            <w:tcW w:w="420" w:type="pct"/>
            <w:vAlign w:val="center"/>
          </w:tcPr>
          <w:p w14:paraId="1EF04C04" w14:textId="77777777" w:rsidR="00A70055" w:rsidRPr="00DD6590" w:rsidRDefault="00A70055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21,65 t</w:t>
            </w:r>
          </w:p>
        </w:tc>
        <w:tc>
          <w:tcPr>
            <w:tcW w:w="451" w:type="pct"/>
            <w:vAlign w:val="center"/>
          </w:tcPr>
          <w:p w14:paraId="03A0FD2A" w14:textId="77777777" w:rsidR="00A70055" w:rsidRPr="00DD6590" w:rsidRDefault="003F2F79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20,03</w:t>
            </w:r>
            <w:r w:rsidR="00A70055" w:rsidRPr="00DD6590">
              <w:rPr>
                <w:color w:val="000000"/>
                <w:sz w:val="16"/>
                <w:szCs w:val="16"/>
                <w:lang w:eastAsia="cs-CZ"/>
              </w:rPr>
              <w:t xml:space="preserve"> t</w:t>
            </w:r>
          </w:p>
        </w:tc>
        <w:tc>
          <w:tcPr>
            <w:tcW w:w="400" w:type="pct"/>
            <w:shd w:val="clear" w:color="auto" w:fill="FFD653"/>
            <w:vAlign w:val="center"/>
          </w:tcPr>
          <w:p w14:paraId="521CE137" w14:textId="4A75A13B" w:rsidR="00A70055" w:rsidRPr="00DD6590" w:rsidRDefault="003F2F79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92</w:t>
            </w:r>
            <w:r w:rsidR="00055EAC">
              <w:rPr>
                <w:color w:val="000000"/>
                <w:sz w:val="16"/>
                <w:szCs w:val="16"/>
              </w:rPr>
              <w:t xml:space="preserve"> </w:t>
            </w:r>
            <w:r w:rsidR="00A70055" w:rsidRPr="00DD6590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322" w:type="pct"/>
            <w:vAlign w:val="center"/>
          </w:tcPr>
          <w:p w14:paraId="38F8D439" w14:textId="74B48ADD" w:rsidR="00A70055" w:rsidRPr="00DD6590" w:rsidRDefault="00FD5772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513" w:type="pct"/>
            <w:vAlign w:val="center"/>
          </w:tcPr>
          <w:p w14:paraId="3CF24EFF" w14:textId="33246E8B" w:rsidR="00A70055" w:rsidRPr="00DD6590" w:rsidRDefault="00A70055" w:rsidP="00527BCC">
            <w:pPr>
              <w:spacing w:before="60" w:after="0" w:line="240" w:lineRule="auto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Úspora produkcie emisií PM</w:t>
            </w:r>
            <w:r w:rsidRPr="00E96B75">
              <w:rPr>
                <w:sz w:val="16"/>
                <w:szCs w:val="16"/>
                <w:vertAlign w:val="subscript"/>
              </w:rPr>
              <w:t>10</w:t>
            </w:r>
            <w:r w:rsidRPr="00DD6590">
              <w:rPr>
                <w:sz w:val="16"/>
                <w:szCs w:val="16"/>
              </w:rPr>
              <w:t xml:space="preserve"> (vplyvom výstavby diaľnic) je výsledkovým ukazovateľom v rámci </w:t>
            </w:r>
            <w:r w:rsidR="00870271" w:rsidRPr="00DD6590">
              <w:rPr>
                <w:sz w:val="16"/>
                <w:szCs w:val="16"/>
              </w:rPr>
              <w:t>ôsm</w:t>
            </w:r>
            <w:r w:rsidR="00566556" w:rsidRPr="00DD6590">
              <w:rPr>
                <w:sz w:val="16"/>
                <w:szCs w:val="16"/>
              </w:rPr>
              <w:t>i</w:t>
            </w:r>
            <w:r w:rsidR="00870271" w:rsidRPr="00DD6590">
              <w:rPr>
                <w:sz w:val="16"/>
                <w:szCs w:val="16"/>
              </w:rPr>
              <w:t xml:space="preserve">ch </w:t>
            </w:r>
            <w:r w:rsidRPr="00DD6590">
              <w:rPr>
                <w:sz w:val="16"/>
                <w:szCs w:val="16"/>
              </w:rPr>
              <w:t xml:space="preserve">v súčasnosti realizovaných projektov. V prípade naplnenia cieľovej hodnoty týchto projektov bude cieľová hodnota ukazovateľa </w:t>
            </w:r>
            <w:r w:rsidRPr="00DD6590">
              <w:rPr>
                <w:b/>
                <w:sz w:val="16"/>
                <w:szCs w:val="16"/>
              </w:rPr>
              <w:t xml:space="preserve">naplnená na </w:t>
            </w:r>
            <w:r w:rsidR="00B7473F" w:rsidRPr="00DD6590">
              <w:rPr>
                <w:b/>
                <w:sz w:val="16"/>
                <w:szCs w:val="16"/>
              </w:rPr>
              <w:t>92</w:t>
            </w:r>
            <w:r w:rsidR="00055EAC">
              <w:rPr>
                <w:b/>
                <w:sz w:val="16"/>
                <w:szCs w:val="16"/>
              </w:rPr>
              <w:t> </w:t>
            </w:r>
            <w:r w:rsidRPr="00DD6590">
              <w:rPr>
                <w:b/>
                <w:sz w:val="16"/>
                <w:szCs w:val="16"/>
              </w:rPr>
              <w:t>%.</w:t>
            </w:r>
          </w:p>
          <w:p w14:paraId="36CD60A2" w14:textId="77777777" w:rsidR="00A70055" w:rsidRPr="00DD6590" w:rsidRDefault="00A70055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lastRenderedPageBreak/>
              <w:t>Odporúčanie:</w:t>
            </w:r>
          </w:p>
          <w:p w14:paraId="0000F215" w14:textId="318A2011" w:rsidR="00A70055" w:rsidRPr="00DD6590" w:rsidRDefault="00A70055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Zaistiť kontrolu </w:t>
            </w:r>
            <w:r w:rsidR="007D58A7" w:rsidRPr="00DD6590">
              <w:rPr>
                <w:color w:val="000000"/>
                <w:sz w:val="16"/>
                <w:szCs w:val="16"/>
              </w:rPr>
              <w:t>napĺňania</w:t>
            </w:r>
            <w:r w:rsidRPr="00DD6590">
              <w:rPr>
                <w:color w:val="000000"/>
                <w:sz w:val="16"/>
                <w:szCs w:val="16"/>
              </w:rPr>
              <w:t xml:space="preserve"> cieľových hodnôt ukazovateľa v rámci prebiehajúcich a ukončených projektov</w:t>
            </w:r>
            <w:r w:rsidR="00B7473F" w:rsidRPr="00DD6590">
              <w:rPr>
                <w:color w:val="000000"/>
                <w:sz w:val="16"/>
                <w:szCs w:val="16"/>
              </w:rPr>
              <w:t xml:space="preserve"> </w:t>
            </w:r>
            <w:r w:rsidR="00FC0514" w:rsidRPr="00DD6590">
              <w:rPr>
                <w:color w:val="000000"/>
                <w:sz w:val="16"/>
                <w:szCs w:val="16"/>
              </w:rPr>
              <w:t>a zazmluvniť projekt D1 Hubová – Ivachnová (2. fáza).</w:t>
            </w:r>
            <w:r w:rsidR="00D62DBA" w:rsidRPr="00DD659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70055" w:rsidRPr="00DD6590" w14:paraId="736BD8A4" w14:textId="77777777" w:rsidTr="00E67729">
        <w:trPr>
          <w:trHeight w:val="481"/>
        </w:trPr>
        <w:tc>
          <w:tcPr>
            <w:tcW w:w="152" w:type="pct"/>
            <w:vAlign w:val="center"/>
          </w:tcPr>
          <w:p w14:paraId="0D8D1C2C" w14:textId="77777777" w:rsidR="00A70055" w:rsidRPr="00DD6590" w:rsidRDefault="00A70055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871" w:type="pct"/>
            <w:vAlign w:val="center"/>
          </w:tcPr>
          <w:p w14:paraId="797E7D4D" w14:textId="77777777" w:rsidR="00A70055" w:rsidRPr="00DD6590" w:rsidRDefault="00A70055" w:rsidP="00527BCC">
            <w:pPr>
              <w:spacing w:before="60" w:after="0" w:line="240" w:lineRule="auto"/>
              <w:ind w:left="18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Úspora produkcie emisií NO</w:t>
            </w:r>
            <w:r w:rsidRPr="00DD6590">
              <w:rPr>
                <w:sz w:val="16"/>
                <w:szCs w:val="16"/>
                <w:vertAlign w:val="subscript"/>
              </w:rPr>
              <w:t>2</w:t>
            </w:r>
            <w:r w:rsidRPr="00DD6590">
              <w:rPr>
                <w:sz w:val="16"/>
                <w:szCs w:val="16"/>
              </w:rPr>
              <w:t xml:space="preserve"> (vplyvom výstavby diaľnic)</w:t>
            </w:r>
          </w:p>
        </w:tc>
        <w:tc>
          <w:tcPr>
            <w:tcW w:w="450" w:type="pct"/>
            <w:vAlign w:val="center"/>
          </w:tcPr>
          <w:p w14:paraId="0499F175" w14:textId="77777777" w:rsidR="00A70055" w:rsidRPr="00DD6590" w:rsidRDefault="00A70055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129,18 t</w:t>
            </w:r>
          </w:p>
        </w:tc>
        <w:tc>
          <w:tcPr>
            <w:tcW w:w="421" w:type="pct"/>
            <w:vAlign w:val="center"/>
          </w:tcPr>
          <w:p w14:paraId="20D0B9FF" w14:textId="77777777" w:rsidR="00A70055" w:rsidRPr="00DD6590" w:rsidRDefault="00A70055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33,02 t</w:t>
            </w:r>
          </w:p>
        </w:tc>
        <w:tc>
          <w:tcPr>
            <w:tcW w:w="420" w:type="pct"/>
            <w:vAlign w:val="center"/>
          </w:tcPr>
          <w:p w14:paraId="027C30BA" w14:textId="77777777" w:rsidR="00A70055" w:rsidRPr="00DD6590" w:rsidRDefault="00A70055" w:rsidP="00527BCC">
            <w:pPr>
              <w:spacing w:before="60" w:after="0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96,16 t</w:t>
            </w:r>
          </w:p>
        </w:tc>
        <w:tc>
          <w:tcPr>
            <w:tcW w:w="451" w:type="pct"/>
            <w:vAlign w:val="center"/>
          </w:tcPr>
          <w:p w14:paraId="7165EED0" w14:textId="77777777" w:rsidR="00A70055" w:rsidRPr="00DD6590" w:rsidRDefault="00A70055" w:rsidP="00527BCC">
            <w:pPr>
              <w:spacing w:before="60" w:after="0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</w:t>
            </w:r>
            <w:r w:rsidR="00B7473F" w:rsidRPr="00DD6590">
              <w:rPr>
                <w:sz w:val="16"/>
                <w:szCs w:val="16"/>
              </w:rPr>
              <w:t>20</w:t>
            </w:r>
            <w:r w:rsidRPr="00DD6590">
              <w:rPr>
                <w:sz w:val="16"/>
                <w:szCs w:val="16"/>
              </w:rPr>
              <w:t>,9 t</w:t>
            </w:r>
          </w:p>
        </w:tc>
        <w:tc>
          <w:tcPr>
            <w:tcW w:w="400" w:type="pct"/>
            <w:shd w:val="clear" w:color="auto" w:fill="D0EC9F"/>
            <w:vAlign w:val="center"/>
          </w:tcPr>
          <w:p w14:paraId="6E8797F3" w14:textId="1DB38217" w:rsidR="00A70055" w:rsidRPr="00DD6590" w:rsidRDefault="00A70055" w:rsidP="00527BCC">
            <w:pPr>
              <w:spacing w:before="60" w:after="0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12</w:t>
            </w:r>
            <w:r w:rsidR="00B7473F" w:rsidRPr="00DD6590">
              <w:rPr>
                <w:color w:val="000000"/>
                <w:sz w:val="16"/>
                <w:szCs w:val="16"/>
              </w:rPr>
              <w:t>6</w:t>
            </w:r>
            <w:r w:rsidR="00055EAC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322" w:type="pct"/>
            <w:vAlign w:val="center"/>
          </w:tcPr>
          <w:p w14:paraId="62DD35E5" w14:textId="1AFCFB74" w:rsidR="00A70055" w:rsidRPr="00DD6590" w:rsidRDefault="00870271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513" w:type="pct"/>
            <w:vAlign w:val="center"/>
          </w:tcPr>
          <w:p w14:paraId="5B696C54" w14:textId="7EC6A309" w:rsidR="00A70055" w:rsidRPr="00DD6590" w:rsidRDefault="00A70055" w:rsidP="00527BCC">
            <w:pPr>
              <w:spacing w:before="60" w:after="0" w:line="240" w:lineRule="auto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Úspora produkcie emisií NO</w:t>
            </w:r>
            <w:r w:rsidRPr="00CB4784">
              <w:rPr>
                <w:sz w:val="10"/>
                <w:szCs w:val="16"/>
              </w:rPr>
              <w:t>2</w:t>
            </w:r>
            <w:r w:rsidRPr="00DD6590">
              <w:rPr>
                <w:sz w:val="16"/>
                <w:szCs w:val="16"/>
              </w:rPr>
              <w:t xml:space="preserve"> (vplyvom výstavby diaľnic) je výsledkovým ukazovateľom v rámci </w:t>
            </w:r>
            <w:r w:rsidR="00870271" w:rsidRPr="00DD6590">
              <w:rPr>
                <w:sz w:val="16"/>
                <w:szCs w:val="16"/>
              </w:rPr>
              <w:t>ôsm</w:t>
            </w:r>
            <w:r w:rsidR="00566556" w:rsidRPr="00DD6590">
              <w:rPr>
                <w:sz w:val="16"/>
                <w:szCs w:val="16"/>
              </w:rPr>
              <w:t>i</w:t>
            </w:r>
            <w:r w:rsidR="00870271" w:rsidRPr="00DD6590">
              <w:rPr>
                <w:sz w:val="16"/>
                <w:szCs w:val="16"/>
              </w:rPr>
              <w:t xml:space="preserve">ch </w:t>
            </w:r>
            <w:r w:rsidRPr="00DD6590">
              <w:rPr>
                <w:sz w:val="16"/>
                <w:szCs w:val="16"/>
              </w:rPr>
              <w:t>v</w:t>
            </w:r>
            <w:r w:rsidR="00055EAC">
              <w:rPr>
                <w:sz w:val="16"/>
                <w:szCs w:val="16"/>
              </w:rPr>
              <w:t> </w:t>
            </w:r>
            <w:r w:rsidRPr="00DD6590">
              <w:rPr>
                <w:sz w:val="16"/>
                <w:szCs w:val="16"/>
              </w:rPr>
              <w:t xml:space="preserve">súčasnosti realizovaných projektov. V prípade naplnenia cieľovej hodnoty týchto projektov bude cieľová hodnota ukazovateľa </w:t>
            </w:r>
            <w:r w:rsidRPr="00DD6590">
              <w:rPr>
                <w:b/>
                <w:sz w:val="16"/>
                <w:szCs w:val="16"/>
              </w:rPr>
              <w:t>naplnená na 12</w:t>
            </w:r>
            <w:r w:rsidR="00B7473F" w:rsidRPr="00DD6590">
              <w:rPr>
                <w:b/>
                <w:sz w:val="16"/>
                <w:szCs w:val="16"/>
              </w:rPr>
              <w:t>6</w:t>
            </w:r>
            <w:r w:rsidR="00055EAC">
              <w:rPr>
                <w:b/>
                <w:sz w:val="16"/>
                <w:szCs w:val="16"/>
              </w:rPr>
              <w:t> </w:t>
            </w:r>
            <w:r w:rsidRPr="00DD6590">
              <w:rPr>
                <w:b/>
                <w:sz w:val="16"/>
                <w:szCs w:val="16"/>
              </w:rPr>
              <w:t>%.</w:t>
            </w:r>
          </w:p>
          <w:p w14:paraId="766DC00F" w14:textId="77777777" w:rsidR="00A70055" w:rsidRPr="00DD6590" w:rsidRDefault="00A70055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Odporúčanie:</w:t>
            </w:r>
          </w:p>
          <w:p w14:paraId="6B6DEEB7" w14:textId="42DF8FFD" w:rsidR="00A70055" w:rsidRPr="00DD6590" w:rsidRDefault="00A70055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Zaistiť kontrolu </w:t>
            </w:r>
            <w:r w:rsidR="007D58A7" w:rsidRPr="00DD6590">
              <w:rPr>
                <w:color w:val="000000"/>
                <w:sz w:val="16"/>
                <w:szCs w:val="16"/>
              </w:rPr>
              <w:t>napĺňania</w:t>
            </w:r>
            <w:r w:rsidRPr="00DD6590">
              <w:rPr>
                <w:color w:val="000000"/>
                <w:sz w:val="16"/>
                <w:szCs w:val="16"/>
              </w:rPr>
              <w:t xml:space="preserve"> cieľových hodnôt ukazovateľa v rámci prebiehajúcich a ukončených projektov</w:t>
            </w:r>
            <w:r w:rsidR="00FC0514" w:rsidRPr="00DD6590">
              <w:rPr>
                <w:color w:val="000000"/>
                <w:sz w:val="16"/>
                <w:szCs w:val="16"/>
              </w:rPr>
              <w:t xml:space="preserve"> a zazmluvniť projekt D1 Hubová – Ivachnová (2. fáza)</w:t>
            </w:r>
            <w:r w:rsidRPr="00DD6590">
              <w:rPr>
                <w:color w:val="000000"/>
                <w:sz w:val="16"/>
                <w:szCs w:val="16"/>
              </w:rPr>
              <w:t>.</w:t>
            </w:r>
          </w:p>
        </w:tc>
      </w:tr>
    </w:tbl>
    <w:p w14:paraId="0B62F6A7" w14:textId="77777777" w:rsidR="00A70055" w:rsidRPr="00DD6590" w:rsidRDefault="00A70055" w:rsidP="00A70055">
      <w:pPr>
        <w:rPr>
          <w:i/>
          <w:u w:val="single"/>
        </w:rPr>
      </w:pPr>
      <w:r w:rsidRPr="00DD6590">
        <w:rPr>
          <w:i/>
          <w:u w:val="single"/>
        </w:rPr>
        <w:t>Vyhodnotenie ukazovateľov výstupu</w:t>
      </w:r>
    </w:p>
    <w:p w14:paraId="6E9D2DDF" w14:textId="00858A79" w:rsidR="00D02FDA" w:rsidRPr="00DD6590" w:rsidRDefault="00D02FDA" w:rsidP="00D02FDA">
      <w:pPr>
        <w:pStyle w:val="Caption"/>
      </w:pPr>
      <w:bookmarkStart w:id="14" w:name="_Toc8805470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431E89">
        <w:rPr>
          <w:noProof/>
        </w:rPr>
        <w:t>5</w:t>
      </w:r>
      <w:r w:rsidRPr="00DD6590">
        <w:fldChar w:fldCharType="end"/>
      </w:r>
      <w:r w:rsidRPr="00DD6590">
        <w:t xml:space="preserve"> Vyhodnotenie ukazovateľov výstupu PO2</w:t>
      </w:r>
      <w:bookmarkEnd w:id="14"/>
    </w:p>
    <w:tbl>
      <w:tblPr>
        <w:tblStyle w:val="TableGrid"/>
        <w:tblW w:w="14940" w:type="dxa"/>
        <w:tblInd w:w="-27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2610"/>
        <w:gridCol w:w="1260"/>
        <w:gridCol w:w="1710"/>
        <w:gridCol w:w="1890"/>
        <w:gridCol w:w="1260"/>
        <w:gridCol w:w="990"/>
        <w:gridCol w:w="4770"/>
      </w:tblGrid>
      <w:tr w:rsidR="00A70055" w:rsidRPr="00DD6590" w14:paraId="66C422A6" w14:textId="77777777" w:rsidTr="00E677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450" w:type="dxa"/>
            <w:shd w:val="clear" w:color="auto" w:fill="DBDCDE" w:themeFill="text2" w:themeFillTint="33"/>
            <w:vAlign w:val="center"/>
          </w:tcPr>
          <w:p w14:paraId="1EF5AF9C" w14:textId="77777777" w:rsidR="00A70055" w:rsidRPr="00DD6590" w:rsidRDefault="00A70055" w:rsidP="00527BCC">
            <w:pPr>
              <w:spacing w:before="60" w:after="0" w:line="240" w:lineRule="auto"/>
              <w:ind w:left="42" w:hanging="42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 xml:space="preserve">P.č. </w:t>
            </w:r>
          </w:p>
        </w:tc>
        <w:tc>
          <w:tcPr>
            <w:tcW w:w="2610" w:type="dxa"/>
            <w:shd w:val="clear" w:color="auto" w:fill="DBDCDE" w:themeFill="text2" w:themeFillTint="33"/>
            <w:vAlign w:val="center"/>
          </w:tcPr>
          <w:p w14:paraId="525EC737" w14:textId="77777777" w:rsidR="00A70055" w:rsidRPr="00DD6590" w:rsidRDefault="00A70055" w:rsidP="00527BCC">
            <w:pPr>
              <w:spacing w:before="60" w:after="0" w:line="240" w:lineRule="auto"/>
              <w:ind w:left="42" w:hanging="42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Ukazovateľ výstupu</w:t>
            </w:r>
          </w:p>
        </w:tc>
        <w:tc>
          <w:tcPr>
            <w:tcW w:w="1260" w:type="dxa"/>
            <w:shd w:val="clear" w:color="auto" w:fill="DBDCDE" w:themeFill="text2" w:themeFillTint="33"/>
            <w:vAlign w:val="center"/>
          </w:tcPr>
          <w:p w14:paraId="190D7721" w14:textId="790300A0" w:rsidR="00A70055" w:rsidRPr="00DD6590" w:rsidRDefault="00A70055" w:rsidP="00527BCC">
            <w:pPr>
              <w:spacing w:before="60" w:after="0" w:line="240" w:lineRule="auto"/>
              <w:ind w:left="42" w:firstLine="12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 xml:space="preserve">Cieľová hodnota </w:t>
            </w:r>
            <w:r w:rsidR="00E67729" w:rsidRPr="00DD6590">
              <w:rPr>
                <w:b/>
                <w:sz w:val="16"/>
                <w:szCs w:val="16"/>
              </w:rPr>
              <w:t xml:space="preserve">OPII </w:t>
            </w:r>
            <w:r w:rsidRPr="00DD6590">
              <w:rPr>
                <w:b/>
                <w:sz w:val="16"/>
                <w:szCs w:val="16"/>
              </w:rPr>
              <w:t>(2023)</w:t>
            </w:r>
          </w:p>
        </w:tc>
        <w:tc>
          <w:tcPr>
            <w:tcW w:w="1710" w:type="dxa"/>
            <w:shd w:val="clear" w:color="auto" w:fill="DBDCDE" w:themeFill="text2" w:themeFillTint="33"/>
            <w:vAlign w:val="center"/>
          </w:tcPr>
          <w:p w14:paraId="349FE0EA" w14:textId="77777777" w:rsidR="00A70055" w:rsidRPr="00DD6590" w:rsidRDefault="00A70055" w:rsidP="00527BCC">
            <w:pPr>
              <w:spacing w:before="60" w:after="0" w:line="240" w:lineRule="auto"/>
              <w:ind w:left="72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 xml:space="preserve">Cieľové hodnoty projektov </w:t>
            </w:r>
            <w:r w:rsidRPr="00DD6590">
              <w:rPr>
                <w:b/>
                <w:sz w:val="16"/>
                <w:szCs w:val="16"/>
              </w:rPr>
              <w:br/>
              <w:t>v realizácii</w:t>
            </w:r>
          </w:p>
        </w:tc>
        <w:tc>
          <w:tcPr>
            <w:tcW w:w="1890" w:type="dxa"/>
            <w:shd w:val="clear" w:color="auto" w:fill="DBDCDE" w:themeFill="text2" w:themeFillTint="33"/>
            <w:vAlign w:val="center"/>
          </w:tcPr>
          <w:p w14:paraId="74844620" w14:textId="77777777" w:rsidR="00A70055" w:rsidRPr="00DD6590" w:rsidRDefault="00A70055" w:rsidP="00527BCC">
            <w:pPr>
              <w:spacing w:before="60" w:after="0" w:line="240" w:lineRule="auto"/>
              <w:ind w:left="42" w:hanging="6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 xml:space="preserve">Skutočné hodnoty projektov </w:t>
            </w:r>
            <w:r w:rsidRPr="00DD6590">
              <w:rPr>
                <w:b/>
                <w:sz w:val="16"/>
                <w:szCs w:val="16"/>
              </w:rPr>
              <w:br/>
              <w:t>v realizácii</w:t>
            </w:r>
          </w:p>
        </w:tc>
        <w:tc>
          <w:tcPr>
            <w:tcW w:w="1260" w:type="dxa"/>
            <w:shd w:val="clear" w:color="auto" w:fill="DBDCDE" w:themeFill="text2" w:themeFillTint="33"/>
            <w:vAlign w:val="center"/>
          </w:tcPr>
          <w:p w14:paraId="118320A8" w14:textId="77777777" w:rsidR="00A70055" w:rsidRPr="00DD6590" w:rsidRDefault="00A70055" w:rsidP="00527BCC">
            <w:pPr>
              <w:spacing w:before="60" w:after="0" w:line="240" w:lineRule="auto"/>
              <w:ind w:left="42" w:hanging="42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Hodnotenie</w:t>
            </w:r>
          </w:p>
        </w:tc>
        <w:tc>
          <w:tcPr>
            <w:tcW w:w="990" w:type="dxa"/>
            <w:shd w:val="clear" w:color="auto" w:fill="DBDCDE" w:themeFill="text2" w:themeFillTint="33"/>
            <w:vAlign w:val="center"/>
          </w:tcPr>
          <w:p w14:paraId="6E887737" w14:textId="77777777" w:rsidR="00A70055" w:rsidRPr="00DD6590" w:rsidRDefault="00A70055" w:rsidP="00527BCC">
            <w:pPr>
              <w:spacing w:before="60" w:after="0" w:line="240" w:lineRule="auto"/>
              <w:ind w:left="42" w:firstLine="6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Počet projektov</w:t>
            </w:r>
          </w:p>
        </w:tc>
        <w:tc>
          <w:tcPr>
            <w:tcW w:w="4770" w:type="dxa"/>
            <w:shd w:val="clear" w:color="auto" w:fill="DBDCDE" w:themeFill="text2" w:themeFillTint="33"/>
            <w:vAlign w:val="center"/>
          </w:tcPr>
          <w:p w14:paraId="04525CF0" w14:textId="77777777" w:rsidR="00A70055" w:rsidRPr="00DD6590" w:rsidRDefault="00A70055" w:rsidP="00527BCC">
            <w:pPr>
              <w:spacing w:before="60" w:after="0" w:line="240" w:lineRule="auto"/>
              <w:ind w:left="42" w:firstLine="6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Hlavné zistenia a odporúčania</w:t>
            </w:r>
          </w:p>
        </w:tc>
      </w:tr>
      <w:tr w:rsidR="00A70055" w:rsidRPr="00DD6590" w14:paraId="74FCCF7D" w14:textId="77777777" w:rsidTr="00E67729">
        <w:trPr>
          <w:trHeight w:val="20"/>
        </w:trPr>
        <w:tc>
          <w:tcPr>
            <w:tcW w:w="450" w:type="dxa"/>
            <w:vAlign w:val="center"/>
          </w:tcPr>
          <w:p w14:paraId="0D7234BE" w14:textId="77777777" w:rsidR="00A70055" w:rsidRPr="00DD6590" w:rsidRDefault="00A70055" w:rsidP="00527BCC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610" w:type="dxa"/>
            <w:vAlign w:val="center"/>
          </w:tcPr>
          <w:p w14:paraId="715E08DB" w14:textId="77777777" w:rsidR="00A70055" w:rsidRPr="00DD6590" w:rsidRDefault="00A70055" w:rsidP="00527BCC">
            <w:pPr>
              <w:pStyle w:val="Style30"/>
              <w:widowControl/>
              <w:spacing w:before="60" w:after="0" w:line="240" w:lineRule="auto"/>
              <w:ind w:left="85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Celková dĺžka novovybudovaných ciest v sieti TEN-T</w:t>
            </w:r>
          </w:p>
        </w:tc>
        <w:tc>
          <w:tcPr>
            <w:tcW w:w="1260" w:type="dxa"/>
            <w:vAlign w:val="center"/>
          </w:tcPr>
          <w:p w14:paraId="3F869D5D" w14:textId="77777777" w:rsidR="00A70055" w:rsidRPr="00DD6590" w:rsidRDefault="00A70055" w:rsidP="00527BCC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111,7 km</w:t>
            </w:r>
          </w:p>
        </w:tc>
        <w:tc>
          <w:tcPr>
            <w:tcW w:w="1710" w:type="dxa"/>
            <w:vAlign w:val="center"/>
          </w:tcPr>
          <w:p w14:paraId="2A4FD087" w14:textId="77777777" w:rsidR="00A70055" w:rsidRPr="00DD6590" w:rsidRDefault="00B7473F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96,29</w:t>
            </w:r>
            <w:r w:rsidR="00A70055" w:rsidRPr="00DD6590">
              <w:rPr>
                <w:color w:val="000000"/>
                <w:sz w:val="16"/>
                <w:szCs w:val="16"/>
                <w:lang w:eastAsia="cs-CZ"/>
              </w:rPr>
              <w:t xml:space="preserve"> km</w:t>
            </w:r>
          </w:p>
        </w:tc>
        <w:tc>
          <w:tcPr>
            <w:tcW w:w="1890" w:type="dxa"/>
            <w:vAlign w:val="center"/>
          </w:tcPr>
          <w:p w14:paraId="52FF996B" w14:textId="77777777" w:rsidR="00A70055" w:rsidRPr="00DD6590" w:rsidRDefault="00A70055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12,28 km</w:t>
            </w:r>
          </w:p>
        </w:tc>
        <w:tc>
          <w:tcPr>
            <w:tcW w:w="1260" w:type="dxa"/>
            <w:shd w:val="clear" w:color="auto" w:fill="D0EC9F"/>
            <w:vAlign w:val="center"/>
          </w:tcPr>
          <w:p w14:paraId="32AD7790" w14:textId="0A9270B2" w:rsidR="00A70055" w:rsidRPr="00DD6590" w:rsidRDefault="00B7473F" w:rsidP="00527BCC">
            <w:pPr>
              <w:pStyle w:val="Style30"/>
              <w:widowControl/>
              <w:spacing w:before="60" w:after="0" w:line="240" w:lineRule="auto"/>
              <w:ind w:left="-24" w:firstLine="24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86,20</w:t>
            </w:r>
            <w:r w:rsidR="00055EAC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="00A70055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990" w:type="dxa"/>
            <w:vAlign w:val="center"/>
          </w:tcPr>
          <w:p w14:paraId="43D0930C" w14:textId="2822E76F" w:rsidR="00A70055" w:rsidRPr="00DD6590" w:rsidRDefault="00870271" w:rsidP="00527BCC">
            <w:pPr>
              <w:pStyle w:val="Style30"/>
              <w:widowControl/>
              <w:spacing w:before="60" w:after="0" w:line="240" w:lineRule="auto"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4770" w:type="dxa"/>
            <w:vAlign w:val="center"/>
          </w:tcPr>
          <w:p w14:paraId="33A614FE" w14:textId="5C0698A7" w:rsidR="00A70055" w:rsidRPr="00DD6590" w:rsidRDefault="004E3A07" w:rsidP="00527BCC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Do konca roka 2018</w:t>
            </w:r>
            <w:r w:rsidR="00B7473F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bolo v realizácii osem</w:t>
            </w:r>
            <w:r w:rsidR="00A70055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projektov, ktoré napĺňajú tento ukazovateľ</w:t>
            </w:r>
            <w:r w:rsidR="00055EAC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,</w:t>
            </w:r>
            <w:r w:rsidR="00A70055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="00055EAC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ale aj</w:t>
            </w:r>
            <w:r w:rsidR="008D1122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za predpokladu</w:t>
            </w:r>
            <w:r w:rsidR="00A70055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splnen</w:t>
            </w:r>
            <w:r w:rsidR="008D1122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ia</w:t>
            </w:r>
            <w:r w:rsidR="00A70055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cieľových hodnôt bude ukazovateľ </w:t>
            </w:r>
            <w:r w:rsidR="00A70055" w:rsidRPr="00DD6590"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  <w:t xml:space="preserve">naplnený len na </w:t>
            </w:r>
            <w:r w:rsidR="00B7473F" w:rsidRPr="00DD6590"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  <w:t>86,2</w:t>
            </w:r>
            <w:r w:rsidR="00447916" w:rsidRPr="00DD6590"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  <w:t>0</w:t>
            </w:r>
            <w:r w:rsidR="008D1122"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  <w:t> </w:t>
            </w:r>
            <w:r w:rsidR="00A70055" w:rsidRPr="00DD6590"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  <w:t xml:space="preserve">%. </w:t>
            </w:r>
          </w:p>
          <w:p w14:paraId="058021C1" w14:textId="041B2E77" w:rsidR="00A70055" w:rsidRPr="00DD6590" w:rsidRDefault="00870271" w:rsidP="00527BCC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Prerušením prác na projekte </w:t>
            </w:r>
            <w:r w:rsidR="00A70055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č. 3 - </w:t>
            </w:r>
            <w:r w:rsidR="00A70055" w:rsidRPr="00DD6590">
              <w:rPr>
                <w:rFonts w:asciiTheme="minorHAnsi" w:hAnsiTheme="minorHAnsi"/>
                <w:sz w:val="16"/>
                <w:szCs w:val="16"/>
              </w:rPr>
              <w:t xml:space="preserve">D1 Lietavská Lúčka – Višňové – Dubná Skala, II. </w:t>
            </w:r>
            <w:r w:rsidR="008D1122">
              <w:rPr>
                <w:rFonts w:asciiTheme="minorHAnsi" w:hAnsiTheme="minorHAnsi"/>
                <w:sz w:val="16"/>
                <w:szCs w:val="16"/>
              </w:rPr>
              <w:t>f</w:t>
            </w:r>
            <w:r w:rsidR="008D1122" w:rsidRPr="00DD6590">
              <w:rPr>
                <w:rFonts w:asciiTheme="minorHAnsi" w:hAnsiTheme="minorHAnsi"/>
                <w:sz w:val="16"/>
                <w:szCs w:val="16"/>
              </w:rPr>
              <w:t xml:space="preserve">áza </w:t>
            </w:r>
            <w:r w:rsidR="00A70055" w:rsidRPr="00DD6590">
              <w:rPr>
                <w:rFonts w:asciiTheme="minorHAnsi" w:hAnsiTheme="minorHAnsi"/>
                <w:sz w:val="16"/>
                <w:szCs w:val="16"/>
              </w:rPr>
              <w:t xml:space="preserve">je ohrozená aj dostavba 13,5 km, čím by sa cieľová hodnota v rámci projektov znížila na </w:t>
            </w:r>
            <w:r w:rsidR="00680A72" w:rsidRPr="00DD6590">
              <w:rPr>
                <w:rFonts w:asciiTheme="minorHAnsi" w:hAnsiTheme="minorHAnsi"/>
                <w:sz w:val="16"/>
                <w:szCs w:val="16"/>
              </w:rPr>
              <w:t>82,79</w:t>
            </w:r>
            <w:r w:rsidR="00A70055" w:rsidRPr="00DD6590">
              <w:rPr>
                <w:rFonts w:asciiTheme="minorHAnsi" w:hAnsiTheme="minorHAnsi"/>
                <w:sz w:val="16"/>
                <w:szCs w:val="16"/>
              </w:rPr>
              <w:t xml:space="preserve"> km, čo by znamenalo naplnenie ukazovateľa len na </w:t>
            </w:r>
            <w:r w:rsidR="00B7473F" w:rsidRPr="00DD6590">
              <w:rPr>
                <w:rFonts w:asciiTheme="minorHAnsi" w:hAnsiTheme="minorHAnsi"/>
                <w:b/>
                <w:sz w:val="16"/>
                <w:szCs w:val="16"/>
              </w:rPr>
              <w:t>74,12</w:t>
            </w:r>
            <w:r w:rsidR="008D1122">
              <w:rPr>
                <w:rFonts w:asciiTheme="minorHAnsi" w:hAnsiTheme="minorHAnsi"/>
                <w:b/>
                <w:sz w:val="16"/>
                <w:szCs w:val="16"/>
              </w:rPr>
              <w:t> </w:t>
            </w:r>
            <w:r w:rsidR="00A70055" w:rsidRPr="00DD6590">
              <w:rPr>
                <w:rFonts w:asciiTheme="minorHAnsi" w:hAnsiTheme="minorHAnsi"/>
                <w:b/>
                <w:sz w:val="16"/>
                <w:szCs w:val="16"/>
              </w:rPr>
              <w:t>%.</w:t>
            </w:r>
          </w:p>
          <w:p w14:paraId="1F9B958C" w14:textId="3BD0C750" w:rsidR="00A70055" w:rsidRPr="00DD6590" w:rsidRDefault="00A70055" w:rsidP="00527BCC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V rámci PO2 sú podľa dotazníka </w:t>
            </w:r>
            <w:r w:rsidR="00FC0514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plánované tri projekty, z ktorých jeden (</w:t>
            </w:r>
            <w:r w:rsidR="00FC0514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D1 Hubová – Ivachnová (2. fáza)) prispeje k naplneniu ukazovateľa na </w:t>
            </w:r>
            <w:r w:rsidR="00FC0514" w:rsidRPr="00DD659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100</w:t>
            </w:r>
            <w:r w:rsidR="008D1122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 xml:space="preserve"> </w:t>
            </w:r>
            <w:r w:rsidR="00FC0514" w:rsidRPr="00DD659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%</w:t>
            </w:r>
            <w:r w:rsidR="003612CF" w:rsidRPr="00DD659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.</w:t>
            </w:r>
          </w:p>
          <w:p w14:paraId="2EC4EAAF" w14:textId="77777777" w:rsidR="00A70055" w:rsidRPr="00DD6590" w:rsidRDefault="00A70055" w:rsidP="00527BCC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Odporúčanie:</w:t>
            </w:r>
          </w:p>
          <w:p w14:paraId="536C18B6" w14:textId="799E1093" w:rsidR="00A70055" w:rsidRPr="00DD6590" w:rsidRDefault="00A70055" w:rsidP="00527BCC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Odporúčame </w:t>
            </w:r>
            <w:r w:rsidR="00FC0514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čo najskôr zazmluvniť projekt </w:t>
            </w:r>
            <w:r w:rsidR="00FC0514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D1 Hubová – Ivachnová (2. fáza)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.</w:t>
            </w:r>
          </w:p>
        </w:tc>
      </w:tr>
    </w:tbl>
    <w:p w14:paraId="21B0D24B" w14:textId="77777777" w:rsidR="00A70055" w:rsidRPr="00DD6590" w:rsidRDefault="00A70055" w:rsidP="00A70055">
      <w:pPr>
        <w:rPr>
          <w:b/>
        </w:rPr>
        <w:sectPr w:rsidR="00A70055" w:rsidRPr="00DD6590" w:rsidSect="00847AD7">
          <w:pgSz w:w="16838" w:h="11906" w:orient="landscape" w:code="9"/>
          <w:pgMar w:top="1411" w:right="1411" w:bottom="1411" w:left="1411" w:header="677" w:footer="562" w:gutter="0"/>
          <w:cols w:space="284"/>
          <w:titlePg/>
          <w:docGrid w:linePitch="360"/>
        </w:sectPr>
      </w:pPr>
    </w:p>
    <w:p w14:paraId="17803FAB" w14:textId="77777777" w:rsidR="00A70055" w:rsidRPr="00DD6590" w:rsidRDefault="00A70055" w:rsidP="00B0035E">
      <w:pPr>
        <w:pStyle w:val="Heading2"/>
      </w:pPr>
      <w:bookmarkStart w:id="15" w:name="_Toc9350264"/>
      <w:r w:rsidRPr="00DD6590">
        <w:lastRenderedPageBreak/>
        <w:t>Vyhodnotenie napĺňania cieľov a výkonnostného rámca pre PO</w:t>
      </w:r>
      <w:bookmarkEnd w:id="15"/>
    </w:p>
    <w:p w14:paraId="2E175458" w14:textId="30417D3A" w:rsidR="00D02FDA" w:rsidRPr="00DD6590" w:rsidRDefault="00D02FDA" w:rsidP="00D02FDA">
      <w:pPr>
        <w:pStyle w:val="Caption"/>
      </w:pPr>
      <w:bookmarkStart w:id="16" w:name="_Toc8805471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431E89">
        <w:rPr>
          <w:noProof/>
        </w:rPr>
        <w:t>6</w:t>
      </w:r>
      <w:r w:rsidRPr="00DD6590">
        <w:fldChar w:fldCharType="end"/>
      </w:r>
      <w:r w:rsidRPr="00DD6590">
        <w:t xml:space="preserve"> Vyhodnotenie výkonnostného rámca PO2</w:t>
      </w:r>
      <w:bookmarkEnd w:id="16"/>
    </w:p>
    <w:tbl>
      <w:tblPr>
        <w:tblStyle w:val="TableGrid"/>
        <w:tblW w:w="5000" w:type="pct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427"/>
        <w:gridCol w:w="3028"/>
        <w:gridCol w:w="1513"/>
        <w:gridCol w:w="1179"/>
        <w:gridCol w:w="6561"/>
      </w:tblGrid>
      <w:tr w:rsidR="00E00726" w:rsidRPr="00DD6590" w14:paraId="0080096F" w14:textId="77777777" w:rsidTr="008B12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9"/>
          <w:tblHeader/>
        </w:trPr>
        <w:tc>
          <w:tcPr>
            <w:tcW w:w="520" w:type="pct"/>
            <w:tcBorders>
              <w:left w:val="single" w:sz="4" w:space="0" w:color="D0D0CE" w:themeColor="background2"/>
            </w:tcBorders>
            <w:shd w:val="clear" w:color="auto" w:fill="DBDCDE" w:themeFill="text2" w:themeFillTint="33"/>
            <w:vAlign w:val="center"/>
          </w:tcPr>
          <w:p w14:paraId="500B89E9" w14:textId="77777777" w:rsidR="00A70055" w:rsidRPr="00DD6590" w:rsidRDefault="00A70055" w:rsidP="00527BCC">
            <w:pPr>
              <w:spacing w:before="60" w:after="0" w:line="240" w:lineRule="auto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Typ ukazovateľa</w:t>
            </w:r>
          </w:p>
        </w:tc>
        <w:tc>
          <w:tcPr>
            <w:tcW w:w="1104" w:type="pct"/>
            <w:shd w:val="clear" w:color="auto" w:fill="DBDCDE" w:themeFill="text2" w:themeFillTint="33"/>
            <w:vAlign w:val="center"/>
          </w:tcPr>
          <w:p w14:paraId="65B69698" w14:textId="77777777" w:rsidR="00A70055" w:rsidRPr="00DD6590" w:rsidRDefault="00A70055" w:rsidP="00527BCC">
            <w:pPr>
              <w:spacing w:before="60" w:after="0" w:line="240" w:lineRule="auto"/>
              <w:ind w:left="60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Definícia ukazovateľa alebo implementačného kroku</w:t>
            </w:r>
          </w:p>
        </w:tc>
        <w:tc>
          <w:tcPr>
            <w:tcW w:w="552" w:type="pct"/>
            <w:shd w:val="clear" w:color="auto" w:fill="DBDCDE" w:themeFill="text2" w:themeFillTint="33"/>
            <w:vAlign w:val="center"/>
          </w:tcPr>
          <w:p w14:paraId="28BC3517" w14:textId="77777777" w:rsidR="00A70055" w:rsidRPr="00DD6590" w:rsidRDefault="00A70055" w:rsidP="00527BCC">
            <w:pPr>
              <w:spacing w:before="60" w:after="0" w:line="240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Zámer</w:t>
            </w:r>
          </w:p>
          <w:p w14:paraId="574D6E19" w14:textId="77777777" w:rsidR="00A70055" w:rsidRPr="00DD6590" w:rsidRDefault="00A70055" w:rsidP="00527BCC">
            <w:pPr>
              <w:spacing w:before="60" w:after="0" w:line="240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(2023)</w:t>
            </w:r>
          </w:p>
        </w:tc>
        <w:tc>
          <w:tcPr>
            <w:tcW w:w="430" w:type="pct"/>
            <w:tcBorders>
              <w:bottom w:val="single" w:sz="2" w:space="0" w:color="D9D9D9" w:themeColor="background1" w:themeShade="D9"/>
            </w:tcBorders>
            <w:shd w:val="clear" w:color="auto" w:fill="DBDCDE" w:themeFill="text2" w:themeFillTint="33"/>
            <w:vAlign w:val="center"/>
          </w:tcPr>
          <w:p w14:paraId="50859E81" w14:textId="77777777" w:rsidR="00A70055" w:rsidRPr="00DD6590" w:rsidRDefault="00A70055" w:rsidP="00527BCC">
            <w:pPr>
              <w:spacing w:before="60" w:after="0" w:line="240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Hodnotenie naplnenosti</w:t>
            </w:r>
          </w:p>
        </w:tc>
        <w:tc>
          <w:tcPr>
            <w:tcW w:w="2393" w:type="pct"/>
            <w:shd w:val="clear" w:color="auto" w:fill="DBDCDE" w:themeFill="text2" w:themeFillTint="33"/>
            <w:vAlign w:val="center"/>
          </w:tcPr>
          <w:p w14:paraId="311EAA82" w14:textId="77777777" w:rsidR="00A70055" w:rsidRPr="00DD6590" w:rsidRDefault="00A70055" w:rsidP="00527BCC">
            <w:pPr>
              <w:spacing w:before="60" w:after="0" w:line="240" w:lineRule="auto"/>
              <w:contextualSpacing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Komentár</w:t>
            </w:r>
          </w:p>
        </w:tc>
      </w:tr>
      <w:tr w:rsidR="00E00726" w:rsidRPr="00DD6590" w14:paraId="49586874" w14:textId="77777777" w:rsidTr="008B121C">
        <w:trPr>
          <w:trHeight w:val="454"/>
        </w:trPr>
        <w:tc>
          <w:tcPr>
            <w:tcW w:w="520" w:type="pct"/>
            <w:tcBorders>
              <w:left w:val="single" w:sz="4" w:space="0" w:color="D0D0CE" w:themeColor="background2"/>
              <w:right w:val="single" w:sz="4" w:space="0" w:color="D9D9D9" w:themeColor="background1" w:themeShade="D9"/>
            </w:tcBorders>
            <w:vAlign w:val="center"/>
          </w:tcPr>
          <w:p w14:paraId="4AF69062" w14:textId="77777777" w:rsidR="00A70055" w:rsidRPr="00DD6590" w:rsidRDefault="008424E8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Finančný ukazovateľ </w:t>
            </w:r>
          </w:p>
        </w:tc>
        <w:tc>
          <w:tcPr>
            <w:tcW w:w="1104" w:type="pct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700DEE1F" w14:textId="77777777" w:rsidR="00A70055" w:rsidRPr="00DD6590" w:rsidRDefault="00A70055" w:rsidP="00527BCC">
            <w:pPr>
              <w:spacing w:before="60" w:after="0" w:line="240" w:lineRule="auto"/>
              <w:ind w:left="66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Celková suma oprávnených výdavkov po ich certifikácii certifikačným orgánom a predložení žiadostí o platby Európskej komisii</w:t>
            </w:r>
          </w:p>
        </w:tc>
        <w:tc>
          <w:tcPr>
            <w:tcW w:w="552" w:type="pct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6174FD7E" w14:textId="77777777" w:rsidR="00A70055" w:rsidRPr="00DD6590" w:rsidRDefault="00A70055" w:rsidP="00527BC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1 344 117 648 EUR</w:t>
            </w:r>
          </w:p>
        </w:tc>
        <w:tc>
          <w:tcPr>
            <w:tcW w:w="430" w:type="pct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0EC9F"/>
            <w:vAlign w:val="center"/>
          </w:tcPr>
          <w:p w14:paraId="602DA9B5" w14:textId="35ADEE25" w:rsidR="00A70055" w:rsidRPr="00DD6590" w:rsidRDefault="0017585F" w:rsidP="00527BC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115,10</w:t>
            </w:r>
            <w:r w:rsidR="008D1122">
              <w:rPr>
                <w:sz w:val="16"/>
                <w:szCs w:val="16"/>
              </w:rPr>
              <w:t> </w:t>
            </w:r>
            <w:r w:rsidR="00A70055" w:rsidRPr="00DD6590">
              <w:rPr>
                <w:sz w:val="16"/>
                <w:szCs w:val="16"/>
              </w:rPr>
              <w:t xml:space="preserve">% kontrahované, </w:t>
            </w:r>
            <w:r w:rsidR="004E7FA3" w:rsidRPr="00DD6590">
              <w:rPr>
                <w:sz w:val="16"/>
                <w:szCs w:val="16"/>
              </w:rPr>
              <w:t>63,05</w:t>
            </w:r>
            <w:r w:rsidR="008D1122">
              <w:rPr>
                <w:sz w:val="16"/>
                <w:szCs w:val="16"/>
              </w:rPr>
              <w:t> </w:t>
            </w:r>
            <w:r w:rsidR="00A70055" w:rsidRPr="00DD6590">
              <w:rPr>
                <w:sz w:val="16"/>
                <w:szCs w:val="16"/>
              </w:rPr>
              <w:t>% čerpané</w:t>
            </w:r>
          </w:p>
        </w:tc>
        <w:tc>
          <w:tcPr>
            <w:tcW w:w="2393" w:type="pct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52D463E9" w14:textId="51107901" w:rsidR="00A70055" w:rsidRPr="00DD6590" w:rsidRDefault="00A70055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V súčasnosti je v rámci prebiehajúcich projektov </w:t>
            </w:r>
            <w:r w:rsidRPr="00DD6590">
              <w:rPr>
                <w:b/>
                <w:sz w:val="16"/>
                <w:szCs w:val="16"/>
              </w:rPr>
              <w:t xml:space="preserve">kontrahovaných 1 </w:t>
            </w:r>
            <w:r w:rsidR="00854AD0" w:rsidRPr="00DD6590">
              <w:rPr>
                <w:b/>
                <w:sz w:val="16"/>
                <w:szCs w:val="16"/>
              </w:rPr>
              <w:t>547</w:t>
            </w:r>
            <w:r w:rsidRPr="00DD6590">
              <w:rPr>
                <w:b/>
                <w:sz w:val="16"/>
                <w:szCs w:val="16"/>
              </w:rPr>
              <w:t xml:space="preserve"> mil. EUR</w:t>
            </w:r>
            <w:r w:rsidRPr="00DD6590">
              <w:rPr>
                <w:sz w:val="16"/>
                <w:szCs w:val="16"/>
              </w:rPr>
              <w:t xml:space="preserve">. Na základe dotazníka vyplneného projektovými manažérmi </w:t>
            </w:r>
            <w:r w:rsidR="008D1122">
              <w:rPr>
                <w:sz w:val="16"/>
                <w:szCs w:val="16"/>
              </w:rPr>
              <w:t>je</w:t>
            </w:r>
            <w:r w:rsidRPr="00DD6590">
              <w:rPr>
                <w:sz w:val="16"/>
                <w:szCs w:val="16"/>
              </w:rPr>
              <w:t xml:space="preserve"> plánovan</w:t>
            </w:r>
            <w:r w:rsidR="008D1122">
              <w:rPr>
                <w:sz w:val="16"/>
                <w:szCs w:val="16"/>
              </w:rPr>
              <w:t>á</w:t>
            </w:r>
            <w:r w:rsidR="00FC0514" w:rsidRPr="00DD6590">
              <w:rPr>
                <w:sz w:val="16"/>
                <w:szCs w:val="16"/>
              </w:rPr>
              <w:t xml:space="preserve">  realizáci</w:t>
            </w:r>
            <w:r w:rsidR="008D1122">
              <w:rPr>
                <w:sz w:val="16"/>
                <w:szCs w:val="16"/>
              </w:rPr>
              <w:t>a troch ďalších</w:t>
            </w:r>
            <w:r w:rsidR="00FC0514" w:rsidRPr="00DD6590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projekt</w:t>
            </w:r>
            <w:r w:rsidR="008D1122">
              <w:rPr>
                <w:sz w:val="16"/>
                <w:szCs w:val="16"/>
              </w:rPr>
              <w:t>ov</w:t>
            </w:r>
            <w:r w:rsidRPr="00DD6590">
              <w:rPr>
                <w:sz w:val="16"/>
                <w:szCs w:val="16"/>
              </w:rPr>
              <w:t>. Pokiaľ nedôjde k výraznému omeškaniu v realizácii projektov, dá sa predpokladať, že finančn</w:t>
            </w:r>
            <w:r w:rsidR="008D1122">
              <w:rPr>
                <w:sz w:val="16"/>
                <w:szCs w:val="16"/>
              </w:rPr>
              <w:t>ý</w:t>
            </w:r>
            <w:r w:rsidRPr="00DD6590">
              <w:rPr>
                <w:sz w:val="16"/>
                <w:szCs w:val="16"/>
              </w:rPr>
              <w:t xml:space="preserve"> ukazovateľ</w:t>
            </w:r>
            <w:r w:rsidR="008D1122">
              <w:rPr>
                <w:sz w:val="16"/>
                <w:szCs w:val="16"/>
              </w:rPr>
              <w:t xml:space="preserve"> bude naplnený</w:t>
            </w:r>
            <w:r w:rsidRPr="00DD6590">
              <w:rPr>
                <w:sz w:val="16"/>
                <w:szCs w:val="16"/>
              </w:rPr>
              <w:t xml:space="preserve">. </w:t>
            </w:r>
          </w:p>
          <w:p w14:paraId="3909D5B6" w14:textId="7FFF07EE" w:rsidR="00A70055" w:rsidRPr="00DD6590" w:rsidRDefault="00A70055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Pozn.: Alokácia prioritnej osi bola k 31. 12. 2018 1 303 mil. EUR NFP bez finančných nástrojov. </w:t>
            </w:r>
            <w:r w:rsidR="008D1122">
              <w:rPr>
                <w:sz w:val="16"/>
                <w:szCs w:val="16"/>
              </w:rPr>
              <w:t xml:space="preserve">Tiež </w:t>
            </w:r>
            <w:r w:rsidR="00961697" w:rsidRPr="00DD6590">
              <w:rPr>
                <w:sz w:val="16"/>
                <w:szCs w:val="16"/>
              </w:rPr>
              <w:t>je potrebné dohliadnuť na úspešné ukončenie implementácie projektov do konca časovej oprávnenosti programového obdobia.</w:t>
            </w:r>
          </w:p>
        </w:tc>
      </w:tr>
      <w:tr w:rsidR="00E00726" w:rsidRPr="00DD6590" w14:paraId="04787AA7" w14:textId="77777777" w:rsidTr="008B121C">
        <w:trPr>
          <w:trHeight w:val="454"/>
        </w:trPr>
        <w:tc>
          <w:tcPr>
            <w:tcW w:w="520" w:type="pct"/>
            <w:vAlign w:val="center"/>
          </w:tcPr>
          <w:p w14:paraId="5FAC12F7" w14:textId="77777777" w:rsidR="00A70055" w:rsidRPr="00DD6590" w:rsidRDefault="00A70055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Výstupový ukazovateľ</w:t>
            </w:r>
          </w:p>
        </w:tc>
        <w:tc>
          <w:tcPr>
            <w:tcW w:w="1104" w:type="pct"/>
            <w:vAlign w:val="center"/>
          </w:tcPr>
          <w:p w14:paraId="67606BFD" w14:textId="75E03D3A" w:rsidR="00A70055" w:rsidRPr="00DD6590" w:rsidRDefault="00A70055" w:rsidP="00527BCC">
            <w:pPr>
              <w:spacing w:before="60" w:after="0" w:line="240" w:lineRule="auto"/>
              <w:ind w:left="66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Celková dĺžka novovybudovaných ciest v sieti TEN-T</w:t>
            </w:r>
          </w:p>
        </w:tc>
        <w:tc>
          <w:tcPr>
            <w:tcW w:w="552" w:type="pct"/>
            <w:vAlign w:val="center"/>
          </w:tcPr>
          <w:p w14:paraId="791BB614" w14:textId="77777777" w:rsidR="00A70055" w:rsidRPr="00DD6590" w:rsidRDefault="00A70055" w:rsidP="00527BC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111,7 km</w:t>
            </w:r>
          </w:p>
        </w:tc>
        <w:tc>
          <w:tcPr>
            <w:tcW w:w="430" w:type="pct"/>
            <w:shd w:val="clear" w:color="auto" w:fill="FFD653"/>
            <w:vAlign w:val="center"/>
          </w:tcPr>
          <w:p w14:paraId="3725100E" w14:textId="6C95BF8E" w:rsidR="00A70055" w:rsidRPr="00DD6590" w:rsidRDefault="00B7473F" w:rsidP="00527BC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86,2</w:t>
            </w:r>
            <w:r w:rsidR="00D62DBA" w:rsidRPr="00DD6590">
              <w:rPr>
                <w:sz w:val="16"/>
                <w:szCs w:val="16"/>
              </w:rPr>
              <w:t>0</w:t>
            </w:r>
            <w:r w:rsidR="008D1122">
              <w:rPr>
                <w:sz w:val="16"/>
                <w:szCs w:val="16"/>
              </w:rPr>
              <w:t> </w:t>
            </w:r>
            <w:r w:rsidR="00A70055" w:rsidRPr="00DD6590">
              <w:rPr>
                <w:sz w:val="16"/>
                <w:szCs w:val="16"/>
              </w:rPr>
              <w:t>%</w:t>
            </w:r>
          </w:p>
        </w:tc>
        <w:tc>
          <w:tcPr>
            <w:tcW w:w="2393" w:type="pct"/>
            <w:vAlign w:val="center"/>
          </w:tcPr>
          <w:p w14:paraId="23E5CD6B" w14:textId="3699DF5E" w:rsidR="00A70055" w:rsidRPr="00DD6590" w:rsidRDefault="004E3A07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Do konca roka 2018</w:t>
            </w:r>
            <w:r w:rsidR="00A70055" w:rsidRPr="00DD6590">
              <w:rPr>
                <w:sz w:val="16"/>
                <w:szCs w:val="16"/>
              </w:rPr>
              <w:t xml:space="preserve"> bolo celkom novovybudovaných ciest 12,28 km.</w:t>
            </w:r>
          </w:p>
          <w:p w14:paraId="42063DAA" w14:textId="4DB79C45" w:rsidR="00A70055" w:rsidRPr="00DD6590" w:rsidRDefault="00A70055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Cieľová hodnota v rámci prebiehajúcich projektov je </w:t>
            </w:r>
            <w:r w:rsidR="00B7473F" w:rsidRPr="00DD6590">
              <w:rPr>
                <w:sz w:val="16"/>
                <w:szCs w:val="16"/>
              </w:rPr>
              <w:t>96,29</w:t>
            </w:r>
            <w:r w:rsidRPr="00DD6590">
              <w:rPr>
                <w:sz w:val="16"/>
                <w:szCs w:val="16"/>
              </w:rPr>
              <w:t xml:space="preserve"> km. </w:t>
            </w:r>
            <w:r w:rsidR="008D1122">
              <w:rPr>
                <w:sz w:val="16"/>
                <w:szCs w:val="16"/>
              </w:rPr>
              <w:t>Na</w:t>
            </w:r>
            <w:r w:rsidRPr="00DD6590">
              <w:rPr>
                <w:sz w:val="16"/>
                <w:szCs w:val="16"/>
              </w:rPr>
              <w:t xml:space="preserve"> naplnenie cieľovej hodnoty v roku 2023 je potrebné schváliť projekt</w:t>
            </w:r>
            <w:r w:rsidR="00244915" w:rsidRPr="00DD6590">
              <w:rPr>
                <w:sz w:val="16"/>
                <w:szCs w:val="16"/>
              </w:rPr>
              <w:t xml:space="preserve"> </w:t>
            </w:r>
            <w:r w:rsidR="00FC0514" w:rsidRPr="00DD6590">
              <w:rPr>
                <w:sz w:val="16"/>
                <w:szCs w:val="16"/>
              </w:rPr>
              <w:t>(</w:t>
            </w:r>
            <w:r w:rsidR="00FC0514" w:rsidRPr="00DD6590">
              <w:rPr>
                <w:color w:val="000000"/>
                <w:sz w:val="16"/>
                <w:szCs w:val="16"/>
              </w:rPr>
              <w:t>D1 Hubová – Ivachnová (2. fáza)</w:t>
            </w:r>
            <w:r w:rsidR="00244915" w:rsidRPr="00DD6590">
              <w:rPr>
                <w:color w:val="000000"/>
                <w:sz w:val="16"/>
                <w:szCs w:val="16"/>
              </w:rPr>
              <w:t>,</w:t>
            </w:r>
            <w:r w:rsidRPr="00DD6590">
              <w:rPr>
                <w:sz w:val="16"/>
                <w:szCs w:val="16"/>
              </w:rPr>
              <w:t xml:space="preserve"> </w:t>
            </w:r>
            <w:r w:rsidR="00FC0514" w:rsidRPr="00DD6590">
              <w:rPr>
                <w:sz w:val="16"/>
                <w:szCs w:val="16"/>
              </w:rPr>
              <w:t>ktoré</w:t>
            </w:r>
            <w:r w:rsidR="00244915" w:rsidRPr="00DD6590">
              <w:rPr>
                <w:sz w:val="16"/>
                <w:szCs w:val="16"/>
              </w:rPr>
              <w:t>ho</w:t>
            </w:r>
            <w:r w:rsidR="00FC0514" w:rsidRPr="00DD6590">
              <w:rPr>
                <w:sz w:val="16"/>
                <w:szCs w:val="16"/>
              </w:rPr>
              <w:t xml:space="preserve"> realizácia naplní ukazovateľ na 100</w:t>
            </w:r>
            <w:r w:rsidR="008D1122">
              <w:rPr>
                <w:sz w:val="16"/>
                <w:szCs w:val="16"/>
              </w:rPr>
              <w:t xml:space="preserve"> </w:t>
            </w:r>
            <w:r w:rsidR="00FC0514" w:rsidRPr="00DD6590">
              <w:rPr>
                <w:sz w:val="16"/>
                <w:szCs w:val="16"/>
              </w:rPr>
              <w:t>%.</w:t>
            </w:r>
          </w:p>
        </w:tc>
      </w:tr>
      <w:bookmarkEnd w:id="1"/>
    </w:tbl>
    <w:p w14:paraId="7C3CE3A2" w14:textId="77777777" w:rsidR="00BF6F8B" w:rsidRPr="00053D7B" w:rsidRDefault="00BF6F8B" w:rsidP="005B2C79">
      <w:pPr>
        <w:pStyle w:val="Heading2"/>
      </w:pPr>
    </w:p>
    <w:sectPr w:rsidR="00BF6F8B" w:rsidRPr="00053D7B" w:rsidSect="005B2C7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6838" w:h="11906" w:orient="landscape" w:code="9"/>
      <w:pgMar w:top="1411" w:right="1987" w:bottom="1138" w:left="1138" w:header="677" w:footer="562" w:gutter="0"/>
      <w:cols w:space="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ED4AF" w14:textId="77777777" w:rsidR="006F6CE5" w:rsidRDefault="006F6CE5" w:rsidP="00C702C7">
      <w:r>
        <w:separator/>
      </w:r>
    </w:p>
  </w:endnote>
  <w:endnote w:type="continuationSeparator" w:id="0">
    <w:p w14:paraId="48BD6A56" w14:textId="77777777" w:rsidR="006F6CE5" w:rsidRDefault="006F6CE5" w:rsidP="00C70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ans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0848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E309F4" w14:textId="243F2D83" w:rsidR="00431E89" w:rsidRDefault="00431E8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FC4B75E" w14:textId="77777777" w:rsidR="006F6CE5" w:rsidRPr="00335CF3" w:rsidRDefault="006F6CE5" w:rsidP="00847AD7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28408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105C69" w14:textId="1467FF32" w:rsidR="00431E89" w:rsidRDefault="00431E8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A5B2106" w14:textId="77777777" w:rsidR="00431E89" w:rsidRDefault="00431E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22844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49865F" w14:textId="6F110839" w:rsidR="006F6CE5" w:rsidRDefault="006F6CE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14:paraId="49B4A9D3" w14:textId="77777777" w:rsidR="006F6CE5" w:rsidRPr="00335CF3" w:rsidRDefault="006F6CE5" w:rsidP="00D21B5F">
    <w:pPr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3544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D1B996" w14:textId="3D44E09D" w:rsidR="00431E89" w:rsidRDefault="00431E8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7EC27993" w14:textId="77777777" w:rsidR="006F6CE5" w:rsidRDefault="006F6CE5" w:rsidP="00D21B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FB7C5" w14:textId="77777777" w:rsidR="006F6CE5" w:rsidRDefault="006F6CE5" w:rsidP="00C702C7">
      <w:r>
        <w:separator/>
      </w:r>
    </w:p>
  </w:footnote>
  <w:footnote w:type="continuationSeparator" w:id="0">
    <w:p w14:paraId="09316071" w14:textId="77777777" w:rsidR="006F6CE5" w:rsidRDefault="006F6CE5" w:rsidP="00C702C7">
      <w:r>
        <w:continuationSeparator/>
      </w:r>
    </w:p>
  </w:footnote>
  <w:footnote w:id="1">
    <w:p w14:paraId="48DF1955" w14:textId="77777777" w:rsidR="006F6CE5" w:rsidRPr="001C487B" w:rsidRDefault="006F6CE5" w:rsidP="00E37C6C">
      <w:pPr>
        <w:pStyle w:val="FootnoteText"/>
      </w:pPr>
      <w:r w:rsidRPr="001C487B">
        <w:rPr>
          <w:rStyle w:val="FootnoteReference"/>
        </w:rPr>
        <w:footnoteRef/>
      </w:r>
      <w:r w:rsidRPr="001C487B">
        <w:t xml:space="preserve"> Zámer je plánovaná konečná hodnota ukazovateľa k termínu splnenia 31. 12. 2023. Dosiahnutie zámeru sa vyhodnocuje v roku 2025 pri uzatváraní programového obdobia.</w:t>
      </w:r>
    </w:p>
  </w:footnote>
  <w:footnote w:id="2">
    <w:p w14:paraId="31DBB948" w14:textId="23460767" w:rsidR="006F6CE5" w:rsidRPr="00A70055" w:rsidRDefault="006F6CE5" w:rsidP="00A70055">
      <w:pPr>
        <w:pStyle w:val="FootnoteText"/>
        <w:spacing w:before="0" w:line="240" w:lineRule="auto"/>
        <w:rPr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A70055">
        <w:rPr>
          <w:szCs w:val="16"/>
        </w:rPr>
        <w:t xml:space="preserve">Zdroj: Údaje čerpané z Monitorovacích správ </w:t>
      </w:r>
      <w:r w:rsidR="000A42BB" w:rsidRPr="00A70055">
        <w:rPr>
          <w:szCs w:val="16"/>
        </w:rPr>
        <w:t>dostupný</w:t>
      </w:r>
      <w:r w:rsidR="000A42BB">
        <w:rPr>
          <w:szCs w:val="16"/>
        </w:rPr>
        <w:t>ch</w:t>
      </w:r>
      <w:r w:rsidR="000A42BB" w:rsidRPr="00A70055">
        <w:rPr>
          <w:szCs w:val="16"/>
        </w:rPr>
        <w:t xml:space="preserve"> </w:t>
      </w:r>
      <w:r w:rsidRPr="00A70055">
        <w:rPr>
          <w:szCs w:val="16"/>
        </w:rPr>
        <w:t>v ITMS k 31. 1. 2019 a z informácií k projektom poskytnutým zadávateľom. (Pozn.: MS za rok 2018 musia byť poskytnuté do 31. 1. 2019</w:t>
      </w:r>
      <w:r w:rsidR="000A42BB">
        <w:rPr>
          <w:szCs w:val="16"/>
        </w:rPr>
        <w:t>)</w:t>
      </w:r>
      <w:r w:rsidRPr="00A70055">
        <w:rPr>
          <w:szCs w:val="16"/>
        </w:rPr>
        <w:t xml:space="preserve">. </w:t>
      </w:r>
    </w:p>
  </w:footnote>
  <w:footnote w:id="3">
    <w:p w14:paraId="555FCC1B" w14:textId="77777777" w:rsidR="006F6CE5" w:rsidRPr="00A70055" w:rsidRDefault="006F6CE5" w:rsidP="00A70055">
      <w:pPr>
        <w:pStyle w:val="FootnoteText"/>
        <w:spacing w:before="0" w:line="240" w:lineRule="auto"/>
        <w:rPr>
          <w:szCs w:val="16"/>
        </w:rPr>
      </w:pPr>
      <w:r w:rsidRPr="00A70055">
        <w:rPr>
          <w:rStyle w:val="FootnoteReference"/>
          <w:szCs w:val="16"/>
        </w:rPr>
        <w:footnoteRef/>
      </w:r>
      <w:r w:rsidRPr="00A70055">
        <w:rPr>
          <w:szCs w:val="16"/>
        </w:rPr>
        <w:t xml:space="preserve"> Od začiatku projektu do 31. 12. 2018.</w:t>
      </w:r>
    </w:p>
  </w:footnote>
  <w:footnote w:id="4">
    <w:p w14:paraId="5726168D" w14:textId="77777777" w:rsidR="006F6CE5" w:rsidRPr="00A70055" w:rsidRDefault="006F6CE5" w:rsidP="00A70055">
      <w:pPr>
        <w:pStyle w:val="FootnoteText"/>
        <w:spacing w:before="0" w:line="240" w:lineRule="auto"/>
        <w:rPr>
          <w:szCs w:val="16"/>
        </w:rPr>
      </w:pPr>
      <w:r w:rsidRPr="00A70055">
        <w:rPr>
          <w:rStyle w:val="FootnoteReference"/>
          <w:szCs w:val="16"/>
        </w:rPr>
        <w:footnoteRef/>
      </w:r>
      <w:r w:rsidRPr="00A70055">
        <w:rPr>
          <w:szCs w:val="16"/>
        </w:rPr>
        <w:t xml:space="preserve"> Percentuálny podiel a stav vecného plnenia podľa odhadu projektových manažérov.</w:t>
      </w:r>
    </w:p>
  </w:footnote>
  <w:footnote w:id="5">
    <w:p w14:paraId="7E148C66" w14:textId="481F390C" w:rsidR="006F6CE5" w:rsidRDefault="006F6CE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C012D9">
          <w:rPr>
            <w:rStyle w:val="Hyperlink"/>
          </w:rPr>
          <w:t>https://rokovania.gov.sk/RVL/Material/23625/1</w:t>
        </w:r>
      </w:hyperlink>
      <w:r>
        <w:rPr>
          <w:rStyle w:val="Hyperlink"/>
        </w:rPr>
        <w:t xml:space="preserve"> </w:t>
      </w:r>
    </w:p>
  </w:footnote>
  <w:footnote w:id="6">
    <w:p w14:paraId="6B3C0AE4" w14:textId="77777777" w:rsidR="006F6CE5" w:rsidRPr="00BD487E" w:rsidRDefault="006F6CE5" w:rsidP="00A70055">
      <w:pPr>
        <w:pStyle w:val="FootnoteText"/>
        <w:spacing w:before="0"/>
      </w:pPr>
      <w:r w:rsidRPr="00BD487E">
        <w:rPr>
          <w:rStyle w:val="FootnoteReference"/>
        </w:rPr>
        <w:footnoteRef/>
      </w:r>
      <w:r w:rsidRPr="00BD487E">
        <w:t xml:space="preserve"> Z kontrahovaných prostriedkov.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B74CD" w14:textId="24B63E92" w:rsidR="006F6CE5" w:rsidRPr="00FB3C7F" w:rsidRDefault="006F6CE5" w:rsidP="005B2C79">
    <w:pPr>
      <w:pStyle w:val="Header"/>
      <w:rPr>
        <w:b w:val="0"/>
        <w:sz w:val="16"/>
        <w:lang w:val="sk-SK"/>
      </w:rPr>
    </w:pPr>
    <w:r w:rsidRPr="00FB3C7F">
      <w:rPr>
        <w:b w:val="0"/>
        <w:sz w:val="16"/>
        <w:lang w:val="sk-SK"/>
      </w:rPr>
      <w:t>Príloha č.</w:t>
    </w:r>
    <w:r>
      <w:rPr>
        <w:b w:val="0"/>
        <w:sz w:val="16"/>
        <w:lang w:val="sk-SK"/>
      </w:rPr>
      <w:t xml:space="preserve"> 5</w:t>
    </w:r>
    <w:r w:rsidRPr="00FB3C7F">
      <w:rPr>
        <w:b w:val="0"/>
        <w:sz w:val="16"/>
        <w:lang w:val="sk-SK"/>
      </w:rPr>
      <w:t xml:space="preserve"> Výsledky</w:t>
    </w:r>
    <w:r>
      <w:rPr>
        <w:b w:val="0"/>
        <w:sz w:val="16"/>
        <w:lang w:val="sk-SK"/>
      </w:rPr>
      <w:t xml:space="preserve"> analýzy prioritnej osi 2</w:t>
    </w:r>
    <w:r w:rsidR="007665B7">
      <w:rPr>
        <w:b w:val="0"/>
        <w:sz w:val="16"/>
        <w:lang w:val="sk-SK"/>
      </w:rPr>
      <w:t xml:space="preserve"> </w:t>
    </w:r>
    <w:r w:rsidR="007665B7" w:rsidRPr="00D76E8D">
      <w:rPr>
        <w:sz w:val="16"/>
        <w:szCs w:val="16"/>
      </w:rPr>
      <w:t>–</w:t>
    </w:r>
    <w:r>
      <w:rPr>
        <w:b w:val="0"/>
        <w:sz w:val="16"/>
        <w:lang w:val="sk-SK"/>
      </w:rPr>
      <w:t xml:space="preserve"> Cestná infraštruktúra (TENT-CORE)</w:t>
    </w:r>
  </w:p>
  <w:p w14:paraId="4BCFB52A" w14:textId="0D08F4F4" w:rsidR="006F6CE5" w:rsidRPr="005B2C79" w:rsidRDefault="006F6CE5" w:rsidP="005B2C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BB450" w14:textId="413C7224" w:rsidR="006F6CE5" w:rsidRPr="00FB3C7F" w:rsidRDefault="006F6CE5">
    <w:pPr>
      <w:pStyle w:val="Header"/>
      <w:rPr>
        <w:b w:val="0"/>
        <w:sz w:val="16"/>
        <w:lang w:val="sk-SK"/>
      </w:rPr>
    </w:pPr>
    <w:r w:rsidRPr="00FB3C7F">
      <w:rPr>
        <w:b w:val="0"/>
        <w:sz w:val="16"/>
        <w:lang w:val="sk-SK"/>
      </w:rPr>
      <w:t>Príloha č.</w:t>
    </w:r>
    <w:r>
      <w:rPr>
        <w:b w:val="0"/>
        <w:sz w:val="16"/>
        <w:lang w:val="sk-SK"/>
      </w:rPr>
      <w:t xml:space="preserve"> 5</w:t>
    </w:r>
    <w:r w:rsidRPr="00FB3C7F">
      <w:rPr>
        <w:b w:val="0"/>
        <w:sz w:val="16"/>
        <w:lang w:val="sk-SK"/>
      </w:rPr>
      <w:t xml:space="preserve"> Výsledky</w:t>
    </w:r>
    <w:r>
      <w:rPr>
        <w:b w:val="0"/>
        <w:sz w:val="16"/>
        <w:lang w:val="sk-SK"/>
      </w:rPr>
      <w:t xml:space="preserve"> analýzy prioritnej osi 2 </w:t>
    </w:r>
    <w:r w:rsidR="007665B7" w:rsidRPr="00D76E8D">
      <w:rPr>
        <w:sz w:val="16"/>
        <w:szCs w:val="16"/>
      </w:rPr>
      <w:t>–</w:t>
    </w:r>
    <w:r w:rsidR="007665B7">
      <w:rPr>
        <w:sz w:val="16"/>
        <w:szCs w:val="16"/>
      </w:rPr>
      <w:t xml:space="preserve"> </w:t>
    </w:r>
    <w:r>
      <w:rPr>
        <w:b w:val="0"/>
        <w:sz w:val="16"/>
        <w:lang w:val="sk-SK"/>
      </w:rPr>
      <w:t>Cestná infraštruktúra (TENT-CORE)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B8A3B" w14:textId="2B78649A" w:rsidR="006F6CE5" w:rsidRDefault="006F6CE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E69C5C" w14:textId="34839904" w:rsidR="006F6CE5" w:rsidRPr="00363C7B" w:rsidRDefault="00431E89">
    <w:pPr>
      <w:pStyle w:val="Header"/>
      <w:rPr>
        <w:b w:val="0"/>
        <w:sz w:val="16"/>
      </w:rPr>
    </w:pPr>
    <w:r>
      <w:rPr>
        <w:noProof/>
      </w:rPr>
      <w:pict w14:anchorId="1196EC1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2" type="#_x0000_t136" style="position:absolute;margin-left:0;margin-top:0;width:494.7pt;height:164.9pt;rotation:315;z-index:-251632640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Návrh"/>
          <w10:wrap anchorx="margin" anchory="margin"/>
        </v:shape>
      </w:pict>
    </w:r>
    <w:r w:rsidR="006F6CE5" w:rsidRPr="007D6B43">
      <w:rPr>
        <w:sz w:val="16"/>
      </w:rPr>
      <w:fldChar w:fldCharType="begin"/>
    </w:r>
    <w:r w:rsidR="006F6CE5" w:rsidRPr="007D6B43">
      <w:rPr>
        <w:sz w:val="16"/>
      </w:rPr>
      <w:instrText xml:space="preserve"> STYLEREF  "Document title"  \* MERGEFORMAT </w:instrText>
    </w:r>
    <w:r w:rsidR="006F6CE5" w:rsidRPr="007D6B43">
      <w:rPr>
        <w:sz w:val="16"/>
      </w:rPr>
      <w:fldChar w:fldCharType="separate"/>
    </w:r>
    <w:r>
      <w:rPr>
        <w:b w:val="0"/>
        <w:bCs/>
        <w:noProof/>
        <w:sz w:val="16"/>
      </w:rPr>
      <w:t>Error! No text of specified style in document.</w:t>
    </w:r>
    <w:r w:rsidR="006F6CE5" w:rsidRPr="007D6B43">
      <w:rPr>
        <w:sz w:val="16"/>
      </w:rPr>
      <w:fldChar w:fldCharType="end"/>
    </w:r>
    <w:r w:rsidR="006F6CE5" w:rsidRPr="007D6B43">
      <w:rPr>
        <w:b w:val="0"/>
        <w:sz w:val="16"/>
      </w:rPr>
      <w:t xml:space="preserve"> | </w:t>
    </w:r>
    <w:r w:rsidR="006F6CE5" w:rsidRPr="007D6B43">
      <w:rPr>
        <w:b w:val="0"/>
        <w:sz w:val="16"/>
      </w:rPr>
      <w:fldChar w:fldCharType="begin"/>
    </w:r>
    <w:r w:rsidR="006F6CE5" w:rsidRPr="007D6B43">
      <w:rPr>
        <w:b w:val="0"/>
        <w:sz w:val="16"/>
      </w:rPr>
      <w:instrText xml:space="preserve"> STYLEREF  "Section title"  \* MERGEFORMAT </w:instrText>
    </w:r>
    <w:r w:rsidR="006F6CE5" w:rsidRPr="007D6B43">
      <w:rPr>
        <w:b w:val="0"/>
        <w:sz w:val="16"/>
      </w:rPr>
      <w:fldChar w:fldCharType="separate"/>
    </w:r>
    <w:r>
      <w:rPr>
        <w:bCs/>
        <w:noProof/>
        <w:sz w:val="16"/>
      </w:rPr>
      <w:t>Error! No text of specified style in document.</w:t>
    </w:r>
    <w:r w:rsidR="006F6CE5" w:rsidRPr="007D6B43">
      <w:rPr>
        <w:b w:val="0"/>
        <w:sz w:val="16"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CD23D" w14:textId="0E90823E" w:rsidR="006F6CE5" w:rsidRPr="005A75D4" w:rsidRDefault="006F6CE5" w:rsidP="005B2C79">
    <w:pPr>
      <w:pStyle w:val="Header"/>
      <w:rPr>
        <w:b w:val="0"/>
        <w:sz w:val="16"/>
        <w:lang w:val="sk-SK"/>
      </w:rPr>
    </w:pPr>
    <w:r w:rsidRPr="00FB3C7F">
      <w:rPr>
        <w:b w:val="0"/>
        <w:sz w:val="16"/>
        <w:lang w:val="sk-SK"/>
      </w:rPr>
      <w:t>Príloha č.</w:t>
    </w:r>
    <w:r>
      <w:rPr>
        <w:b w:val="0"/>
        <w:sz w:val="16"/>
        <w:lang w:val="sk-SK"/>
      </w:rPr>
      <w:t xml:space="preserve"> 5</w:t>
    </w:r>
    <w:r w:rsidRPr="00FB3C7F">
      <w:rPr>
        <w:b w:val="0"/>
        <w:sz w:val="16"/>
        <w:lang w:val="sk-SK"/>
      </w:rPr>
      <w:t xml:space="preserve"> Výsledky</w:t>
    </w:r>
    <w:r>
      <w:rPr>
        <w:b w:val="0"/>
        <w:sz w:val="16"/>
        <w:lang w:val="sk-SK"/>
      </w:rPr>
      <w:t xml:space="preserve"> analýzy prioritnej osi 2 </w:t>
    </w:r>
    <w:r w:rsidR="007665B7" w:rsidRPr="00D76E8D">
      <w:rPr>
        <w:sz w:val="16"/>
        <w:szCs w:val="16"/>
      </w:rPr>
      <w:t>–</w:t>
    </w:r>
    <w:r w:rsidR="007665B7">
      <w:rPr>
        <w:sz w:val="16"/>
        <w:szCs w:val="16"/>
      </w:rPr>
      <w:t xml:space="preserve"> </w:t>
    </w:r>
    <w:r>
      <w:rPr>
        <w:b w:val="0"/>
        <w:sz w:val="16"/>
        <w:lang w:val="sk-SK"/>
      </w:rPr>
      <w:t>Cestná infraštruktúra (TENT-CORE)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4D4E6FE"/>
    <w:lvl w:ilvl="0">
      <w:start w:val="1"/>
      <w:numFmt w:val="lowerLetter"/>
      <w:pStyle w:val="ListNumber2"/>
      <w:lvlText w:val="%1."/>
      <w:lvlJc w:val="left"/>
      <w:pPr>
        <w:ind w:left="644" w:hanging="360"/>
      </w:pPr>
    </w:lvl>
  </w:abstractNum>
  <w:abstractNum w:abstractNumId="1" w15:restartNumberingAfterBreak="0">
    <w:nsid w:val="FFFFFF83"/>
    <w:multiLevelType w:val="singleLevel"/>
    <w:tmpl w:val="8EAA911C"/>
    <w:lvl w:ilvl="0">
      <w:start w:val="1"/>
      <w:numFmt w:val="bullet"/>
      <w:pStyle w:val="ListBullet2"/>
      <w:lvlText w:val="‒"/>
      <w:lvlJc w:val="left"/>
      <w:pPr>
        <w:ind w:left="587" w:hanging="360"/>
      </w:pPr>
      <w:rPr>
        <w:rFonts w:ascii="Calibri" w:hAnsi="Calibri" w:hint="default"/>
      </w:rPr>
    </w:lvl>
  </w:abstractNum>
  <w:abstractNum w:abstractNumId="2" w15:restartNumberingAfterBreak="0">
    <w:nsid w:val="FFFFFF88"/>
    <w:multiLevelType w:val="singleLevel"/>
    <w:tmpl w:val="F716B3D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2A4026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F1546E"/>
    <w:multiLevelType w:val="hybridMultilevel"/>
    <w:tmpl w:val="9390A5DC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0D659F"/>
    <w:multiLevelType w:val="hybridMultilevel"/>
    <w:tmpl w:val="BD70E5B8"/>
    <w:lvl w:ilvl="0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05EC5B65"/>
    <w:multiLevelType w:val="multilevel"/>
    <w:tmpl w:val="F5FA3D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60D3F35"/>
    <w:multiLevelType w:val="hybridMultilevel"/>
    <w:tmpl w:val="3A623CA0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D6749D"/>
    <w:multiLevelType w:val="hybridMultilevel"/>
    <w:tmpl w:val="0F3E4268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D10C504E">
      <w:numFmt w:val="bullet"/>
      <w:lvlText w:val="-"/>
      <w:lvlJc w:val="left"/>
      <w:pPr>
        <w:ind w:left="1170" w:hanging="360"/>
      </w:pPr>
      <w:rPr>
        <w:rFonts w:ascii="Calibri" w:eastAsiaTheme="minorHAnsi" w:hAnsi="Calibri" w:hint="default"/>
      </w:rPr>
    </w:lvl>
    <w:lvl w:ilvl="2" w:tplc="1400AD66">
      <w:start w:val="1"/>
      <w:numFmt w:val="decimal"/>
      <w:lvlText w:val="%3."/>
      <w:lvlJc w:val="left"/>
      <w:pPr>
        <w:ind w:left="207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0737687E"/>
    <w:multiLevelType w:val="hybridMultilevel"/>
    <w:tmpl w:val="DFC2D8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8E0551"/>
    <w:multiLevelType w:val="hybridMultilevel"/>
    <w:tmpl w:val="02C22996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B5C13"/>
    <w:multiLevelType w:val="hybridMultilevel"/>
    <w:tmpl w:val="FECA1176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A71487"/>
    <w:multiLevelType w:val="hybridMultilevel"/>
    <w:tmpl w:val="674E8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C504E">
      <w:numFmt w:val="bullet"/>
      <w:lvlText w:val="-"/>
      <w:lvlJc w:val="left"/>
      <w:pPr>
        <w:ind w:left="1440" w:hanging="360"/>
      </w:pPr>
      <w:rPr>
        <w:rFonts w:ascii="Calibri" w:eastAsiaTheme="minorHAns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592C5D"/>
    <w:multiLevelType w:val="hybridMultilevel"/>
    <w:tmpl w:val="32A426C8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26A00"/>
    <w:multiLevelType w:val="hybridMultilevel"/>
    <w:tmpl w:val="9EACC5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4B3A54"/>
    <w:multiLevelType w:val="hybridMultilevel"/>
    <w:tmpl w:val="3C7A9D5C"/>
    <w:lvl w:ilvl="0" w:tplc="287A5174">
      <w:numFmt w:val="bullet"/>
      <w:lvlText w:val="•"/>
      <w:lvlJc w:val="left"/>
      <w:pPr>
        <w:ind w:left="1080" w:hanging="720"/>
      </w:pPr>
      <w:rPr>
        <w:rFonts w:ascii="Verdana" w:eastAsia="Verdana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116083"/>
    <w:multiLevelType w:val="hybridMultilevel"/>
    <w:tmpl w:val="BC06C1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F73EC0"/>
    <w:multiLevelType w:val="hybridMultilevel"/>
    <w:tmpl w:val="3D8C7D94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5675BC"/>
    <w:multiLevelType w:val="hybridMultilevel"/>
    <w:tmpl w:val="1AEC1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8E6309"/>
    <w:multiLevelType w:val="hybridMultilevel"/>
    <w:tmpl w:val="3FFAE18C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C1169D5"/>
    <w:multiLevelType w:val="hybridMultilevel"/>
    <w:tmpl w:val="96B41E02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21174A"/>
    <w:multiLevelType w:val="hybridMultilevel"/>
    <w:tmpl w:val="6C5A5048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D10C504E">
      <w:numFmt w:val="bullet"/>
      <w:lvlText w:val="-"/>
      <w:lvlJc w:val="left"/>
      <w:pPr>
        <w:ind w:left="1170" w:hanging="360"/>
      </w:pPr>
      <w:rPr>
        <w:rFonts w:ascii="Calibri" w:eastAsiaTheme="minorHAnsi" w:hAnsi="Calibri"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 w15:restartNumberingAfterBreak="0">
    <w:nsid w:val="1F437708"/>
    <w:multiLevelType w:val="hybridMultilevel"/>
    <w:tmpl w:val="371CA554"/>
    <w:lvl w:ilvl="0" w:tplc="2D72B276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hint="default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D10102"/>
    <w:multiLevelType w:val="hybridMultilevel"/>
    <w:tmpl w:val="B0229B58"/>
    <w:lvl w:ilvl="0" w:tplc="48D6B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41826D2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61CE5"/>
    <w:multiLevelType w:val="hybridMultilevel"/>
    <w:tmpl w:val="5B286D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46C77F0"/>
    <w:multiLevelType w:val="hybridMultilevel"/>
    <w:tmpl w:val="16D8B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BD71E5"/>
    <w:multiLevelType w:val="hybridMultilevel"/>
    <w:tmpl w:val="B35C766E"/>
    <w:lvl w:ilvl="0" w:tplc="D410EC44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 w15:restartNumberingAfterBreak="0">
    <w:nsid w:val="26B478AA"/>
    <w:multiLevelType w:val="hybridMultilevel"/>
    <w:tmpl w:val="EA36D00A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7D12D11"/>
    <w:multiLevelType w:val="hybridMultilevel"/>
    <w:tmpl w:val="21F0740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298214CF"/>
    <w:multiLevelType w:val="hybridMultilevel"/>
    <w:tmpl w:val="85ACB9DC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BAC20C4">
      <w:numFmt w:val="bullet"/>
      <w:lvlText w:val="–"/>
      <w:lvlJc w:val="left"/>
      <w:pPr>
        <w:ind w:left="2070" w:hanging="360"/>
      </w:pPr>
      <w:rPr>
        <w:rFonts w:ascii="Verdana" w:eastAsiaTheme="minorHAnsi" w:hAnsi="Verdana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0" w15:restartNumberingAfterBreak="0">
    <w:nsid w:val="2B35497D"/>
    <w:multiLevelType w:val="hybridMultilevel"/>
    <w:tmpl w:val="12442D94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2D654486"/>
    <w:multiLevelType w:val="hybridMultilevel"/>
    <w:tmpl w:val="2AF43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C504E">
      <w:numFmt w:val="bullet"/>
      <w:lvlText w:val="-"/>
      <w:lvlJc w:val="left"/>
      <w:pPr>
        <w:ind w:left="1440" w:hanging="360"/>
      </w:pPr>
      <w:rPr>
        <w:rFonts w:ascii="Calibri" w:eastAsiaTheme="minorHAns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337363"/>
    <w:multiLevelType w:val="hybridMultilevel"/>
    <w:tmpl w:val="6A0E2A74"/>
    <w:lvl w:ilvl="0" w:tplc="2F1C8C56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A51AA7"/>
    <w:multiLevelType w:val="hybridMultilevel"/>
    <w:tmpl w:val="7DB27FAC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BAC20C4">
      <w:numFmt w:val="bullet"/>
      <w:lvlText w:val="–"/>
      <w:lvlJc w:val="left"/>
      <w:pPr>
        <w:ind w:left="1980" w:hanging="360"/>
      </w:pPr>
      <w:rPr>
        <w:rFonts w:ascii="Verdana" w:eastAsiaTheme="minorHAnsi" w:hAnsi="Verdana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04C1642"/>
    <w:multiLevelType w:val="hybridMultilevel"/>
    <w:tmpl w:val="1D38391A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1BC3B9D"/>
    <w:multiLevelType w:val="hybridMultilevel"/>
    <w:tmpl w:val="4C2451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F1335D"/>
    <w:multiLevelType w:val="multilevel"/>
    <w:tmpl w:val="6A8275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324D76EE"/>
    <w:multiLevelType w:val="hybridMultilevel"/>
    <w:tmpl w:val="9C6EB81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556F30"/>
    <w:multiLevelType w:val="hybridMultilevel"/>
    <w:tmpl w:val="1ACEC306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3AA3B54"/>
    <w:multiLevelType w:val="hybridMultilevel"/>
    <w:tmpl w:val="FEF82A54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B27DE5"/>
    <w:multiLevelType w:val="hybridMultilevel"/>
    <w:tmpl w:val="1E4E01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34415317"/>
    <w:multiLevelType w:val="hybridMultilevel"/>
    <w:tmpl w:val="A5484C6E"/>
    <w:lvl w:ilvl="0" w:tplc="D10C504E">
      <w:numFmt w:val="bullet"/>
      <w:lvlText w:val="-"/>
      <w:lvlJc w:val="left"/>
      <w:pPr>
        <w:ind w:left="1080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354D0EAC"/>
    <w:multiLevelType w:val="multilevel"/>
    <w:tmpl w:val="263ACDC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39C57EC0"/>
    <w:multiLevelType w:val="hybridMultilevel"/>
    <w:tmpl w:val="9D345DB8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41826D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BD3D15"/>
    <w:multiLevelType w:val="hybridMultilevel"/>
    <w:tmpl w:val="B2C0E5E4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5800C7"/>
    <w:multiLevelType w:val="hybridMultilevel"/>
    <w:tmpl w:val="F182CAC4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BAC20C4">
      <w:numFmt w:val="bullet"/>
      <w:lvlText w:val="–"/>
      <w:lvlJc w:val="left"/>
      <w:pPr>
        <w:ind w:left="2340" w:hanging="360"/>
      </w:pPr>
      <w:rPr>
        <w:rFonts w:ascii="Verdana" w:eastAsiaTheme="minorHAnsi" w:hAnsi="Verdana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753CD7"/>
    <w:multiLevelType w:val="hybridMultilevel"/>
    <w:tmpl w:val="8E780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F7F1B9D"/>
    <w:multiLevelType w:val="hybridMultilevel"/>
    <w:tmpl w:val="973A2618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E4A2B22A">
      <w:start w:val="1"/>
      <w:numFmt w:val="lowerLetter"/>
      <w:lvlText w:val="%3)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4212B4"/>
    <w:multiLevelType w:val="multilevel"/>
    <w:tmpl w:val="4DCE3C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9" w15:restartNumberingAfterBreak="0">
    <w:nsid w:val="457C67BE"/>
    <w:multiLevelType w:val="hybridMultilevel"/>
    <w:tmpl w:val="6EAEA3C8"/>
    <w:lvl w:ilvl="0" w:tplc="2E444D5E">
      <w:start w:val="1"/>
      <w:numFmt w:val="bullet"/>
      <w:pStyle w:val="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5E76697"/>
    <w:multiLevelType w:val="hybridMultilevel"/>
    <w:tmpl w:val="D5B28564"/>
    <w:lvl w:ilvl="0" w:tplc="2752CD90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D6439F"/>
    <w:multiLevelType w:val="hybridMultilevel"/>
    <w:tmpl w:val="00925A92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9126BD0"/>
    <w:multiLevelType w:val="hybridMultilevel"/>
    <w:tmpl w:val="31E6CFB2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3" w15:restartNumberingAfterBreak="0">
    <w:nsid w:val="4B2E76AA"/>
    <w:multiLevelType w:val="hybridMultilevel"/>
    <w:tmpl w:val="4DA899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CA46E84"/>
    <w:multiLevelType w:val="hybridMultilevel"/>
    <w:tmpl w:val="A8647C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194850"/>
    <w:multiLevelType w:val="hybridMultilevel"/>
    <w:tmpl w:val="CE320C84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4F5825BB"/>
    <w:multiLevelType w:val="hybridMultilevel"/>
    <w:tmpl w:val="758032A4"/>
    <w:lvl w:ilvl="0" w:tplc="FBB4B35C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7" w15:restartNumberingAfterBreak="0">
    <w:nsid w:val="4FAE0B2F"/>
    <w:multiLevelType w:val="hybridMultilevel"/>
    <w:tmpl w:val="64DA5C3E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53A36787"/>
    <w:multiLevelType w:val="hybridMultilevel"/>
    <w:tmpl w:val="D6FE7CC8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10C504E">
      <w:numFmt w:val="bullet"/>
      <w:lvlText w:val="-"/>
      <w:lvlJc w:val="left"/>
      <w:pPr>
        <w:ind w:left="1440" w:hanging="360"/>
      </w:pPr>
      <w:rPr>
        <w:rFonts w:ascii="Calibri" w:eastAsiaTheme="minorHAnsi" w:hAnsi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835B43"/>
    <w:multiLevelType w:val="hybridMultilevel"/>
    <w:tmpl w:val="E6F60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6F9450B"/>
    <w:multiLevelType w:val="hybridMultilevel"/>
    <w:tmpl w:val="F2402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DCB7673"/>
    <w:multiLevelType w:val="multilevel"/>
    <w:tmpl w:val="EDAC9F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2" w15:restartNumberingAfterBreak="0">
    <w:nsid w:val="5DDD2C74"/>
    <w:multiLevelType w:val="hybridMultilevel"/>
    <w:tmpl w:val="71706D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EDA112A"/>
    <w:multiLevelType w:val="hybridMultilevel"/>
    <w:tmpl w:val="8C9A94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0557AFB"/>
    <w:multiLevelType w:val="hybridMultilevel"/>
    <w:tmpl w:val="7248A714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09152D5"/>
    <w:multiLevelType w:val="hybridMultilevel"/>
    <w:tmpl w:val="DDA0FDEA"/>
    <w:lvl w:ilvl="0" w:tplc="03565C20">
      <w:start w:val="1"/>
      <w:numFmt w:val="decimal"/>
      <w:pStyle w:val="Table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09634AC"/>
    <w:multiLevelType w:val="hybridMultilevel"/>
    <w:tmpl w:val="A4CEF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1EA0CD6"/>
    <w:multiLevelType w:val="hybridMultilevel"/>
    <w:tmpl w:val="64441018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63464AFC"/>
    <w:multiLevelType w:val="hybridMultilevel"/>
    <w:tmpl w:val="5A6C46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44029A3"/>
    <w:multiLevelType w:val="multilevel"/>
    <w:tmpl w:val="EDAC9F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0" w15:restartNumberingAfterBreak="0">
    <w:nsid w:val="66075D94"/>
    <w:multiLevelType w:val="hybridMultilevel"/>
    <w:tmpl w:val="475277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6884CE7"/>
    <w:multiLevelType w:val="multilevel"/>
    <w:tmpl w:val="0850594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2" w15:restartNumberingAfterBreak="0">
    <w:nsid w:val="668A0B60"/>
    <w:multiLevelType w:val="hybridMultilevel"/>
    <w:tmpl w:val="12AA7456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8890F48"/>
    <w:multiLevelType w:val="hybridMultilevel"/>
    <w:tmpl w:val="BB7AC774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9787B48"/>
    <w:multiLevelType w:val="hybridMultilevel"/>
    <w:tmpl w:val="BD887F50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10C504E">
      <w:numFmt w:val="bullet"/>
      <w:lvlText w:val="-"/>
      <w:lvlJc w:val="left"/>
      <w:pPr>
        <w:ind w:left="1800" w:hanging="360"/>
      </w:pPr>
      <w:rPr>
        <w:rFonts w:ascii="Calibri" w:eastAsiaTheme="minorHAnsi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69FE08F0"/>
    <w:multiLevelType w:val="hybridMultilevel"/>
    <w:tmpl w:val="3A9A870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6AE5293E"/>
    <w:multiLevelType w:val="hybridMultilevel"/>
    <w:tmpl w:val="D4FE8B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B073FDE"/>
    <w:multiLevelType w:val="hybridMultilevel"/>
    <w:tmpl w:val="71706D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BFC6346"/>
    <w:multiLevelType w:val="hybridMultilevel"/>
    <w:tmpl w:val="6E20202C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6E0A408A"/>
    <w:multiLevelType w:val="hybridMultilevel"/>
    <w:tmpl w:val="57B65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F445FF8"/>
    <w:multiLevelType w:val="hybridMultilevel"/>
    <w:tmpl w:val="13F4DC0A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F6B264B"/>
    <w:multiLevelType w:val="hybridMultilevel"/>
    <w:tmpl w:val="439ABF50"/>
    <w:lvl w:ilvl="0" w:tplc="D234A1C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0930BE4"/>
    <w:multiLevelType w:val="hybridMultilevel"/>
    <w:tmpl w:val="2B1A0D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1244D69"/>
    <w:multiLevelType w:val="hybridMultilevel"/>
    <w:tmpl w:val="8A2EA7FA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3CB1609"/>
    <w:multiLevelType w:val="hybridMultilevel"/>
    <w:tmpl w:val="043E2A08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4327D4A"/>
    <w:multiLevelType w:val="hybridMultilevel"/>
    <w:tmpl w:val="7AAECCA4"/>
    <w:lvl w:ilvl="0" w:tplc="8FCE6878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45648D5"/>
    <w:multiLevelType w:val="hybridMultilevel"/>
    <w:tmpl w:val="2E1C68FC"/>
    <w:lvl w:ilvl="0" w:tplc="D592D76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59655FE"/>
    <w:multiLevelType w:val="hybridMultilevel"/>
    <w:tmpl w:val="896A2454"/>
    <w:lvl w:ilvl="0" w:tplc="CB6CA1A0">
      <w:start w:val="2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744493C"/>
    <w:multiLevelType w:val="multilevel"/>
    <w:tmpl w:val="7C0EC0E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9" w15:restartNumberingAfterBreak="0">
    <w:nsid w:val="77567C51"/>
    <w:multiLevelType w:val="hybridMultilevel"/>
    <w:tmpl w:val="EBEA2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C504E">
      <w:numFmt w:val="bullet"/>
      <w:lvlText w:val="-"/>
      <w:lvlJc w:val="left"/>
      <w:pPr>
        <w:ind w:left="1440" w:hanging="360"/>
      </w:pPr>
      <w:rPr>
        <w:rFonts w:ascii="Calibri" w:eastAsiaTheme="minorHAns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7C0445C"/>
    <w:multiLevelType w:val="hybridMultilevel"/>
    <w:tmpl w:val="A8182902"/>
    <w:lvl w:ilvl="0" w:tplc="CB6CA1A0">
      <w:start w:val="2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7C878A5"/>
    <w:multiLevelType w:val="hybridMultilevel"/>
    <w:tmpl w:val="4538DE76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D10C504E">
      <w:numFmt w:val="bullet"/>
      <w:lvlText w:val="-"/>
      <w:lvlJc w:val="left"/>
      <w:pPr>
        <w:ind w:left="1170" w:hanging="360"/>
      </w:pPr>
      <w:rPr>
        <w:rFonts w:ascii="Calibri" w:eastAsiaTheme="minorHAnsi" w:hAnsi="Calibri"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2" w15:restartNumberingAfterBreak="0">
    <w:nsid w:val="79EC25C9"/>
    <w:multiLevelType w:val="hybridMultilevel"/>
    <w:tmpl w:val="75E2C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AC41260"/>
    <w:multiLevelType w:val="hybridMultilevel"/>
    <w:tmpl w:val="407C3F18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4" w15:restartNumberingAfterBreak="0">
    <w:nsid w:val="7CE66048"/>
    <w:multiLevelType w:val="hybridMultilevel"/>
    <w:tmpl w:val="CA9C59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9"/>
  </w:num>
  <w:num w:numId="6">
    <w:abstractNumId w:val="65"/>
  </w:num>
  <w:num w:numId="7">
    <w:abstractNumId w:val="48"/>
  </w:num>
  <w:num w:numId="8">
    <w:abstractNumId w:val="23"/>
  </w:num>
  <w:num w:numId="9">
    <w:abstractNumId w:val="6"/>
  </w:num>
  <w:num w:numId="10">
    <w:abstractNumId w:val="93"/>
  </w:num>
  <w:num w:numId="11">
    <w:abstractNumId w:val="16"/>
  </w:num>
  <w:num w:numId="12">
    <w:abstractNumId w:val="50"/>
  </w:num>
  <w:num w:numId="13">
    <w:abstractNumId w:val="35"/>
  </w:num>
  <w:num w:numId="14">
    <w:abstractNumId w:val="82"/>
  </w:num>
  <w:num w:numId="15">
    <w:abstractNumId w:val="37"/>
  </w:num>
  <w:num w:numId="16">
    <w:abstractNumId w:val="56"/>
  </w:num>
  <w:num w:numId="17">
    <w:abstractNumId w:val="52"/>
  </w:num>
  <w:num w:numId="18">
    <w:abstractNumId w:val="42"/>
  </w:num>
  <w:num w:numId="19">
    <w:abstractNumId w:val="76"/>
  </w:num>
  <w:num w:numId="20">
    <w:abstractNumId w:val="63"/>
  </w:num>
  <w:num w:numId="21">
    <w:abstractNumId w:val="26"/>
  </w:num>
  <w:num w:numId="22">
    <w:abstractNumId w:val="54"/>
  </w:num>
  <w:num w:numId="23">
    <w:abstractNumId w:val="77"/>
  </w:num>
  <w:num w:numId="24">
    <w:abstractNumId w:val="62"/>
  </w:num>
  <w:num w:numId="25">
    <w:abstractNumId w:val="36"/>
  </w:num>
  <w:num w:numId="26">
    <w:abstractNumId w:val="70"/>
  </w:num>
  <w:num w:numId="27">
    <w:abstractNumId w:val="18"/>
  </w:num>
  <w:num w:numId="28">
    <w:abstractNumId w:val="71"/>
  </w:num>
  <w:num w:numId="29">
    <w:abstractNumId w:val="14"/>
  </w:num>
  <w:num w:numId="30">
    <w:abstractNumId w:val="68"/>
  </w:num>
  <w:num w:numId="31">
    <w:abstractNumId w:val="9"/>
  </w:num>
  <w:num w:numId="32">
    <w:abstractNumId w:val="32"/>
  </w:num>
  <w:num w:numId="33">
    <w:abstractNumId w:val="61"/>
  </w:num>
  <w:num w:numId="34">
    <w:abstractNumId w:val="69"/>
  </w:num>
  <w:num w:numId="35">
    <w:abstractNumId w:val="15"/>
  </w:num>
  <w:num w:numId="36">
    <w:abstractNumId w:val="72"/>
  </w:num>
  <w:num w:numId="37">
    <w:abstractNumId w:val="90"/>
  </w:num>
  <w:num w:numId="38">
    <w:abstractNumId w:val="5"/>
  </w:num>
  <w:num w:numId="39">
    <w:abstractNumId w:val="75"/>
  </w:num>
  <w:num w:numId="40">
    <w:abstractNumId w:val="87"/>
  </w:num>
  <w:num w:numId="41">
    <w:abstractNumId w:val="4"/>
  </w:num>
  <w:num w:numId="42">
    <w:abstractNumId w:val="41"/>
  </w:num>
  <w:num w:numId="43">
    <w:abstractNumId w:val="88"/>
  </w:num>
  <w:num w:numId="44">
    <w:abstractNumId w:val="47"/>
  </w:num>
  <w:num w:numId="45">
    <w:abstractNumId w:val="58"/>
  </w:num>
  <w:num w:numId="46">
    <w:abstractNumId w:val="53"/>
  </w:num>
  <w:num w:numId="47">
    <w:abstractNumId w:val="29"/>
  </w:num>
  <w:num w:numId="48">
    <w:abstractNumId w:val="91"/>
  </w:num>
  <w:num w:numId="49">
    <w:abstractNumId w:val="8"/>
  </w:num>
  <w:num w:numId="50">
    <w:abstractNumId w:val="21"/>
  </w:num>
  <w:num w:numId="51">
    <w:abstractNumId w:val="38"/>
  </w:num>
  <w:num w:numId="52">
    <w:abstractNumId w:val="20"/>
  </w:num>
  <w:num w:numId="53">
    <w:abstractNumId w:val="17"/>
  </w:num>
  <w:num w:numId="54">
    <w:abstractNumId w:val="43"/>
  </w:num>
  <w:num w:numId="55">
    <w:abstractNumId w:val="13"/>
  </w:num>
  <w:num w:numId="56">
    <w:abstractNumId w:val="64"/>
  </w:num>
  <w:num w:numId="57">
    <w:abstractNumId w:val="11"/>
  </w:num>
  <w:num w:numId="58">
    <w:abstractNumId w:val="33"/>
  </w:num>
  <w:num w:numId="59">
    <w:abstractNumId w:val="67"/>
  </w:num>
  <w:num w:numId="60">
    <w:abstractNumId w:val="22"/>
  </w:num>
  <w:num w:numId="61">
    <w:abstractNumId w:val="27"/>
  </w:num>
  <w:num w:numId="62">
    <w:abstractNumId w:val="45"/>
  </w:num>
  <w:num w:numId="63">
    <w:abstractNumId w:val="7"/>
  </w:num>
  <w:num w:numId="64">
    <w:abstractNumId w:val="83"/>
  </w:num>
  <w:num w:numId="65">
    <w:abstractNumId w:val="34"/>
  </w:num>
  <w:num w:numId="66">
    <w:abstractNumId w:val="84"/>
  </w:num>
  <w:num w:numId="67">
    <w:abstractNumId w:val="44"/>
  </w:num>
  <w:num w:numId="68">
    <w:abstractNumId w:val="74"/>
  </w:num>
  <w:num w:numId="69">
    <w:abstractNumId w:val="78"/>
  </w:num>
  <w:num w:numId="70">
    <w:abstractNumId w:val="80"/>
  </w:num>
  <w:num w:numId="71">
    <w:abstractNumId w:val="55"/>
  </w:num>
  <w:num w:numId="72">
    <w:abstractNumId w:val="30"/>
  </w:num>
  <w:num w:numId="73">
    <w:abstractNumId w:val="57"/>
  </w:num>
  <w:num w:numId="74">
    <w:abstractNumId w:val="39"/>
  </w:num>
  <w:num w:numId="75">
    <w:abstractNumId w:val="10"/>
  </w:num>
  <w:num w:numId="76">
    <w:abstractNumId w:val="12"/>
  </w:num>
  <w:num w:numId="77">
    <w:abstractNumId w:val="89"/>
  </w:num>
  <w:num w:numId="78">
    <w:abstractNumId w:val="31"/>
  </w:num>
  <w:num w:numId="79">
    <w:abstractNumId w:val="24"/>
  </w:num>
  <w:num w:numId="80">
    <w:abstractNumId w:val="86"/>
  </w:num>
  <w:num w:numId="81">
    <w:abstractNumId w:val="25"/>
  </w:num>
  <w:num w:numId="82">
    <w:abstractNumId w:val="51"/>
  </w:num>
  <w:num w:numId="83">
    <w:abstractNumId w:val="19"/>
  </w:num>
  <w:num w:numId="84">
    <w:abstractNumId w:val="73"/>
  </w:num>
  <w:num w:numId="85">
    <w:abstractNumId w:val="40"/>
  </w:num>
  <w:num w:numId="86">
    <w:abstractNumId w:val="94"/>
  </w:num>
  <w:num w:numId="87">
    <w:abstractNumId w:val="28"/>
  </w:num>
  <w:num w:numId="88">
    <w:abstractNumId w:val="85"/>
  </w:num>
  <w:num w:numId="89">
    <w:abstractNumId w:val="81"/>
  </w:num>
  <w:num w:numId="90">
    <w:abstractNumId w:val="46"/>
  </w:num>
  <w:num w:numId="91">
    <w:abstractNumId w:val="59"/>
  </w:num>
  <w:num w:numId="92">
    <w:abstractNumId w:val="60"/>
  </w:num>
  <w:num w:numId="93">
    <w:abstractNumId w:val="92"/>
  </w:num>
  <w:num w:numId="94">
    <w:abstractNumId w:val="79"/>
  </w:num>
  <w:num w:numId="95">
    <w:abstractNumId w:val="6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SortMethod w:val="0000"/>
  <w:defaultTabStop w:val="720"/>
  <w:hyphenationZone w:val="425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3FE"/>
    <w:rsid w:val="00000334"/>
    <w:rsid w:val="000005FE"/>
    <w:rsid w:val="00005680"/>
    <w:rsid w:val="000058A1"/>
    <w:rsid w:val="000063C9"/>
    <w:rsid w:val="00006B9F"/>
    <w:rsid w:val="00011550"/>
    <w:rsid w:val="00011DD4"/>
    <w:rsid w:val="00012E5A"/>
    <w:rsid w:val="000131A3"/>
    <w:rsid w:val="000135F9"/>
    <w:rsid w:val="00014B89"/>
    <w:rsid w:val="00017256"/>
    <w:rsid w:val="000172FC"/>
    <w:rsid w:val="000173B3"/>
    <w:rsid w:val="00020D44"/>
    <w:rsid w:val="00021A39"/>
    <w:rsid w:val="00022715"/>
    <w:rsid w:val="000229EF"/>
    <w:rsid w:val="00022E1D"/>
    <w:rsid w:val="000251F1"/>
    <w:rsid w:val="00025E7D"/>
    <w:rsid w:val="00031F08"/>
    <w:rsid w:val="00032B71"/>
    <w:rsid w:val="00033FC8"/>
    <w:rsid w:val="00035845"/>
    <w:rsid w:val="00035DBA"/>
    <w:rsid w:val="00037C17"/>
    <w:rsid w:val="00040464"/>
    <w:rsid w:val="00041DB4"/>
    <w:rsid w:val="000429AC"/>
    <w:rsid w:val="00042B6A"/>
    <w:rsid w:val="00042B99"/>
    <w:rsid w:val="00043BD3"/>
    <w:rsid w:val="00043CF2"/>
    <w:rsid w:val="00045ECD"/>
    <w:rsid w:val="00045FE8"/>
    <w:rsid w:val="000516C4"/>
    <w:rsid w:val="000517C0"/>
    <w:rsid w:val="00052768"/>
    <w:rsid w:val="00052EA7"/>
    <w:rsid w:val="00053D7B"/>
    <w:rsid w:val="0005400F"/>
    <w:rsid w:val="00055C2E"/>
    <w:rsid w:val="00055EAC"/>
    <w:rsid w:val="000576C3"/>
    <w:rsid w:val="00057C98"/>
    <w:rsid w:val="000604BF"/>
    <w:rsid w:val="00061C6E"/>
    <w:rsid w:val="000637A6"/>
    <w:rsid w:val="00065D26"/>
    <w:rsid w:val="00066BBA"/>
    <w:rsid w:val="000709B9"/>
    <w:rsid w:val="00071509"/>
    <w:rsid w:val="000726EA"/>
    <w:rsid w:val="00072858"/>
    <w:rsid w:val="00072B76"/>
    <w:rsid w:val="000730F3"/>
    <w:rsid w:val="0007715B"/>
    <w:rsid w:val="000808A3"/>
    <w:rsid w:val="000810F6"/>
    <w:rsid w:val="00081C31"/>
    <w:rsid w:val="00083DD5"/>
    <w:rsid w:val="00084DFA"/>
    <w:rsid w:val="00090C7A"/>
    <w:rsid w:val="0009224F"/>
    <w:rsid w:val="00092341"/>
    <w:rsid w:val="00092877"/>
    <w:rsid w:val="00093F81"/>
    <w:rsid w:val="0009411F"/>
    <w:rsid w:val="0009444A"/>
    <w:rsid w:val="00094645"/>
    <w:rsid w:val="00094F54"/>
    <w:rsid w:val="00095A8D"/>
    <w:rsid w:val="000961D8"/>
    <w:rsid w:val="00096C42"/>
    <w:rsid w:val="000A05DB"/>
    <w:rsid w:val="000A39BD"/>
    <w:rsid w:val="000A3D42"/>
    <w:rsid w:val="000A42BB"/>
    <w:rsid w:val="000A44F3"/>
    <w:rsid w:val="000A5514"/>
    <w:rsid w:val="000A61CB"/>
    <w:rsid w:val="000A66A9"/>
    <w:rsid w:val="000A783D"/>
    <w:rsid w:val="000A7F05"/>
    <w:rsid w:val="000B1D31"/>
    <w:rsid w:val="000B2077"/>
    <w:rsid w:val="000B2E3C"/>
    <w:rsid w:val="000B438F"/>
    <w:rsid w:val="000B4403"/>
    <w:rsid w:val="000B493A"/>
    <w:rsid w:val="000B5F92"/>
    <w:rsid w:val="000B60AC"/>
    <w:rsid w:val="000B6C05"/>
    <w:rsid w:val="000B6D74"/>
    <w:rsid w:val="000C1BB4"/>
    <w:rsid w:val="000C20BD"/>
    <w:rsid w:val="000C2750"/>
    <w:rsid w:val="000C2B24"/>
    <w:rsid w:val="000C3230"/>
    <w:rsid w:val="000C3C7F"/>
    <w:rsid w:val="000C4E5A"/>
    <w:rsid w:val="000C5EA5"/>
    <w:rsid w:val="000D1B02"/>
    <w:rsid w:val="000D2DE0"/>
    <w:rsid w:val="000D5A99"/>
    <w:rsid w:val="000D67AE"/>
    <w:rsid w:val="000E2C94"/>
    <w:rsid w:val="000E4AA4"/>
    <w:rsid w:val="000E6138"/>
    <w:rsid w:val="000F31B2"/>
    <w:rsid w:val="000F3629"/>
    <w:rsid w:val="000F37D4"/>
    <w:rsid w:val="000F3BFF"/>
    <w:rsid w:val="000F3C7C"/>
    <w:rsid w:val="000F4404"/>
    <w:rsid w:val="000F5A5C"/>
    <w:rsid w:val="000F5C22"/>
    <w:rsid w:val="000F71BD"/>
    <w:rsid w:val="000F785A"/>
    <w:rsid w:val="001008F5"/>
    <w:rsid w:val="00100F61"/>
    <w:rsid w:val="0010113D"/>
    <w:rsid w:val="001016CC"/>
    <w:rsid w:val="001018AB"/>
    <w:rsid w:val="00102A6C"/>
    <w:rsid w:val="0010462B"/>
    <w:rsid w:val="00106067"/>
    <w:rsid w:val="00110C92"/>
    <w:rsid w:val="00110F65"/>
    <w:rsid w:val="001142BC"/>
    <w:rsid w:val="0011439F"/>
    <w:rsid w:val="00115A15"/>
    <w:rsid w:val="00117A06"/>
    <w:rsid w:val="00117DC5"/>
    <w:rsid w:val="00120523"/>
    <w:rsid w:val="00120650"/>
    <w:rsid w:val="001208AE"/>
    <w:rsid w:val="00120B4B"/>
    <w:rsid w:val="00123AD3"/>
    <w:rsid w:val="0012599A"/>
    <w:rsid w:val="001265CF"/>
    <w:rsid w:val="00127AE6"/>
    <w:rsid w:val="00130191"/>
    <w:rsid w:val="00132576"/>
    <w:rsid w:val="0013283B"/>
    <w:rsid w:val="00132A29"/>
    <w:rsid w:val="00134E92"/>
    <w:rsid w:val="001351C0"/>
    <w:rsid w:val="00136294"/>
    <w:rsid w:val="001362AF"/>
    <w:rsid w:val="00137513"/>
    <w:rsid w:val="001411CB"/>
    <w:rsid w:val="00143A60"/>
    <w:rsid w:val="00144AD8"/>
    <w:rsid w:val="001457BC"/>
    <w:rsid w:val="00147347"/>
    <w:rsid w:val="00147CE0"/>
    <w:rsid w:val="00153E97"/>
    <w:rsid w:val="00156FD1"/>
    <w:rsid w:val="00157BD7"/>
    <w:rsid w:val="00157E6E"/>
    <w:rsid w:val="001616A1"/>
    <w:rsid w:val="00162B0D"/>
    <w:rsid w:val="00163881"/>
    <w:rsid w:val="00165112"/>
    <w:rsid w:val="001657EF"/>
    <w:rsid w:val="001659E4"/>
    <w:rsid w:val="0016619E"/>
    <w:rsid w:val="00166337"/>
    <w:rsid w:val="00167200"/>
    <w:rsid w:val="001708B9"/>
    <w:rsid w:val="00171273"/>
    <w:rsid w:val="0017280D"/>
    <w:rsid w:val="0017318A"/>
    <w:rsid w:val="00174FEF"/>
    <w:rsid w:val="001757CE"/>
    <w:rsid w:val="0017585F"/>
    <w:rsid w:val="001808D2"/>
    <w:rsid w:val="00180BDA"/>
    <w:rsid w:val="00180E1E"/>
    <w:rsid w:val="0018108F"/>
    <w:rsid w:val="00183E0D"/>
    <w:rsid w:val="0018451F"/>
    <w:rsid w:val="001845D0"/>
    <w:rsid w:val="00186929"/>
    <w:rsid w:val="00186FC8"/>
    <w:rsid w:val="0019043F"/>
    <w:rsid w:val="0019144B"/>
    <w:rsid w:val="001925C1"/>
    <w:rsid w:val="00193B84"/>
    <w:rsid w:val="00193D43"/>
    <w:rsid w:val="001945F9"/>
    <w:rsid w:val="00195734"/>
    <w:rsid w:val="00195CAE"/>
    <w:rsid w:val="00195F15"/>
    <w:rsid w:val="00195F7B"/>
    <w:rsid w:val="00197155"/>
    <w:rsid w:val="001975EF"/>
    <w:rsid w:val="0019765A"/>
    <w:rsid w:val="001A0292"/>
    <w:rsid w:val="001A0962"/>
    <w:rsid w:val="001A45CF"/>
    <w:rsid w:val="001A4DEE"/>
    <w:rsid w:val="001A582C"/>
    <w:rsid w:val="001A65CF"/>
    <w:rsid w:val="001B0F94"/>
    <w:rsid w:val="001B21F8"/>
    <w:rsid w:val="001B4781"/>
    <w:rsid w:val="001B49AF"/>
    <w:rsid w:val="001B52AB"/>
    <w:rsid w:val="001B535E"/>
    <w:rsid w:val="001B5C19"/>
    <w:rsid w:val="001B73AD"/>
    <w:rsid w:val="001B7E58"/>
    <w:rsid w:val="001C0133"/>
    <w:rsid w:val="001C3BE7"/>
    <w:rsid w:val="001C487B"/>
    <w:rsid w:val="001C7535"/>
    <w:rsid w:val="001D03A7"/>
    <w:rsid w:val="001D2671"/>
    <w:rsid w:val="001D4B22"/>
    <w:rsid w:val="001D50C3"/>
    <w:rsid w:val="001D6822"/>
    <w:rsid w:val="001D6F81"/>
    <w:rsid w:val="001D7490"/>
    <w:rsid w:val="001E016B"/>
    <w:rsid w:val="001E125E"/>
    <w:rsid w:val="001E293A"/>
    <w:rsid w:val="001E4462"/>
    <w:rsid w:val="001E450C"/>
    <w:rsid w:val="001E5097"/>
    <w:rsid w:val="001E65B9"/>
    <w:rsid w:val="001E6E19"/>
    <w:rsid w:val="001E7D3E"/>
    <w:rsid w:val="001F0AC6"/>
    <w:rsid w:val="001F1079"/>
    <w:rsid w:val="001F38BE"/>
    <w:rsid w:val="001F4B59"/>
    <w:rsid w:val="001F61B8"/>
    <w:rsid w:val="001F6839"/>
    <w:rsid w:val="002019FC"/>
    <w:rsid w:val="00202F6F"/>
    <w:rsid w:val="00204CBA"/>
    <w:rsid w:val="00212852"/>
    <w:rsid w:val="00212CDB"/>
    <w:rsid w:val="00213931"/>
    <w:rsid w:val="00214566"/>
    <w:rsid w:val="00215563"/>
    <w:rsid w:val="002164ED"/>
    <w:rsid w:val="002167D2"/>
    <w:rsid w:val="00216CF6"/>
    <w:rsid w:val="00217747"/>
    <w:rsid w:val="00220492"/>
    <w:rsid w:val="00220CCF"/>
    <w:rsid w:val="00220CE4"/>
    <w:rsid w:val="00220CEC"/>
    <w:rsid w:val="0022232D"/>
    <w:rsid w:val="0022322B"/>
    <w:rsid w:val="002239BD"/>
    <w:rsid w:val="00227F1F"/>
    <w:rsid w:val="00230B49"/>
    <w:rsid w:val="00230B7E"/>
    <w:rsid w:val="00231B44"/>
    <w:rsid w:val="0023344F"/>
    <w:rsid w:val="002340B6"/>
    <w:rsid w:val="00234BA2"/>
    <w:rsid w:val="00235284"/>
    <w:rsid w:val="00235582"/>
    <w:rsid w:val="0023699A"/>
    <w:rsid w:val="002370AB"/>
    <w:rsid w:val="00237872"/>
    <w:rsid w:val="00242795"/>
    <w:rsid w:val="00244010"/>
    <w:rsid w:val="00244915"/>
    <w:rsid w:val="002512EF"/>
    <w:rsid w:val="00252514"/>
    <w:rsid w:val="00253D2A"/>
    <w:rsid w:val="00254E12"/>
    <w:rsid w:val="00255D53"/>
    <w:rsid w:val="00260CDE"/>
    <w:rsid w:val="00261E3B"/>
    <w:rsid w:val="00261E5F"/>
    <w:rsid w:val="002624DF"/>
    <w:rsid w:val="00262F61"/>
    <w:rsid w:val="00263DAE"/>
    <w:rsid w:val="002651BD"/>
    <w:rsid w:val="00267D70"/>
    <w:rsid w:val="002713F0"/>
    <w:rsid w:val="00271695"/>
    <w:rsid w:val="00272A78"/>
    <w:rsid w:val="00274949"/>
    <w:rsid w:val="00274C23"/>
    <w:rsid w:val="00275C4A"/>
    <w:rsid w:val="00284D72"/>
    <w:rsid w:val="002866FF"/>
    <w:rsid w:val="00292D75"/>
    <w:rsid w:val="002930B2"/>
    <w:rsid w:val="002937CD"/>
    <w:rsid w:val="00294819"/>
    <w:rsid w:val="00294BBA"/>
    <w:rsid w:val="00295586"/>
    <w:rsid w:val="00295ECD"/>
    <w:rsid w:val="002962BF"/>
    <w:rsid w:val="00297214"/>
    <w:rsid w:val="002A0E97"/>
    <w:rsid w:val="002A13EF"/>
    <w:rsid w:val="002A2AE2"/>
    <w:rsid w:val="002A4002"/>
    <w:rsid w:val="002B13EC"/>
    <w:rsid w:val="002B1B99"/>
    <w:rsid w:val="002B2376"/>
    <w:rsid w:val="002B25BF"/>
    <w:rsid w:val="002B37E9"/>
    <w:rsid w:val="002B4054"/>
    <w:rsid w:val="002B4D02"/>
    <w:rsid w:val="002B6284"/>
    <w:rsid w:val="002B63DA"/>
    <w:rsid w:val="002B6D2E"/>
    <w:rsid w:val="002B6E06"/>
    <w:rsid w:val="002C18DA"/>
    <w:rsid w:val="002C3BCC"/>
    <w:rsid w:val="002C4B75"/>
    <w:rsid w:val="002C5FEA"/>
    <w:rsid w:val="002C690A"/>
    <w:rsid w:val="002C6E97"/>
    <w:rsid w:val="002C6F50"/>
    <w:rsid w:val="002C72AA"/>
    <w:rsid w:val="002C7C62"/>
    <w:rsid w:val="002D085E"/>
    <w:rsid w:val="002D41F7"/>
    <w:rsid w:val="002D7BFB"/>
    <w:rsid w:val="002E022C"/>
    <w:rsid w:val="002E1C00"/>
    <w:rsid w:val="002E216F"/>
    <w:rsid w:val="002E25A0"/>
    <w:rsid w:val="002E3538"/>
    <w:rsid w:val="002E3BAE"/>
    <w:rsid w:val="002E55B0"/>
    <w:rsid w:val="002E7099"/>
    <w:rsid w:val="002E79C6"/>
    <w:rsid w:val="002F0388"/>
    <w:rsid w:val="002F2771"/>
    <w:rsid w:val="002F4450"/>
    <w:rsid w:val="002F5462"/>
    <w:rsid w:val="002F56C8"/>
    <w:rsid w:val="002F75BC"/>
    <w:rsid w:val="002F7BAE"/>
    <w:rsid w:val="0030357B"/>
    <w:rsid w:val="00304105"/>
    <w:rsid w:val="00305EA5"/>
    <w:rsid w:val="00305EEE"/>
    <w:rsid w:val="00310AB4"/>
    <w:rsid w:val="00312097"/>
    <w:rsid w:val="003121C1"/>
    <w:rsid w:val="0032044D"/>
    <w:rsid w:val="0032066E"/>
    <w:rsid w:val="00320D28"/>
    <w:rsid w:val="003213F3"/>
    <w:rsid w:val="00321AE1"/>
    <w:rsid w:val="00322F91"/>
    <w:rsid w:val="0032373B"/>
    <w:rsid w:val="00324D59"/>
    <w:rsid w:val="00325FD9"/>
    <w:rsid w:val="003273E7"/>
    <w:rsid w:val="00331D1F"/>
    <w:rsid w:val="00333D70"/>
    <w:rsid w:val="00336C0D"/>
    <w:rsid w:val="00337680"/>
    <w:rsid w:val="00337AB0"/>
    <w:rsid w:val="00343F35"/>
    <w:rsid w:val="003503DF"/>
    <w:rsid w:val="00350A24"/>
    <w:rsid w:val="00351C61"/>
    <w:rsid w:val="003522BF"/>
    <w:rsid w:val="003536B5"/>
    <w:rsid w:val="0035442D"/>
    <w:rsid w:val="00356E52"/>
    <w:rsid w:val="00357A3C"/>
    <w:rsid w:val="00357E4F"/>
    <w:rsid w:val="003612CF"/>
    <w:rsid w:val="00361D85"/>
    <w:rsid w:val="00362CEB"/>
    <w:rsid w:val="00363ABD"/>
    <w:rsid w:val="00363C7B"/>
    <w:rsid w:val="00363FAB"/>
    <w:rsid w:val="00365C40"/>
    <w:rsid w:val="00366C89"/>
    <w:rsid w:val="003672A5"/>
    <w:rsid w:val="0036797A"/>
    <w:rsid w:val="0037019A"/>
    <w:rsid w:val="00372D47"/>
    <w:rsid w:val="00375393"/>
    <w:rsid w:val="00375D3D"/>
    <w:rsid w:val="00375EB8"/>
    <w:rsid w:val="00376134"/>
    <w:rsid w:val="00376317"/>
    <w:rsid w:val="0037660E"/>
    <w:rsid w:val="00377AE4"/>
    <w:rsid w:val="00377B4C"/>
    <w:rsid w:val="00377D44"/>
    <w:rsid w:val="003810B3"/>
    <w:rsid w:val="0038122E"/>
    <w:rsid w:val="00382B24"/>
    <w:rsid w:val="00384353"/>
    <w:rsid w:val="003853E2"/>
    <w:rsid w:val="003863C7"/>
    <w:rsid w:val="0039181B"/>
    <w:rsid w:val="003918B4"/>
    <w:rsid w:val="003923FD"/>
    <w:rsid w:val="0039267B"/>
    <w:rsid w:val="003973F8"/>
    <w:rsid w:val="003A064B"/>
    <w:rsid w:val="003A0AF6"/>
    <w:rsid w:val="003A1C6F"/>
    <w:rsid w:val="003A360C"/>
    <w:rsid w:val="003A3A4D"/>
    <w:rsid w:val="003A494E"/>
    <w:rsid w:val="003A7C27"/>
    <w:rsid w:val="003B3379"/>
    <w:rsid w:val="003B3987"/>
    <w:rsid w:val="003B3C47"/>
    <w:rsid w:val="003B3F96"/>
    <w:rsid w:val="003B6522"/>
    <w:rsid w:val="003B679F"/>
    <w:rsid w:val="003B7B77"/>
    <w:rsid w:val="003C12AF"/>
    <w:rsid w:val="003C34B8"/>
    <w:rsid w:val="003C4BE4"/>
    <w:rsid w:val="003C4DE4"/>
    <w:rsid w:val="003C4E87"/>
    <w:rsid w:val="003C65FF"/>
    <w:rsid w:val="003C77AB"/>
    <w:rsid w:val="003D0493"/>
    <w:rsid w:val="003D16ED"/>
    <w:rsid w:val="003D1A80"/>
    <w:rsid w:val="003D54BF"/>
    <w:rsid w:val="003D5AD9"/>
    <w:rsid w:val="003D6D6B"/>
    <w:rsid w:val="003D6E98"/>
    <w:rsid w:val="003D7F8B"/>
    <w:rsid w:val="003E108C"/>
    <w:rsid w:val="003E138D"/>
    <w:rsid w:val="003E1820"/>
    <w:rsid w:val="003E1CD0"/>
    <w:rsid w:val="003E2349"/>
    <w:rsid w:val="003E3540"/>
    <w:rsid w:val="003E49BA"/>
    <w:rsid w:val="003E761D"/>
    <w:rsid w:val="003F0749"/>
    <w:rsid w:val="003F2224"/>
    <w:rsid w:val="003F2F79"/>
    <w:rsid w:val="003F4EDC"/>
    <w:rsid w:val="003F5A01"/>
    <w:rsid w:val="003F7332"/>
    <w:rsid w:val="00402CBB"/>
    <w:rsid w:val="00402D56"/>
    <w:rsid w:val="00404077"/>
    <w:rsid w:val="004041A9"/>
    <w:rsid w:val="00404297"/>
    <w:rsid w:val="004052BC"/>
    <w:rsid w:val="0040530D"/>
    <w:rsid w:val="004056F8"/>
    <w:rsid w:val="004066C3"/>
    <w:rsid w:val="00411284"/>
    <w:rsid w:val="00412EA0"/>
    <w:rsid w:val="004160D6"/>
    <w:rsid w:val="00420811"/>
    <w:rsid w:val="00420E07"/>
    <w:rsid w:val="00425F9A"/>
    <w:rsid w:val="004260CE"/>
    <w:rsid w:val="004265FD"/>
    <w:rsid w:val="0043006A"/>
    <w:rsid w:val="004312D5"/>
    <w:rsid w:val="004314E1"/>
    <w:rsid w:val="00431E74"/>
    <w:rsid w:val="00431E89"/>
    <w:rsid w:val="00432002"/>
    <w:rsid w:val="00434B3C"/>
    <w:rsid w:val="00436B1D"/>
    <w:rsid w:val="00436E4A"/>
    <w:rsid w:val="00440582"/>
    <w:rsid w:val="0044117C"/>
    <w:rsid w:val="004427DE"/>
    <w:rsid w:val="00442BFF"/>
    <w:rsid w:val="00444397"/>
    <w:rsid w:val="0044558B"/>
    <w:rsid w:val="00447916"/>
    <w:rsid w:val="004509E3"/>
    <w:rsid w:val="00451AD9"/>
    <w:rsid w:val="00451C51"/>
    <w:rsid w:val="00452ABB"/>
    <w:rsid w:val="00452BD2"/>
    <w:rsid w:val="004533F9"/>
    <w:rsid w:val="0045650C"/>
    <w:rsid w:val="0045730E"/>
    <w:rsid w:val="004627B0"/>
    <w:rsid w:val="00465882"/>
    <w:rsid w:val="004677F8"/>
    <w:rsid w:val="00470C21"/>
    <w:rsid w:val="00472F0F"/>
    <w:rsid w:val="00473614"/>
    <w:rsid w:val="00473B91"/>
    <w:rsid w:val="00484356"/>
    <w:rsid w:val="0048498B"/>
    <w:rsid w:val="0048525B"/>
    <w:rsid w:val="004860A3"/>
    <w:rsid w:val="0048624A"/>
    <w:rsid w:val="00486736"/>
    <w:rsid w:val="00487EB8"/>
    <w:rsid w:val="00491526"/>
    <w:rsid w:val="00492028"/>
    <w:rsid w:val="00494A36"/>
    <w:rsid w:val="00495619"/>
    <w:rsid w:val="004977BE"/>
    <w:rsid w:val="00497CFA"/>
    <w:rsid w:val="004A0742"/>
    <w:rsid w:val="004A0DCC"/>
    <w:rsid w:val="004A4506"/>
    <w:rsid w:val="004A5145"/>
    <w:rsid w:val="004A5EA8"/>
    <w:rsid w:val="004A6133"/>
    <w:rsid w:val="004A6C1B"/>
    <w:rsid w:val="004B0B22"/>
    <w:rsid w:val="004B55AE"/>
    <w:rsid w:val="004B6258"/>
    <w:rsid w:val="004C0E4D"/>
    <w:rsid w:val="004C1017"/>
    <w:rsid w:val="004C183C"/>
    <w:rsid w:val="004C2616"/>
    <w:rsid w:val="004C623A"/>
    <w:rsid w:val="004D0D6D"/>
    <w:rsid w:val="004D159E"/>
    <w:rsid w:val="004D1F57"/>
    <w:rsid w:val="004D2EA9"/>
    <w:rsid w:val="004D3B8A"/>
    <w:rsid w:val="004D49FC"/>
    <w:rsid w:val="004D661F"/>
    <w:rsid w:val="004E0A2C"/>
    <w:rsid w:val="004E0D08"/>
    <w:rsid w:val="004E3A07"/>
    <w:rsid w:val="004E6992"/>
    <w:rsid w:val="004E71C0"/>
    <w:rsid w:val="004E7BDE"/>
    <w:rsid w:val="004E7FA3"/>
    <w:rsid w:val="004F290D"/>
    <w:rsid w:val="004F2CEE"/>
    <w:rsid w:val="004F3CBB"/>
    <w:rsid w:val="004F47B4"/>
    <w:rsid w:val="004F4A4B"/>
    <w:rsid w:val="004F5380"/>
    <w:rsid w:val="004F7EAB"/>
    <w:rsid w:val="005004C0"/>
    <w:rsid w:val="005015F0"/>
    <w:rsid w:val="00501EFF"/>
    <w:rsid w:val="00502154"/>
    <w:rsid w:val="0050296C"/>
    <w:rsid w:val="00503157"/>
    <w:rsid w:val="00504856"/>
    <w:rsid w:val="00507A71"/>
    <w:rsid w:val="00507E6C"/>
    <w:rsid w:val="00511CC5"/>
    <w:rsid w:val="00512D5A"/>
    <w:rsid w:val="00512F8F"/>
    <w:rsid w:val="005145CC"/>
    <w:rsid w:val="00520A0C"/>
    <w:rsid w:val="00520B86"/>
    <w:rsid w:val="00522423"/>
    <w:rsid w:val="00523F6F"/>
    <w:rsid w:val="00526863"/>
    <w:rsid w:val="00526D31"/>
    <w:rsid w:val="005270F9"/>
    <w:rsid w:val="00527BCC"/>
    <w:rsid w:val="00527D72"/>
    <w:rsid w:val="00530886"/>
    <w:rsid w:val="005308BE"/>
    <w:rsid w:val="00530F84"/>
    <w:rsid w:val="00531801"/>
    <w:rsid w:val="00532F51"/>
    <w:rsid w:val="00542505"/>
    <w:rsid w:val="00543BA8"/>
    <w:rsid w:val="005454BC"/>
    <w:rsid w:val="00545593"/>
    <w:rsid w:val="005473F3"/>
    <w:rsid w:val="0054741F"/>
    <w:rsid w:val="005513EB"/>
    <w:rsid w:val="00560C96"/>
    <w:rsid w:val="00560D57"/>
    <w:rsid w:val="00561C52"/>
    <w:rsid w:val="00563C6F"/>
    <w:rsid w:val="00564F21"/>
    <w:rsid w:val="00566556"/>
    <w:rsid w:val="00566C4C"/>
    <w:rsid w:val="005676F0"/>
    <w:rsid w:val="00570C44"/>
    <w:rsid w:val="00573556"/>
    <w:rsid w:val="00573D2F"/>
    <w:rsid w:val="0057510A"/>
    <w:rsid w:val="0057637C"/>
    <w:rsid w:val="005775F7"/>
    <w:rsid w:val="005810D9"/>
    <w:rsid w:val="005843DE"/>
    <w:rsid w:val="005847CD"/>
    <w:rsid w:val="00585853"/>
    <w:rsid w:val="00586F3E"/>
    <w:rsid w:val="005902D8"/>
    <w:rsid w:val="0059053C"/>
    <w:rsid w:val="00590694"/>
    <w:rsid w:val="00592E11"/>
    <w:rsid w:val="00592E6C"/>
    <w:rsid w:val="00593BF7"/>
    <w:rsid w:val="00593CD9"/>
    <w:rsid w:val="00595170"/>
    <w:rsid w:val="005951FB"/>
    <w:rsid w:val="005967D7"/>
    <w:rsid w:val="0059682F"/>
    <w:rsid w:val="005969FB"/>
    <w:rsid w:val="00596AE3"/>
    <w:rsid w:val="00596E75"/>
    <w:rsid w:val="005975D8"/>
    <w:rsid w:val="00597AE6"/>
    <w:rsid w:val="005A29A3"/>
    <w:rsid w:val="005A35AB"/>
    <w:rsid w:val="005A45C7"/>
    <w:rsid w:val="005A4733"/>
    <w:rsid w:val="005A4C04"/>
    <w:rsid w:val="005A4DB1"/>
    <w:rsid w:val="005A4FDE"/>
    <w:rsid w:val="005A6464"/>
    <w:rsid w:val="005A6E7A"/>
    <w:rsid w:val="005A75D4"/>
    <w:rsid w:val="005B0592"/>
    <w:rsid w:val="005B0EA1"/>
    <w:rsid w:val="005B2C79"/>
    <w:rsid w:val="005B39FA"/>
    <w:rsid w:val="005B5956"/>
    <w:rsid w:val="005B6911"/>
    <w:rsid w:val="005B6B53"/>
    <w:rsid w:val="005C205F"/>
    <w:rsid w:val="005C2D89"/>
    <w:rsid w:val="005C4CE4"/>
    <w:rsid w:val="005C6341"/>
    <w:rsid w:val="005D05CF"/>
    <w:rsid w:val="005D3CF7"/>
    <w:rsid w:val="005D4417"/>
    <w:rsid w:val="005D4F99"/>
    <w:rsid w:val="005D52FD"/>
    <w:rsid w:val="005D5512"/>
    <w:rsid w:val="005D5CF6"/>
    <w:rsid w:val="005D77DA"/>
    <w:rsid w:val="005E03AF"/>
    <w:rsid w:val="005E3501"/>
    <w:rsid w:val="005E64D5"/>
    <w:rsid w:val="005E65DB"/>
    <w:rsid w:val="005F1968"/>
    <w:rsid w:val="005F1CDE"/>
    <w:rsid w:val="005F2159"/>
    <w:rsid w:val="005F2C8D"/>
    <w:rsid w:val="005F3082"/>
    <w:rsid w:val="005F3D7B"/>
    <w:rsid w:val="005F525A"/>
    <w:rsid w:val="005F54F5"/>
    <w:rsid w:val="005F5563"/>
    <w:rsid w:val="005F5A7D"/>
    <w:rsid w:val="005F5F5B"/>
    <w:rsid w:val="005F68FD"/>
    <w:rsid w:val="005F74C0"/>
    <w:rsid w:val="00601161"/>
    <w:rsid w:val="006023A0"/>
    <w:rsid w:val="00602782"/>
    <w:rsid w:val="00604D90"/>
    <w:rsid w:val="00605199"/>
    <w:rsid w:val="00605C16"/>
    <w:rsid w:val="0061057F"/>
    <w:rsid w:val="00610D63"/>
    <w:rsid w:val="00611821"/>
    <w:rsid w:val="00612222"/>
    <w:rsid w:val="006144AD"/>
    <w:rsid w:val="00621D34"/>
    <w:rsid w:val="00624AB9"/>
    <w:rsid w:val="00624C5E"/>
    <w:rsid w:val="00626FD8"/>
    <w:rsid w:val="006316A8"/>
    <w:rsid w:val="006320DB"/>
    <w:rsid w:val="006325C6"/>
    <w:rsid w:val="00633BD0"/>
    <w:rsid w:val="00634260"/>
    <w:rsid w:val="0063441D"/>
    <w:rsid w:val="006346F9"/>
    <w:rsid w:val="00634F2D"/>
    <w:rsid w:val="0063693E"/>
    <w:rsid w:val="00636F50"/>
    <w:rsid w:val="00640E86"/>
    <w:rsid w:val="00641C24"/>
    <w:rsid w:val="006436E5"/>
    <w:rsid w:val="006464CD"/>
    <w:rsid w:val="00650D85"/>
    <w:rsid w:val="006528C9"/>
    <w:rsid w:val="006540ED"/>
    <w:rsid w:val="0065467D"/>
    <w:rsid w:val="00655889"/>
    <w:rsid w:val="00657E9F"/>
    <w:rsid w:val="006609D8"/>
    <w:rsid w:val="00660C0C"/>
    <w:rsid w:val="00661EAF"/>
    <w:rsid w:val="00662DAD"/>
    <w:rsid w:val="0066395C"/>
    <w:rsid w:val="00665515"/>
    <w:rsid w:val="006673E8"/>
    <w:rsid w:val="00671645"/>
    <w:rsid w:val="00671CBD"/>
    <w:rsid w:val="00671EC0"/>
    <w:rsid w:val="006759E4"/>
    <w:rsid w:val="00675ACB"/>
    <w:rsid w:val="00676F48"/>
    <w:rsid w:val="0067770B"/>
    <w:rsid w:val="00680A72"/>
    <w:rsid w:val="00684A9E"/>
    <w:rsid w:val="00684B44"/>
    <w:rsid w:val="006855C0"/>
    <w:rsid w:val="006856D4"/>
    <w:rsid w:val="00685E83"/>
    <w:rsid w:val="00686056"/>
    <w:rsid w:val="00686763"/>
    <w:rsid w:val="00690C1E"/>
    <w:rsid w:val="00691C32"/>
    <w:rsid w:val="006944FB"/>
    <w:rsid w:val="00695590"/>
    <w:rsid w:val="00695628"/>
    <w:rsid w:val="00695F18"/>
    <w:rsid w:val="006A27B4"/>
    <w:rsid w:val="006A27FF"/>
    <w:rsid w:val="006A3A79"/>
    <w:rsid w:val="006A473D"/>
    <w:rsid w:val="006A579E"/>
    <w:rsid w:val="006B0513"/>
    <w:rsid w:val="006B06F3"/>
    <w:rsid w:val="006B16E0"/>
    <w:rsid w:val="006B1D99"/>
    <w:rsid w:val="006B24BB"/>
    <w:rsid w:val="006B30D1"/>
    <w:rsid w:val="006B3C11"/>
    <w:rsid w:val="006B4816"/>
    <w:rsid w:val="006B6D9C"/>
    <w:rsid w:val="006B729F"/>
    <w:rsid w:val="006C02E4"/>
    <w:rsid w:val="006C0B23"/>
    <w:rsid w:val="006C1B91"/>
    <w:rsid w:val="006C37CF"/>
    <w:rsid w:val="006C392F"/>
    <w:rsid w:val="006C439F"/>
    <w:rsid w:val="006C4A21"/>
    <w:rsid w:val="006C4B84"/>
    <w:rsid w:val="006C5AD3"/>
    <w:rsid w:val="006C617F"/>
    <w:rsid w:val="006C647F"/>
    <w:rsid w:val="006C6C33"/>
    <w:rsid w:val="006D01E3"/>
    <w:rsid w:val="006D1220"/>
    <w:rsid w:val="006D1F76"/>
    <w:rsid w:val="006D6A17"/>
    <w:rsid w:val="006D77C7"/>
    <w:rsid w:val="006D7902"/>
    <w:rsid w:val="006E0085"/>
    <w:rsid w:val="006E34F5"/>
    <w:rsid w:val="006E6FAC"/>
    <w:rsid w:val="006F0DBC"/>
    <w:rsid w:val="006F1ED4"/>
    <w:rsid w:val="006F65CA"/>
    <w:rsid w:val="006F6CE5"/>
    <w:rsid w:val="006F6F8B"/>
    <w:rsid w:val="006F72B6"/>
    <w:rsid w:val="007013A8"/>
    <w:rsid w:val="00701494"/>
    <w:rsid w:val="00702E31"/>
    <w:rsid w:val="00705766"/>
    <w:rsid w:val="0070591E"/>
    <w:rsid w:val="00705E85"/>
    <w:rsid w:val="007066F2"/>
    <w:rsid w:val="007071A0"/>
    <w:rsid w:val="0071077B"/>
    <w:rsid w:val="00713E1F"/>
    <w:rsid w:val="00714470"/>
    <w:rsid w:val="007144F4"/>
    <w:rsid w:val="00714778"/>
    <w:rsid w:val="0071610A"/>
    <w:rsid w:val="007172D9"/>
    <w:rsid w:val="00717D06"/>
    <w:rsid w:val="00720888"/>
    <w:rsid w:val="0072138D"/>
    <w:rsid w:val="007237AF"/>
    <w:rsid w:val="00724194"/>
    <w:rsid w:val="00725323"/>
    <w:rsid w:val="00725CA5"/>
    <w:rsid w:val="007263D5"/>
    <w:rsid w:val="0072746D"/>
    <w:rsid w:val="007303A8"/>
    <w:rsid w:val="00730CCA"/>
    <w:rsid w:val="007312AA"/>
    <w:rsid w:val="007339D0"/>
    <w:rsid w:val="00734C1B"/>
    <w:rsid w:val="00734EAB"/>
    <w:rsid w:val="00736A98"/>
    <w:rsid w:val="0074207A"/>
    <w:rsid w:val="00743491"/>
    <w:rsid w:val="00744F8E"/>
    <w:rsid w:val="00745DF4"/>
    <w:rsid w:val="007460A4"/>
    <w:rsid w:val="0075094A"/>
    <w:rsid w:val="00750D3B"/>
    <w:rsid w:val="0075159B"/>
    <w:rsid w:val="007516F0"/>
    <w:rsid w:val="00751A2E"/>
    <w:rsid w:val="007525D3"/>
    <w:rsid w:val="00753A99"/>
    <w:rsid w:val="007550AB"/>
    <w:rsid w:val="007553AA"/>
    <w:rsid w:val="0076022E"/>
    <w:rsid w:val="007640E7"/>
    <w:rsid w:val="007653DA"/>
    <w:rsid w:val="0076614E"/>
    <w:rsid w:val="007665B7"/>
    <w:rsid w:val="007667B1"/>
    <w:rsid w:val="00772986"/>
    <w:rsid w:val="00773725"/>
    <w:rsid w:val="00774BBB"/>
    <w:rsid w:val="007752A1"/>
    <w:rsid w:val="00777313"/>
    <w:rsid w:val="00777893"/>
    <w:rsid w:val="007815C1"/>
    <w:rsid w:val="00782608"/>
    <w:rsid w:val="007844FD"/>
    <w:rsid w:val="0078478C"/>
    <w:rsid w:val="00785215"/>
    <w:rsid w:val="0078691E"/>
    <w:rsid w:val="00790AF8"/>
    <w:rsid w:val="0079305A"/>
    <w:rsid w:val="007947A4"/>
    <w:rsid w:val="00795F3B"/>
    <w:rsid w:val="00796A12"/>
    <w:rsid w:val="00796B77"/>
    <w:rsid w:val="007A1421"/>
    <w:rsid w:val="007A3B2F"/>
    <w:rsid w:val="007A4FB4"/>
    <w:rsid w:val="007A543C"/>
    <w:rsid w:val="007A6B2B"/>
    <w:rsid w:val="007A7786"/>
    <w:rsid w:val="007A7918"/>
    <w:rsid w:val="007B0AB5"/>
    <w:rsid w:val="007B0CF2"/>
    <w:rsid w:val="007B11EC"/>
    <w:rsid w:val="007B29C4"/>
    <w:rsid w:val="007B2FB1"/>
    <w:rsid w:val="007B343F"/>
    <w:rsid w:val="007B4243"/>
    <w:rsid w:val="007B4261"/>
    <w:rsid w:val="007B4321"/>
    <w:rsid w:val="007C008A"/>
    <w:rsid w:val="007C0A4D"/>
    <w:rsid w:val="007C0C20"/>
    <w:rsid w:val="007C1087"/>
    <w:rsid w:val="007C1289"/>
    <w:rsid w:val="007C60E0"/>
    <w:rsid w:val="007C6EB8"/>
    <w:rsid w:val="007C7944"/>
    <w:rsid w:val="007C7C55"/>
    <w:rsid w:val="007D2207"/>
    <w:rsid w:val="007D58A7"/>
    <w:rsid w:val="007D5ED1"/>
    <w:rsid w:val="007D6B43"/>
    <w:rsid w:val="007D72F6"/>
    <w:rsid w:val="007E03C0"/>
    <w:rsid w:val="007E0DF3"/>
    <w:rsid w:val="007E2034"/>
    <w:rsid w:val="007E2836"/>
    <w:rsid w:val="007E4060"/>
    <w:rsid w:val="007E568A"/>
    <w:rsid w:val="007E62E6"/>
    <w:rsid w:val="007F0AFF"/>
    <w:rsid w:val="007F0D03"/>
    <w:rsid w:val="007F14C1"/>
    <w:rsid w:val="007F1B61"/>
    <w:rsid w:val="007F4828"/>
    <w:rsid w:val="007F57DA"/>
    <w:rsid w:val="008005C8"/>
    <w:rsid w:val="008006BE"/>
    <w:rsid w:val="00800C1E"/>
    <w:rsid w:val="0080397A"/>
    <w:rsid w:val="00803BBF"/>
    <w:rsid w:val="00804059"/>
    <w:rsid w:val="00807054"/>
    <w:rsid w:val="0080728A"/>
    <w:rsid w:val="00813086"/>
    <w:rsid w:val="0081335F"/>
    <w:rsid w:val="00813DBC"/>
    <w:rsid w:val="00813F7A"/>
    <w:rsid w:val="0081481E"/>
    <w:rsid w:val="008159D8"/>
    <w:rsid w:val="00815EBA"/>
    <w:rsid w:val="00816491"/>
    <w:rsid w:val="0082155F"/>
    <w:rsid w:val="00821DD2"/>
    <w:rsid w:val="00821F18"/>
    <w:rsid w:val="00822203"/>
    <w:rsid w:val="00822995"/>
    <w:rsid w:val="00822FC7"/>
    <w:rsid w:val="00825CB7"/>
    <w:rsid w:val="00827A4F"/>
    <w:rsid w:val="00827B37"/>
    <w:rsid w:val="00827CCD"/>
    <w:rsid w:val="008311FE"/>
    <w:rsid w:val="008312BF"/>
    <w:rsid w:val="00833378"/>
    <w:rsid w:val="008376C0"/>
    <w:rsid w:val="0083779A"/>
    <w:rsid w:val="00837F81"/>
    <w:rsid w:val="00840081"/>
    <w:rsid w:val="00840F1B"/>
    <w:rsid w:val="008424E8"/>
    <w:rsid w:val="00842866"/>
    <w:rsid w:val="00845238"/>
    <w:rsid w:val="00846875"/>
    <w:rsid w:val="00847AD7"/>
    <w:rsid w:val="00853C21"/>
    <w:rsid w:val="00854AD0"/>
    <w:rsid w:val="00855368"/>
    <w:rsid w:val="00855A9A"/>
    <w:rsid w:val="00856A0E"/>
    <w:rsid w:val="00857388"/>
    <w:rsid w:val="00860174"/>
    <w:rsid w:val="0086185E"/>
    <w:rsid w:val="008630F5"/>
    <w:rsid w:val="008631CE"/>
    <w:rsid w:val="00863209"/>
    <w:rsid w:val="00863DEC"/>
    <w:rsid w:val="0086409B"/>
    <w:rsid w:val="0086443E"/>
    <w:rsid w:val="0086541B"/>
    <w:rsid w:val="00870271"/>
    <w:rsid w:val="00871B4E"/>
    <w:rsid w:val="00872809"/>
    <w:rsid w:val="00872FD2"/>
    <w:rsid w:val="00873D35"/>
    <w:rsid w:val="0087436F"/>
    <w:rsid w:val="00874675"/>
    <w:rsid w:val="0087651F"/>
    <w:rsid w:val="00876869"/>
    <w:rsid w:val="00876B01"/>
    <w:rsid w:val="008817CC"/>
    <w:rsid w:val="00882E5D"/>
    <w:rsid w:val="00883BB1"/>
    <w:rsid w:val="008841C9"/>
    <w:rsid w:val="008845D6"/>
    <w:rsid w:val="008872F5"/>
    <w:rsid w:val="00887516"/>
    <w:rsid w:val="0088764F"/>
    <w:rsid w:val="00887A0C"/>
    <w:rsid w:val="008918F4"/>
    <w:rsid w:val="00891CB1"/>
    <w:rsid w:val="00894AFA"/>
    <w:rsid w:val="00894F9A"/>
    <w:rsid w:val="00895D5E"/>
    <w:rsid w:val="00896925"/>
    <w:rsid w:val="00896BD0"/>
    <w:rsid w:val="008A1D1E"/>
    <w:rsid w:val="008A23EF"/>
    <w:rsid w:val="008A3416"/>
    <w:rsid w:val="008A3A8C"/>
    <w:rsid w:val="008A3FD3"/>
    <w:rsid w:val="008A4970"/>
    <w:rsid w:val="008A4CAC"/>
    <w:rsid w:val="008A4FF3"/>
    <w:rsid w:val="008B0472"/>
    <w:rsid w:val="008B121C"/>
    <w:rsid w:val="008B26FD"/>
    <w:rsid w:val="008B2D10"/>
    <w:rsid w:val="008B2E86"/>
    <w:rsid w:val="008B6334"/>
    <w:rsid w:val="008B6CA1"/>
    <w:rsid w:val="008B7A37"/>
    <w:rsid w:val="008C06C2"/>
    <w:rsid w:val="008C0CF0"/>
    <w:rsid w:val="008C0EAA"/>
    <w:rsid w:val="008C2CBB"/>
    <w:rsid w:val="008C3676"/>
    <w:rsid w:val="008C41C4"/>
    <w:rsid w:val="008C469B"/>
    <w:rsid w:val="008C5A91"/>
    <w:rsid w:val="008C638F"/>
    <w:rsid w:val="008C6F86"/>
    <w:rsid w:val="008C7B07"/>
    <w:rsid w:val="008D1122"/>
    <w:rsid w:val="008D1146"/>
    <w:rsid w:val="008D1403"/>
    <w:rsid w:val="008D1BBA"/>
    <w:rsid w:val="008D1CBD"/>
    <w:rsid w:val="008D2A44"/>
    <w:rsid w:val="008D2E5B"/>
    <w:rsid w:val="008D3AA6"/>
    <w:rsid w:val="008D3D9D"/>
    <w:rsid w:val="008D5CCB"/>
    <w:rsid w:val="008D772A"/>
    <w:rsid w:val="008E1E5B"/>
    <w:rsid w:val="008E2BE9"/>
    <w:rsid w:val="008E3123"/>
    <w:rsid w:val="008E784F"/>
    <w:rsid w:val="008E7B8E"/>
    <w:rsid w:val="008E7ED3"/>
    <w:rsid w:val="008F0F12"/>
    <w:rsid w:val="008F31BA"/>
    <w:rsid w:val="008F3793"/>
    <w:rsid w:val="008F6942"/>
    <w:rsid w:val="00904097"/>
    <w:rsid w:val="009045C9"/>
    <w:rsid w:val="009053F7"/>
    <w:rsid w:val="00905422"/>
    <w:rsid w:val="00905A5C"/>
    <w:rsid w:val="00906283"/>
    <w:rsid w:val="00906505"/>
    <w:rsid w:val="0091035D"/>
    <w:rsid w:val="009108CC"/>
    <w:rsid w:val="00911AE1"/>
    <w:rsid w:val="00916949"/>
    <w:rsid w:val="00923BF5"/>
    <w:rsid w:val="0092418C"/>
    <w:rsid w:val="00925EA9"/>
    <w:rsid w:val="00926C2B"/>
    <w:rsid w:val="009273C8"/>
    <w:rsid w:val="00930258"/>
    <w:rsid w:val="00930A39"/>
    <w:rsid w:val="009350F0"/>
    <w:rsid w:val="0094113A"/>
    <w:rsid w:val="009419A4"/>
    <w:rsid w:val="00942658"/>
    <w:rsid w:val="009427F1"/>
    <w:rsid w:val="0094400C"/>
    <w:rsid w:val="009443AA"/>
    <w:rsid w:val="00944C63"/>
    <w:rsid w:val="00950E5E"/>
    <w:rsid w:val="00951207"/>
    <w:rsid w:val="00952D6E"/>
    <w:rsid w:val="009534DE"/>
    <w:rsid w:val="00953C25"/>
    <w:rsid w:val="009544EB"/>
    <w:rsid w:val="00954DA2"/>
    <w:rsid w:val="009569ED"/>
    <w:rsid w:val="009574E3"/>
    <w:rsid w:val="00957BA0"/>
    <w:rsid w:val="00960D1D"/>
    <w:rsid w:val="00961697"/>
    <w:rsid w:val="009648C5"/>
    <w:rsid w:val="00966540"/>
    <w:rsid w:val="00971EDF"/>
    <w:rsid w:val="0097280D"/>
    <w:rsid w:val="00972D96"/>
    <w:rsid w:val="0097413B"/>
    <w:rsid w:val="009749C6"/>
    <w:rsid w:val="00976FDD"/>
    <w:rsid w:val="00977BEA"/>
    <w:rsid w:val="00980D10"/>
    <w:rsid w:val="00981061"/>
    <w:rsid w:val="0098171B"/>
    <w:rsid w:val="00982C63"/>
    <w:rsid w:val="0098596A"/>
    <w:rsid w:val="0098739F"/>
    <w:rsid w:val="00991230"/>
    <w:rsid w:val="00991538"/>
    <w:rsid w:val="009917EA"/>
    <w:rsid w:val="00993041"/>
    <w:rsid w:val="0099372E"/>
    <w:rsid w:val="00994438"/>
    <w:rsid w:val="0099461B"/>
    <w:rsid w:val="00994C96"/>
    <w:rsid w:val="00995104"/>
    <w:rsid w:val="0099689F"/>
    <w:rsid w:val="009A0464"/>
    <w:rsid w:val="009A0909"/>
    <w:rsid w:val="009A0DE3"/>
    <w:rsid w:val="009A2C42"/>
    <w:rsid w:val="009A302B"/>
    <w:rsid w:val="009A44A5"/>
    <w:rsid w:val="009A5B1A"/>
    <w:rsid w:val="009A7585"/>
    <w:rsid w:val="009A758F"/>
    <w:rsid w:val="009B058D"/>
    <w:rsid w:val="009B139F"/>
    <w:rsid w:val="009B1A70"/>
    <w:rsid w:val="009B2B48"/>
    <w:rsid w:val="009B2D95"/>
    <w:rsid w:val="009B4048"/>
    <w:rsid w:val="009B57C3"/>
    <w:rsid w:val="009B588C"/>
    <w:rsid w:val="009B5EF0"/>
    <w:rsid w:val="009B60B8"/>
    <w:rsid w:val="009B7940"/>
    <w:rsid w:val="009C2AFC"/>
    <w:rsid w:val="009C3447"/>
    <w:rsid w:val="009C403B"/>
    <w:rsid w:val="009C51F2"/>
    <w:rsid w:val="009C5691"/>
    <w:rsid w:val="009C5B69"/>
    <w:rsid w:val="009C67F5"/>
    <w:rsid w:val="009D3564"/>
    <w:rsid w:val="009D5174"/>
    <w:rsid w:val="009D57E3"/>
    <w:rsid w:val="009E006D"/>
    <w:rsid w:val="009E042B"/>
    <w:rsid w:val="009E0A65"/>
    <w:rsid w:val="009E0E00"/>
    <w:rsid w:val="009E24F0"/>
    <w:rsid w:val="009E265C"/>
    <w:rsid w:val="009E3BD6"/>
    <w:rsid w:val="009E3D88"/>
    <w:rsid w:val="009E3E6C"/>
    <w:rsid w:val="009E5122"/>
    <w:rsid w:val="009F1507"/>
    <w:rsid w:val="009F40A1"/>
    <w:rsid w:val="009F420E"/>
    <w:rsid w:val="00A01182"/>
    <w:rsid w:val="00A02087"/>
    <w:rsid w:val="00A04195"/>
    <w:rsid w:val="00A0456E"/>
    <w:rsid w:val="00A05548"/>
    <w:rsid w:val="00A063EE"/>
    <w:rsid w:val="00A11DDF"/>
    <w:rsid w:val="00A161A4"/>
    <w:rsid w:val="00A17957"/>
    <w:rsid w:val="00A20A30"/>
    <w:rsid w:val="00A22C63"/>
    <w:rsid w:val="00A23EE9"/>
    <w:rsid w:val="00A242F0"/>
    <w:rsid w:val="00A268FE"/>
    <w:rsid w:val="00A275D2"/>
    <w:rsid w:val="00A32258"/>
    <w:rsid w:val="00A33333"/>
    <w:rsid w:val="00A33567"/>
    <w:rsid w:val="00A34500"/>
    <w:rsid w:val="00A36C76"/>
    <w:rsid w:val="00A37554"/>
    <w:rsid w:val="00A40396"/>
    <w:rsid w:val="00A428E5"/>
    <w:rsid w:val="00A433FF"/>
    <w:rsid w:val="00A43B3E"/>
    <w:rsid w:val="00A4659B"/>
    <w:rsid w:val="00A47263"/>
    <w:rsid w:val="00A50A1F"/>
    <w:rsid w:val="00A52411"/>
    <w:rsid w:val="00A555F7"/>
    <w:rsid w:val="00A55F8F"/>
    <w:rsid w:val="00A57077"/>
    <w:rsid w:val="00A57241"/>
    <w:rsid w:val="00A57617"/>
    <w:rsid w:val="00A6059A"/>
    <w:rsid w:val="00A60D48"/>
    <w:rsid w:val="00A61755"/>
    <w:rsid w:val="00A622A2"/>
    <w:rsid w:val="00A63114"/>
    <w:rsid w:val="00A63338"/>
    <w:rsid w:val="00A64AAC"/>
    <w:rsid w:val="00A64CF0"/>
    <w:rsid w:val="00A659E1"/>
    <w:rsid w:val="00A66F12"/>
    <w:rsid w:val="00A67918"/>
    <w:rsid w:val="00A70055"/>
    <w:rsid w:val="00A70401"/>
    <w:rsid w:val="00A70FC3"/>
    <w:rsid w:val="00A7281A"/>
    <w:rsid w:val="00A73B67"/>
    <w:rsid w:val="00A74D5C"/>
    <w:rsid w:val="00A75C5F"/>
    <w:rsid w:val="00A76BB7"/>
    <w:rsid w:val="00A8060B"/>
    <w:rsid w:val="00A80E0A"/>
    <w:rsid w:val="00A80E26"/>
    <w:rsid w:val="00A82D46"/>
    <w:rsid w:val="00A830B5"/>
    <w:rsid w:val="00A85445"/>
    <w:rsid w:val="00A900CC"/>
    <w:rsid w:val="00A9095F"/>
    <w:rsid w:val="00A90D78"/>
    <w:rsid w:val="00A9425C"/>
    <w:rsid w:val="00A944FA"/>
    <w:rsid w:val="00A947AC"/>
    <w:rsid w:val="00A97CA0"/>
    <w:rsid w:val="00A97EDE"/>
    <w:rsid w:val="00AA0521"/>
    <w:rsid w:val="00AA21DE"/>
    <w:rsid w:val="00AA3442"/>
    <w:rsid w:val="00AA34E3"/>
    <w:rsid w:val="00AA40CD"/>
    <w:rsid w:val="00AA4905"/>
    <w:rsid w:val="00AA6542"/>
    <w:rsid w:val="00AB1D46"/>
    <w:rsid w:val="00AB2538"/>
    <w:rsid w:val="00AB32A9"/>
    <w:rsid w:val="00AB3C32"/>
    <w:rsid w:val="00AB3DD5"/>
    <w:rsid w:val="00AB4C8D"/>
    <w:rsid w:val="00AB7D43"/>
    <w:rsid w:val="00AC02AA"/>
    <w:rsid w:val="00AC1A43"/>
    <w:rsid w:val="00AC1D94"/>
    <w:rsid w:val="00AC2081"/>
    <w:rsid w:val="00AC4A49"/>
    <w:rsid w:val="00AC5C42"/>
    <w:rsid w:val="00AC6D57"/>
    <w:rsid w:val="00AD3290"/>
    <w:rsid w:val="00AE05E4"/>
    <w:rsid w:val="00AE0FC7"/>
    <w:rsid w:val="00AE1162"/>
    <w:rsid w:val="00AE16C3"/>
    <w:rsid w:val="00AE2E4D"/>
    <w:rsid w:val="00AE369B"/>
    <w:rsid w:val="00AE3DF8"/>
    <w:rsid w:val="00AE4BC5"/>
    <w:rsid w:val="00AE6C40"/>
    <w:rsid w:val="00AE710A"/>
    <w:rsid w:val="00AE724D"/>
    <w:rsid w:val="00AF0076"/>
    <w:rsid w:val="00AF1CE5"/>
    <w:rsid w:val="00AF27DD"/>
    <w:rsid w:val="00AF3446"/>
    <w:rsid w:val="00AF585D"/>
    <w:rsid w:val="00AF7A91"/>
    <w:rsid w:val="00B0035E"/>
    <w:rsid w:val="00B00C60"/>
    <w:rsid w:val="00B01AB7"/>
    <w:rsid w:val="00B020E4"/>
    <w:rsid w:val="00B02432"/>
    <w:rsid w:val="00B04C34"/>
    <w:rsid w:val="00B055B1"/>
    <w:rsid w:val="00B065A2"/>
    <w:rsid w:val="00B0660D"/>
    <w:rsid w:val="00B06697"/>
    <w:rsid w:val="00B10920"/>
    <w:rsid w:val="00B10A72"/>
    <w:rsid w:val="00B134B9"/>
    <w:rsid w:val="00B13EA2"/>
    <w:rsid w:val="00B14890"/>
    <w:rsid w:val="00B14E48"/>
    <w:rsid w:val="00B1516F"/>
    <w:rsid w:val="00B160F8"/>
    <w:rsid w:val="00B176C3"/>
    <w:rsid w:val="00B20167"/>
    <w:rsid w:val="00B202AD"/>
    <w:rsid w:val="00B20E03"/>
    <w:rsid w:val="00B22103"/>
    <w:rsid w:val="00B22F4F"/>
    <w:rsid w:val="00B2534C"/>
    <w:rsid w:val="00B253A1"/>
    <w:rsid w:val="00B2599F"/>
    <w:rsid w:val="00B262AB"/>
    <w:rsid w:val="00B26C06"/>
    <w:rsid w:val="00B30DD4"/>
    <w:rsid w:val="00B33CB7"/>
    <w:rsid w:val="00B33D34"/>
    <w:rsid w:val="00B352FA"/>
    <w:rsid w:val="00B36B5C"/>
    <w:rsid w:val="00B36D31"/>
    <w:rsid w:val="00B41E21"/>
    <w:rsid w:val="00B43146"/>
    <w:rsid w:val="00B44208"/>
    <w:rsid w:val="00B44442"/>
    <w:rsid w:val="00B44EDB"/>
    <w:rsid w:val="00B46969"/>
    <w:rsid w:val="00B47A1D"/>
    <w:rsid w:val="00B515B7"/>
    <w:rsid w:val="00B53183"/>
    <w:rsid w:val="00B5356B"/>
    <w:rsid w:val="00B539F7"/>
    <w:rsid w:val="00B53B6A"/>
    <w:rsid w:val="00B544D6"/>
    <w:rsid w:val="00B56812"/>
    <w:rsid w:val="00B57491"/>
    <w:rsid w:val="00B617CD"/>
    <w:rsid w:val="00B666AD"/>
    <w:rsid w:val="00B667DA"/>
    <w:rsid w:val="00B66A05"/>
    <w:rsid w:val="00B66C5A"/>
    <w:rsid w:val="00B672A8"/>
    <w:rsid w:val="00B7210C"/>
    <w:rsid w:val="00B726CB"/>
    <w:rsid w:val="00B7473F"/>
    <w:rsid w:val="00B76AF5"/>
    <w:rsid w:val="00B76E4D"/>
    <w:rsid w:val="00B775D9"/>
    <w:rsid w:val="00B77EDB"/>
    <w:rsid w:val="00B800FB"/>
    <w:rsid w:val="00B80124"/>
    <w:rsid w:val="00B805E0"/>
    <w:rsid w:val="00B82026"/>
    <w:rsid w:val="00B8513F"/>
    <w:rsid w:val="00B9021B"/>
    <w:rsid w:val="00B91705"/>
    <w:rsid w:val="00B91C47"/>
    <w:rsid w:val="00B92DE1"/>
    <w:rsid w:val="00B93599"/>
    <w:rsid w:val="00B943CD"/>
    <w:rsid w:val="00B955FF"/>
    <w:rsid w:val="00B962CB"/>
    <w:rsid w:val="00B9789C"/>
    <w:rsid w:val="00B97A47"/>
    <w:rsid w:val="00BA04C9"/>
    <w:rsid w:val="00BA2902"/>
    <w:rsid w:val="00BA3BD8"/>
    <w:rsid w:val="00BA3CE4"/>
    <w:rsid w:val="00BB0829"/>
    <w:rsid w:val="00BB0A6C"/>
    <w:rsid w:val="00BB0B97"/>
    <w:rsid w:val="00BB1C84"/>
    <w:rsid w:val="00BB30E7"/>
    <w:rsid w:val="00BB352B"/>
    <w:rsid w:val="00BB393D"/>
    <w:rsid w:val="00BB4A7A"/>
    <w:rsid w:val="00BB6CB3"/>
    <w:rsid w:val="00BC0047"/>
    <w:rsid w:val="00BC0348"/>
    <w:rsid w:val="00BC0E09"/>
    <w:rsid w:val="00BC1978"/>
    <w:rsid w:val="00BC266F"/>
    <w:rsid w:val="00BC3585"/>
    <w:rsid w:val="00BC43FE"/>
    <w:rsid w:val="00BC59A3"/>
    <w:rsid w:val="00BD29F2"/>
    <w:rsid w:val="00BD2C34"/>
    <w:rsid w:val="00BD6BA2"/>
    <w:rsid w:val="00BD7D55"/>
    <w:rsid w:val="00BE06B8"/>
    <w:rsid w:val="00BE0C60"/>
    <w:rsid w:val="00BE2616"/>
    <w:rsid w:val="00BE3A2C"/>
    <w:rsid w:val="00BE3C9C"/>
    <w:rsid w:val="00BE48D2"/>
    <w:rsid w:val="00BE77B1"/>
    <w:rsid w:val="00BE7998"/>
    <w:rsid w:val="00BF3A1D"/>
    <w:rsid w:val="00BF3A20"/>
    <w:rsid w:val="00BF67EE"/>
    <w:rsid w:val="00BF6F8B"/>
    <w:rsid w:val="00BF7F3F"/>
    <w:rsid w:val="00C01B6B"/>
    <w:rsid w:val="00C045D7"/>
    <w:rsid w:val="00C048F6"/>
    <w:rsid w:val="00C04DCF"/>
    <w:rsid w:val="00C0558D"/>
    <w:rsid w:val="00C05AB3"/>
    <w:rsid w:val="00C06177"/>
    <w:rsid w:val="00C075EA"/>
    <w:rsid w:val="00C13046"/>
    <w:rsid w:val="00C14605"/>
    <w:rsid w:val="00C153B0"/>
    <w:rsid w:val="00C158DA"/>
    <w:rsid w:val="00C208C3"/>
    <w:rsid w:val="00C234A9"/>
    <w:rsid w:val="00C23990"/>
    <w:rsid w:val="00C2589D"/>
    <w:rsid w:val="00C25A46"/>
    <w:rsid w:val="00C25EC1"/>
    <w:rsid w:val="00C276AF"/>
    <w:rsid w:val="00C30276"/>
    <w:rsid w:val="00C30625"/>
    <w:rsid w:val="00C3221F"/>
    <w:rsid w:val="00C32525"/>
    <w:rsid w:val="00C32AC1"/>
    <w:rsid w:val="00C32E41"/>
    <w:rsid w:val="00C33F51"/>
    <w:rsid w:val="00C34C43"/>
    <w:rsid w:val="00C34CE7"/>
    <w:rsid w:val="00C357DE"/>
    <w:rsid w:val="00C404B4"/>
    <w:rsid w:val="00C41BEB"/>
    <w:rsid w:val="00C41FB6"/>
    <w:rsid w:val="00C449F1"/>
    <w:rsid w:val="00C44E92"/>
    <w:rsid w:val="00C47550"/>
    <w:rsid w:val="00C50A26"/>
    <w:rsid w:val="00C54295"/>
    <w:rsid w:val="00C544F7"/>
    <w:rsid w:val="00C60217"/>
    <w:rsid w:val="00C6163D"/>
    <w:rsid w:val="00C61AC6"/>
    <w:rsid w:val="00C62D3A"/>
    <w:rsid w:val="00C65763"/>
    <w:rsid w:val="00C702C7"/>
    <w:rsid w:val="00C716C4"/>
    <w:rsid w:val="00C73EF7"/>
    <w:rsid w:val="00C7429C"/>
    <w:rsid w:val="00C74A63"/>
    <w:rsid w:val="00C762EB"/>
    <w:rsid w:val="00C80598"/>
    <w:rsid w:val="00C81CB1"/>
    <w:rsid w:val="00C82674"/>
    <w:rsid w:val="00C8300C"/>
    <w:rsid w:val="00C84045"/>
    <w:rsid w:val="00C844EE"/>
    <w:rsid w:val="00C8703B"/>
    <w:rsid w:val="00C87F99"/>
    <w:rsid w:val="00C9266D"/>
    <w:rsid w:val="00C928F2"/>
    <w:rsid w:val="00C9432A"/>
    <w:rsid w:val="00CA1D00"/>
    <w:rsid w:val="00CA21E5"/>
    <w:rsid w:val="00CA2345"/>
    <w:rsid w:val="00CA32FE"/>
    <w:rsid w:val="00CA40EE"/>
    <w:rsid w:val="00CA4E63"/>
    <w:rsid w:val="00CA5B05"/>
    <w:rsid w:val="00CA69A2"/>
    <w:rsid w:val="00CB0366"/>
    <w:rsid w:val="00CB0632"/>
    <w:rsid w:val="00CB4784"/>
    <w:rsid w:val="00CB5F8A"/>
    <w:rsid w:val="00CB6B4C"/>
    <w:rsid w:val="00CB7B1A"/>
    <w:rsid w:val="00CC08D4"/>
    <w:rsid w:val="00CC1C20"/>
    <w:rsid w:val="00CC2122"/>
    <w:rsid w:val="00CC2A1A"/>
    <w:rsid w:val="00CC2AAA"/>
    <w:rsid w:val="00CC34A3"/>
    <w:rsid w:val="00CC3BFA"/>
    <w:rsid w:val="00CC5E8F"/>
    <w:rsid w:val="00CC67BC"/>
    <w:rsid w:val="00CC73BC"/>
    <w:rsid w:val="00CC75C4"/>
    <w:rsid w:val="00CC7831"/>
    <w:rsid w:val="00CD3AE2"/>
    <w:rsid w:val="00CE0487"/>
    <w:rsid w:val="00CE1517"/>
    <w:rsid w:val="00CE1D9F"/>
    <w:rsid w:val="00CE3028"/>
    <w:rsid w:val="00CE3FD7"/>
    <w:rsid w:val="00CE7312"/>
    <w:rsid w:val="00CF0727"/>
    <w:rsid w:val="00CF259A"/>
    <w:rsid w:val="00CF2BF2"/>
    <w:rsid w:val="00CF3CA4"/>
    <w:rsid w:val="00CF546E"/>
    <w:rsid w:val="00CF560A"/>
    <w:rsid w:val="00CF73AA"/>
    <w:rsid w:val="00CF7F7F"/>
    <w:rsid w:val="00D0023B"/>
    <w:rsid w:val="00D01239"/>
    <w:rsid w:val="00D0145C"/>
    <w:rsid w:val="00D02FDA"/>
    <w:rsid w:val="00D11120"/>
    <w:rsid w:val="00D13397"/>
    <w:rsid w:val="00D16095"/>
    <w:rsid w:val="00D21B5F"/>
    <w:rsid w:val="00D236E8"/>
    <w:rsid w:val="00D23F08"/>
    <w:rsid w:val="00D250E5"/>
    <w:rsid w:val="00D251C6"/>
    <w:rsid w:val="00D25E33"/>
    <w:rsid w:val="00D27B73"/>
    <w:rsid w:val="00D307ED"/>
    <w:rsid w:val="00D326FE"/>
    <w:rsid w:val="00D329DF"/>
    <w:rsid w:val="00D33A2B"/>
    <w:rsid w:val="00D35465"/>
    <w:rsid w:val="00D35D23"/>
    <w:rsid w:val="00D36E73"/>
    <w:rsid w:val="00D410C4"/>
    <w:rsid w:val="00D4280C"/>
    <w:rsid w:val="00D42B09"/>
    <w:rsid w:val="00D42DC8"/>
    <w:rsid w:val="00D43BD9"/>
    <w:rsid w:val="00D45746"/>
    <w:rsid w:val="00D50A5B"/>
    <w:rsid w:val="00D5297D"/>
    <w:rsid w:val="00D52A6A"/>
    <w:rsid w:val="00D55683"/>
    <w:rsid w:val="00D61599"/>
    <w:rsid w:val="00D61886"/>
    <w:rsid w:val="00D61DFC"/>
    <w:rsid w:val="00D62704"/>
    <w:rsid w:val="00D62DBA"/>
    <w:rsid w:val="00D63E89"/>
    <w:rsid w:val="00D6603F"/>
    <w:rsid w:val="00D6677C"/>
    <w:rsid w:val="00D66B91"/>
    <w:rsid w:val="00D73889"/>
    <w:rsid w:val="00D75260"/>
    <w:rsid w:val="00D75925"/>
    <w:rsid w:val="00D768FD"/>
    <w:rsid w:val="00D76972"/>
    <w:rsid w:val="00D7725A"/>
    <w:rsid w:val="00D7732D"/>
    <w:rsid w:val="00D802C3"/>
    <w:rsid w:val="00D80A5C"/>
    <w:rsid w:val="00D80E1A"/>
    <w:rsid w:val="00D815D0"/>
    <w:rsid w:val="00D82425"/>
    <w:rsid w:val="00D82E12"/>
    <w:rsid w:val="00D842C8"/>
    <w:rsid w:val="00D84F13"/>
    <w:rsid w:val="00D86BB8"/>
    <w:rsid w:val="00D916CE"/>
    <w:rsid w:val="00D92FCD"/>
    <w:rsid w:val="00DA132B"/>
    <w:rsid w:val="00DA1962"/>
    <w:rsid w:val="00DA29BD"/>
    <w:rsid w:val="00DA5A7B"/>
    <w:rsid w:val="00DA5DCD"/>
    <w:rsid w:val="00DA7085"/>
    <w:rsid w:val="00DA7D20"/>
    <w:rsid w:val="00DB0CB1"/>
    <w:rsid w:val="00DB39FE"/>
    <w:rsid w:val="00DB4410"/>
    <w:rsid w:val="00DB5D79"/>
    <w:rsid w:val="00DC17C0"/>
    <w:rsid w:val="00DC2522"/>
    <w:rsid w:val="00DC3F57"/>
    <w:rsid w:val="00DC4A60"/>
    <w:rsid w:val="00DC4D91"/>
    <w:rsid w:val="00DC59F1"/>
    <w:rsid w:val="00DC65D0"/>
    <w:rsid w:val="00DC7AC4"/>
    <w:rsid w:val="00DD14B3"/>
    <w:rsid w:val="00DD5A1B"/>
    <w:rsid w:val="00DD6590"/>
    <w:rsid w:val="00DD715C"/>
    <w:rsid w:val="00DE111C"/>
    <w:rsid w:val="00DE18BC"/>
    <w:rsid w:val="00DE3A92"/>
    <w:rsid w:val="00DE5E02"/>
    <w:rsid w:val="00DE7898"/>
    <w:rsid w:val="00DF1DFC"/>
    <w:rsid w:val="00DF396F"/>
    <w:rsid w:val="00DF3B35"/>
    <w:rsid w:val="00DF41FD"/>
    <w:rsid w:val="00DF4B62"/>
    <w:rsid w:val="00DF70E8"/>
    <w:rsid w:val="00E00726"/>
    <w:rsid w:val="00E0265A"/>
    <w:rsid w:val="00E0285E"/>
    <w:rsid w:val="00E03F8C"/>
    <w:rsid w:val="00E0517E"/>
    <w:rsid w:val="00E066EC"/>
    <w:rsid w:val="00E078DE"/>
    <w:rsid w:val="00E10A53"/>
    <w:rsid w:val="00E12A43"/>
    <w:rsid w:val="00E14380"/>
    <w:rsid w:val="00E14799"/>
    <w:rsid w:val="00E15DEF"/>
    <w:rsid w:val="00E15E9E"/>
    <w:rsid w:val="00E16394"/>
    <w:rsid w:val="00E165D1"/>
    <w:rsid w:val="00E17868"/>
    <w:rsid w:val="00E17BFF"/>
    <w:rsid w:val="00E23B3D"/>
    <w:rsid w:val="00E2493C"/>
    <w:rsid w:val="00E26113"/>
    <w:rsid w:val="00E266A4"/>
    <w:rsid w:val="00E271AE"/>
    <w:rsid w:val="00E35306"/>
    <w:rsid w:val="00E35619"/>
    <w:rsid w:val="00E35847"/>
    <w:rsid w:val="00E35D1B"/>
    <w:rsid w:val="00E36C7A"/>
    <w:rsid w:val="00E37C6C"/>
    <w:rsid w:val="00E406E2"/>
    <w:rsid w:val="00E41D21"/>
    <w:rsid w:val="00E4362E"/>
    <w:rsid w:val="00E43AB6"/>
    <w:rsid w:val="00E43B9E"/>
    <w:rsid w:val="00E457C4"/>
    <w:rsid w:val="00E461D9"/>
    <w:rsid w:val="00E51605"/>
    <w:rsid w:val="00E51B83"/>
    <w:rsid w:val="00E52964"/>
    <w:rsid w:val="00E54BEF"/>
    <w:rsid w:val="00E55A41"/>
    <w:rsid w:val="00E56993"/>
    <w:rsid w:val="00E56F4A"/>
    <w:rsid w:val="00E606D2"/>
    <w:rsid w:val="00E6082C"/>
    <w:rsid w:val="00E60DD4"/>
    <w:rsid w:val="00E6123E"/>
    <w:rsid w:val="00E61D81"/>
    <w:rsid w:val="00E625F2"/>
    <w:rsid w:val="00E62625"/>
    <w:rsid w:val="00E64078"/>
    <w:rsid w:val="00E665E4"/>
    <w:rsid w:val="00E67729"/>
    <w:rsid w:val="00E70359"/>
    <w:rsid w:val="00E70874"/>
    <w:rsid w:val="00E70D8F"/>
    <w:rsid w:val="00E7300D"/>
    <w:rsid w:val="00E73CCD"/>
    <w:rsid w:val="00E73D0A"/>
    <w:rsid w:val="00E757D0"/>
    <w:rsid w:val="00E758D3"/>
    <w:rsid w:val="00E77210"/>
    <w:rsid w:val="00E77DC1"/>
    <w:rsid w:val="00E822FE"/>
    <w:rsid w:val="00E82807"/>
    <w:rsid w:val="00E83736"/>
    <w:rsid w:val="00E84F40"/>
    <w:rsid w:val="00E8725A"/>
    <w:rsid w:val="00E87432"/>
    <w:rsid w:val="00E87451"/>
    <w:rsid w:val="00E9014D"/>
    <w:rsid w:val="00E91549"/>
    <w:rsid w:val="00E9198A"/>
    <w:rsid w:val="00E93DF1"/>
    <w:rsid w:val="00E943B8"/>
    <w:rsid w:val="00E94C20"/>
    <w:rsid w:val="00E96336"/>
    <w:rsid w:val="00E96B75"/>
    <w:rsid w:val="00EA1305"/>
    <w:rsid w:val="00EA3916"/>
    <w:rsid w:val="00EA56E6"/>
    <w:rsid w:val="00EB0AA3"/>
    <w:rsid w:val="00EB172B"/>
    <w:rsid w:val="00EB209E"/>
    <w:rsid w:val="00EB467A"/>
    <w:rsid w:val="00EB5CD1"/>
    <w:rsid w:val="00EB6255"/>
    <w:rsid w:val="00EC0331"/>
    <w:rsid w:val="00EC1D8B"/>
    <w:rsid w:val="00EC1F27"/>
    <w:rsid w:val="00EC6CC9"/>
    <w:rsid w:val="00EC6F5A"/>
    <w:rsid w:val="00EC7D17"/>
    <w:rsid w:val="00ED508D"/>
    <w:rsid w:val="00ED50D9"/>
    <w:rsid w:val="00ED5A75"/>
    <w:rsid w:val="00ED7C26"/>
    <w:rsid w:val="00EE0535"/>
    <w:rsid w:val="00EE05FF"/>
    <w:rsid w:val="00EE08F4"/>
    <w:rsid w:val="00EE16D4"/>
    <w:rsid w:val="00EE1CD8"/>
    <w:rsid w:val="00EE2C87"/>
    <w:rsid w:val="00EE5CDC"/>
    <w:rsid w:val="00EE61A2"/>
    <w:rsid w:val="00EE6DE6"/>
    <w:rsid w:val="00EF0925"/>
    <w:rsid w:val="00EF2CF0"/>
    <w:rsid w:val="00EF4086"/>
    <w:rsid w:val="00EF71AC"/>
    <w:rsid w:val="00F01B72"/>
    <w:rsid w:val="00F024A8"/>
    <w:rsid w:val="00F045B9"/>
    <w:rsid w:val="00F048D1"/>
    <w:rsid w:val="00F106CC"/>
    <w:rsid w:val="00F10CCB"/>
    <w:rsid w:val="00F12904"/>
    <w:rsid w:val="00F12D25"/>
    <w:rsid w:val="00F1516F"/>
    <w:rsid w:val="00F1518C"/>
    <w:rsid w:val="00F153A6"/>
    <w:rsid w:val="00F15F5C"/>
    <w:rsid w:val="00F20845"/>
    <w:rsid w:val="00F22015"/>
    <w:rsid w:val="00F23266"/>
    <w:rsid w:val="00F24A14"/>
    <w:rsid w:val="00F25383"/>
    <w:rsid w:val="00F3081C"/>
    <w:rsid w:val="00F3150F"/>
    <w:rsid w:val="00F3249F"/>
    <w:rsid w:val="00F32F9F"/>
    <w:rsid w:val="00F37276"/>
    <w:rsid w:val="00F37880"/>
    <w:rsid w:val="00F41009"/>
    <w:rsid w:val="00F4301C"/>
    <w:rsid w:val="00F431E3"/>
    <w:rsid w:val="00F43238"/>
    <w:rsid w:val="00F448EC"/>
    <w:rsid w:val="00F44E7C"/>
    <w:rsid w:val="00F46119"/>
    <w:rsid w:val="00F47AD4"/>
    <w:rsid w:val="00F50048"/>
    <w:rsid w:val="00F50545"/>
    <w:rsid w:val="00F506EF"/>
    <w:rsid w:val="00F5140D"/>
    <w:rsid w:val="00F51C6F"/>
    <w:rsid w:val="00F5299F"/>
    <w:rsid w:val="00F53B09"/>
    <w:rsid w:val="00F5528F"/>
    <w:rsid w:val="00F55BB9"/>
    <w:rsid w:val="00F565A3"/>
    <w:rsid w:val="00F56953"/>
    <w:rsid w:val="00F611A5"/>
    <w:rsid w:val="00F64334"/>
    <w:rsid w:val="00F646E9"/>
    <w:rsid w:val="00F648EB"/>
    <w:rsid w:val="00F7103E"/>
    <w:rsid w:val="00F71D35"/>
    <w:rsid w:val="00F7435C"/>
    <w:rsid w:val="00F7744A"/>
    <w:rsid w:val="00F84690"/>
    <w:rsid w:val="00F846E1"/>
    <w:rsid w:val="00F87517"/>
    <w:rsid w:val="00F9119D"/>
    <w:rsid w:val="00F958B9"/>
    <w:rsid w:val="00F973D7"/>
    <w:rsid w:val="00FA1392"/>
    <w:rsid w:val="00FA1B33"/>
    <w:rsid w:val="00FA2818"/>
    <w:rsid w:val="00FA40EA"/>
    <w:rsid w:val="00FA6EC4"/>
    <w:rsid w:val="00FA7C9A"/>
    <w:rsid w:val="00FB1C50"/>
    <w:rsid w:val="00FB25C1"/>
    <w:rsid w:val="00FB33F3"/>
    <w:rsid w:val="00FB3C7F"/>
    <w:rsid w:val="00FB579B"/>
    <w:rsid w:val="00FB6C38"/>
    <w:rsid w:val="00FC0514"/>
    <w:rsid w:val="00FC205C"/>
    <w:rsid w:val="00FC2104"/>
    <w:rsid w:val="00FC2B0D"/>
    <w:rsid w:val="00FC3A87"/>
    <w:rsid w:val="00FC3F37"/>
    <w:rsid w:val="00FC42B6"/>
    <w:rsid w:val="00FC5C06"/>
    <w:rsid w:val="00FC68E2"/>
    <w:rsid w:val="00FD2E1D"/>
    <w:rsid w:val="00FD3AC7"/>
    <w:rsid w:val="00FD505C"/>
    <w:rsid w:val="00FD5421"/>
    <w:rsid w:val="00FD5772"/>
    <w:rsid w:val="00FE3386"/>
    <w:rsid w:val="00FE366A"/>
    <w:rsid w:val="00FE4270"/>
    <w:rsid w:val="00FE4366"/>
    <w:rsid w:val="00FE5BE7"/>
    <w:rsid w:val="00FE7E6F"/>
    <w:rsid w:val="00FF0F52"/>
    <w:rsid w:val="00FF147F"/>
    <w:rsid w:val="00FF1A79"/>
    <w:rsid w:val="00FF1E39"/>
    <w:rsid w:val="00FF1E8D"/>
    <w:rsid w:val="00FF4083"/>
    <w:rsid w:val="00FF4664"/>
    <w:rsid w:val="00FF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."/>
  <w:listSeparator w:val=","/>
  <w14:docId w14:val="37464574"/>
  <w15:docId w15:val="{2ECA58AB-C2CD-4087-B67E-ED6C18698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13EB"/>
    <w:pPr>
      <w:spacing w:before="120" w:after="120" w:line="288" w:lineRule="auto"/>
      <w:jc w:val="both"/>
    </w:pPr>
    <w:rPr>
      <w:sz w:val="18"/>
      <w:lang w:val="sk-SK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41009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bCs/>
      <w:color w:val="62B5E5" w:themeColor="accent3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B0035E"/>
    <w:pPr>
      <w:keepNext/>
      <w:keepLines/>
      <w:spacing w:before="240" w:after="0"/>
      <w:contextualSpacing/>
      <w:outlineLvl w:val="1"/>
    </w:pPr>
    <w:rPr>
      <w:rFonts w:asciiTheme="majorHAnsi" w:eastAsiaTheme="majorEastAsia" w:hAnsiTheme="majorHAnsi" w:cstheme="majorBidi"/>
      <w:b/>
      <w:bC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CC08D4"/>
    <w:pPr>
      <w:keepNext/>
      <w:keepLines/>
      <w:spacing w:before="240" w:after="240"/>
      <w:outlineLvl w:val="2"/>
    </w:pPr>
    <w:rPr>
      <w:rFonts w:asciiTheme="majorHAnsi" w:eastAsiaTheme="majorEastAsia" w:hAnsiTheme="majorHAnsi" w:cstheme="majorBidi"/>
      <w:b/>
      <w:bCs/>
      <w:color w:val="75787B" w:themeColor="accent6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255D53"/>
    <w:pPr>
      <w:keepNext/>
      <w:keepLines/>
      <w:tabs>
        <w:tab w:val="left" w:pos="340"/>
      </w:tabs>
      <w:outlineLvl w:val="3"/>
    </w:pPr>
    <w:rPr>
      <w:rFonts w:asciiTheme="majorHAnsi" w:eastAsiaTheme="majorEastAsia" w:hAnsiTheme="majorHAnsi" w:cstheme="majorBidi"/>
      <w:b/>
      <w:bCs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1009"/>
    <w:rPr>
      <w:rFonts w:asciiTheme="majorHAnsi" w:eastAsiaTheme="majorEastAsia" w:hAnsiTheme="majorHAnsi" w:cstheme="majorBidi"/>
      <w:b/>
      <w:bCs/>
      <w:color w:val="62B5E5" w:themeColor="accent3"/>
      <w:sz w:val="18"/>
      <w:szCs w:val="28"/>
      <w:lang w:val="sk-SK"/>
    </w:rPr>
  </w:style>
  <w:style w:type="character" w:customStyle="1" w:styleId="Heading2Char">
    <w:name w:val="Heading 2 Char"/>
    <w:basedOn w:val="DefaultParagraphFont"/>
    <w:link w:val="Heading2"/>
    <w:uiPriority w:val="9"/>
    <w:rsid w:val="00B0035E"/>
    <w:rPr>
      <w:rFonts w:asciiTheme="majorHAnsi" w:eastAsiaTheme="majorEastAsia" w:hAnsiTheme="majorHAnsi" w:cstheme="majorBidi"/>
      <w:b/>
      <w:bCs/>
      <w:color w:val="000000" w:themeColor="text1"/>
      <w:sz w:val="18"/>
      <w:szCs w:val="26"/>
      <w:lang w:val="sk-SK"/>
    </w:rPr>
  </w:style>
  <w:style w:type="table" w:styleId="TableGrid">
    <w:name w:val="Table Grid"/>
    <w:basedOn w:val="TableNormal"/>
    <w:rsid w:val="001E016B"/>
    <w:pPr>
      <w:spacing w:after="0" w:line="240" w:lineRule="auto"/>
    </w:pPr>
    <w:tblPr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link w:val="HeaderChar"/>
    <w:uiPriority w:val="99"/>
    <w:rsid w:val="008631CE"/>
    <w:pPr>
      <w:tabs>
        <w:tab w:val="center" w:pos="4513"/>
        <w:tab w:val="right" w:pos="9026"/>
      </w:tabs>
      <w:spacing w:after="0" w:line="240" w:lineRule="auto"/>
    </w:pPr>
    <w:rPr>
      <w:b/>
      <w:sz w:val="1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8631CE"/>
    <w:rPr>
      <w:b/>
      <w:sz w:val="14"/>
      <w:lang w:val="en-US"/>
    </w:rPr>
  </w:style>
  <w:style w:type="paragraph" w:styleId="Footer">
    <w:name w:val="footer"/>
    <w:basedOn w:val="Normal"/>
    <w:link w:val="FooterChar"/>
    <w:uiPriority w:val="99"/>
    <w:rsid w:val="001975EF"/>
    <w:pPr>
      <w:tabs>
        <w:tab w:val="right" w:pos="7371"/>
      </w:tabs>
      <w:spacing w:line="200" w:lineRule="atLeast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7550AB"/>
    <w:rPr>
      <w:sz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C702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2C7"/>
    <w:rPr>
      <w:rFonts w:ascii="Tahoma" w:hAnsi="Tahoma" w:cs="Tahoma"/>
      <w:sz w:val="16"/>
      <w:szCs w:val="16"/>
    </w:rPr>
  </w:style>
  <w:style w:type="paragraph" w:customStyle="1" w:styleId="Subject">
    <w:name w:val="Subject"/>
    <w:basedOn w:val="Normal"/>
    <w:semiHidden/>
    <w:qFormat/>
    <w:rsid w:val="00A43B3E"/>
    <w:rPr>
      <w:b/>
    </w:rPr>
  </w:style>
  <w:style w:type="character" w:styleId="PlaceholderText">
    <w:name w:val="Placeholder Text"/>
    <w:basedOn w:val="DefaultParagraphFont"/>
    <w:uiPriority w:val="99"/>
    <w:semiHidden/>
    <w:rsid w:val="001975EF"/>
    <w:rPr>
      <w:color w:val="808080"/>
    </w:rPr>
  </w:style>
  <w:style w:type="paragraph" w:styleId="ListBullet">
    <w:name w:val="List Bullet"/>
    <w:basedOn w:val="Normal"/>
    <w:autoRedefine/>
    <w:uiPriority w:val="99"/>
    <w:qFormat/>
    <w:rsid w:val="004E7BDE"/>
    <w:pPr>
      <w:numPr>
        <w:numId w:val="1"/>
      </w:numPr>
      <w:tabs>
        <w:tab w:val="clear" w:pos="360"/>
      </w:tabs>
      <w:ind w:left="284" w:hanging="284"/>
      <w:contextualSpacing/>
    </w:pPr>
  </w:style>
  <w:style w:type="paragraph" w:styleId="ListBullet2">
    <w:name w:val="List Bullet 2"/>
    <w:basedOn w:val="Normal"/>
    <w:autoRedefine/>
    <w:uiPriority w:val="99"/>
    <w:qFormat/>
    <w:rsid w:val="004E7BDE"/>
    <w:pPr>
      <w:numPr>
        <w:numId w:val="2"/>
      </w:numPr>
      <w:ind w:left="568" w:hanging="284"/>
      <w:contextualSpacing/>
    </w:pPr>
  </w:style>
  <w:style w:type="paragraph" w:styleId="ListNumber">
    <w:name w:val="List Number"/>
    <w:basedOn w:val="Normal"/>
    <w:autoRedefine/>
    <w:uiPriority w:val="99"/>
    <w:qFormat/>
    <w:rsid w:val="004E7BDE"/>
    <w:pPr>
      <w:numPr>
        <w:numId w:val="3"/>
      </w:numPr>
      <w:tabs>
        <w:tab w:val="clear" w:pos="360"/>
      </w:tabs>
      <w:ind w:left="284" w:hanging="284"/>
      <w:contextualSpacing/>
    </w:pPr>
  </w:style>
  <w:style w:type="paragraph" w:styleId="ListNumber2">
    <w:name w:val="List Number 2"/>
    <w:basedOn w:val="Normal"/>
    <w:uiPriority w:val="99"/>
    <w:qFormat/>
    <w:rsid w:val="004E7BDE"/>
    <w:pPr>
      <w:numPr>
        <w:numId w:val="4"/>
      </w:numPr>
      <w:ind w:left="568" w:hanging="284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C08D4"/>
    <w:rPr>
      <w:rFonts w:asciiTheme="majorHAnsi" w:eastAsiaTheme="majorEastAsia" w:hAnsiTheme="majorHAnsi" w:cstheme="majorBidi"/>
      <w:b/>
      <w:bCs/>
      <w:color w:val="75787B" w:themeColor="accent6"/>
      <w:sz w:val="18"/>
      <w:lang w:val="sk-SK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50AB"/>
    <w:rPr>
      <w:rFonts w:asciiTheme="majorHAnsi" w:eastAsiaTheme="majorEastAsia" w:hAnsiTheme="majorHAnsi" w:cstheme="majorBidi"/>
      <w:b/>
      <w:bCs/>
      <w:iCs/>
      <w:color w:val="000000" w:themeColor="text1"/>
      <w:sz w:val="18"/>
      <w:lang w:val="en-US"/>
    </w:rPr>
  </w:style>
  <w:style w:type="paragraph" w:styleId="FootnoteText">
    <w:name w:val="footnote text"/>
    <w:aliases w:val="Text poznámky pod čiarou 007,_Poznámka pod čiarou,Text poznámky pod èiarou 007,Stinking Styles2,Tekst przypisu- dokt,Char Char Char,Char Char Char Char Char Char Char Char Char,Char Char Ch,Car"/>
    <w:basedOn w:val="Normal"/>
    <w:link w:val="FootnoteTextChar"/>
    <w:uiPriority w:val="99"/>
    <w:rsid w:val="00F3081C"/>
    <w:rPr>
      <w:sz w:val="16"/>
      <w:szCs w:val="20"/>
    </w:rPr>
  </w:style>
  <w:style w:type="character" w:customStyle="1" w:styleId="FootnoteTextChar">
    <w:name w:val="Footnote Text Char"/>
    <w:aliases w:val="Text poznámky pod čiarou 007 Char,_Poznámka pod čiarou Char,Text poznámky pod èiarou 007 Char,Stinking Styles2 Char,Tekst przypisu- dokt Char,Char Char Char Char,Char Char Char Char Char Char Char Char Char Char,Char Char Ch Char"/>
    <w:basedOn w:val="DefaultParagraphFont"/>
    <w:link w:val="FootnoteText"/>
    <w:uiPriority w:val="99"/>
    <w:rsid w:val="007550AB"/>
    <w:rPr>
      <w:sz w:val="16"/>
      <w:szCs w:val="20"/>
      <w:lang w:val="en-US"/>
    </w:rPr>
  </w:style>
  <w:style w:type="paragraph" w:customStyle="1" w:styleId="Documenttitle">
    <w:name w:val="Document title"/>
    <w:next w:val="Documentsubtitle"/>
    <w:qFormat/>
    <w:rsid w:val="00A7281A"/>
    <w:pPr>
      <w:spacing w:after="0" w:line="440" w:lineRule="atLeast"/>
    </w:pPr>
    <w:rPr>
      <w:rFonts w:asciiTheme="majorHAnsi" w:eastAsiaTheme="majorEastAsia" w:hAnsiTheme="majorHAnsi" w:cstheme="majorBidi"/>
      <w:b/>
      <w:bCs/>
      <w:color w:val="000000" w:themeColor="text1"/>
      <w:sz w:val="36"/>
      <w:szCs w:val="28"/>
    </w:rPr>
  </w:style>
  <w:style w:type="paragraph" w:customStyle="1" w:styleId="Subheading">
    <w:name w:val="Subheading"/>
    <w:basedOn w:val="Normal"/>
    <w:next w:val="Normal"/>
    <w:semiHidden/>
    <w:qFormat/>
    <w:rsid w:val="00D236E8"/>
    <w:rPr>
      <w:rFonts w:asciiTheme="majorHAnsi" w:eastAsiaTheme="majorEastAsia" w:hAnsiTheme="majorHAnsi" w:cstheme="majorBidi"/>
      <w:b/>
      <w:bCs/>
      <w:iCs/>
      <w:color w:val="000000" w:themeColor="text1"/>
    </w:rPr>
  </w:style>
  <w:style w:type="character" w:styleId="FootnoteReference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,Ref"/>
    <w:basedOn w:val="DefaultParagraphFont"/>
    <w:uiPriority w:val="99"/>
    <w:rsid w:val="00412EA0"/>
    <w:rPr>
      <w:vertAlign w:val="superscript"/>
    </w:rPr>
  </w:style>
  <w:style w:type="paragraph" w:customStyle="1" w:styleId="Sectionintro">
    <w:name w:val="Section intro"/>
    <w:basedOn w:val="Normal"/>
    <w:next w:val="Normal"/>
    <w:autoRedefine/>
    <w:qFormat/>
    <w:rsid w:val="004E7BDE"/>
    <w:rPr>
      <w:sz w:val="28"/>
    </w:rPr>
  </w:style>
  <w:style w:type="paragraph" w:customStyle="1" w:styleId="Documentdate">
    <w:name w:val="Document date"/>
    <w:qFormat/>
    <w:rsid w:val="007550AB"/>
    <w:pPr>
      <w:spacing w:after="0" w:line="240" w:lineRule="atLeast"/>
    </w:pPr>
    <w:rPr>
      <w:sz w:val="18"/>
      <w:lang w:val="en-US"/>
    </w:rPr>
  </w:style>
  <w:style w:type="paragraph" w:customStyle="1" w:styleId="Sectiontitle">
    <w:name w:val="Section title"/>
    <w:basedOn w:val="Normal"/>
    <w:next w:val="Normal"/>
    <w:link w:val="SectiontitleChar"/>
    <w:qFormat/>
    <w:rsid w:val="00EE61A2"/>
    <w:pPr>
      <w:spacing w:after="480" w:line="720" w:lineRule="atLeast"/>
    </w:pPr>
    <w:rPr>
      <w:sz w:val="60"/>
    </w:rPr>
  </w:style>
  <w:style w:type="paragraph" w:customStyle="1" w:styleId="PulloutBlue">
    <w:name w:val="Pullout Blue"/>
    <w:basedOn w:val="Normal"/>
    <w:next w:val="Normal"/>
    <w:qFormat/>
    <w:rsid w:val="00DD5A1B"/>
    <w:pPr>
      <w:spacing w:line="360" w:lineRule="atLeast"/>
    </w:pPr>
    <w:rPr>
      <w:color w:val="62B5E5" w:themeColor="accent3"/>
      <w:sz w:val="28"/>
    </w:rPr>
  </w:style>
  <w:style w:type="paragraph" w:customStyle="1" w:styleId="Contacttext">
    <w:name w:val="Contact text"/>
    <w:basedOn w:val="Normal"/>
    <w:qFormat/>
    <w:rsid w:val="00D7732D"/>
  </w:style>
  <w:style w:type="paragraph" w:customStyle="1" w:styleId="Contactus">
    <w:name w:val="Contact us"/>
    <w:basedOn w:val="Contacttext"/>
    <w:next w:val="Contacttext"/>
    <w:qFormat/>
    <w:rsid w:val="00D7732D"/>
    <w:pPr>
      <w:spacing w:after="240" w:line="340" w:lineRule="atLeast"/>
    </w:pPr>
    <w:rPr>
      <w:sz w:val="28"/>
    </w:rPr>
  </w:style>
  <w:style w:type="paragraph" w:styleId="Caption">
    <w:name w:val="caption"/>
    <w:basedOn w:val="Normal"/>
    <w:next w:val="Normal"/>
    <w:uiPriority w:val="35"/>
    <w:qFormat/>
    <w:rsid w:val="00B46969"/>
    <w:pPr>
      <w:keepNext/>
    </w:pPr>
    <w:rPr>
      <w:iCs/>
      <w:color w:val="75787B" w:themeColor="accent6"/>
      <w:sz w:val="17"/>
      <w:szCs w:val="18"/>
    </w:rPr>
  </w:style>
  <w:style w:type="character" w:styleId="Hyperlink">
    <w:name w:val="Hyperlink"/>
    <w:basedOn w:val="DefaultParagraphFont"/>
    <w:uiPriority w:val="99"/>
    <w:unhideWhenUsed/>
    <w:rsid w:val="00E94C20"/>
    <w:rPr>
      <w:color w:val="00A3E0" w:themeColor="hyperlink"/>
      <w:u w:val="single"/>
    </w:rPr>
  </w:style>
  <w:style w:type="paragraph" w:customStyle="1" w:styleId="PulloutGreen">
    <w:name w:val="Pullout Green"/>
    <w:basedOn w:val="PulloutBlue"/>
    <w:next w:val="Normal"/>
    <w:autoRedefine/>
    <w:qFormat/>
    <w:rsid w:val="004E7BDE"/>
    <w:pPr>
      <w:spacing w:line="240" w:lineRule="auto"/>
    </w:pPr>
    <w:rPr>
      <w:color w:val="86BC25" w:themeColor="accent1"/>
    </w:rPr>
  </w:style>
  <w:style w:type="paragraph" w:customStyle="1" w:styleId="QuotesourceBlue">
    <w:name w:val="Quote source Blue"/>
    <w:basedOn w:val="Normal"/>
    <w:next w:val="Normal"/>
    <w:qFormat/>
    <w:rsid w:val="000516C4"/>
    <w:pPr>
      <w:spacing w:line="200" w:lineRule="atLeast"/>
      <w:contextualSpacing/>
    </w:pPr>
    <w:rPr>
      <w:b/>
      <w:color w:val="62B5E5" w:themeColor="accent3"/>
      <w:sz w:val="17"/>
    </w:rPr>
  </w:style>
  <w:style w:type="paragraph" w:customStyle="1" w:styleId="QuotesourceGreen">
    <w:name w:val="Quote source Green"/>
    <w:basedOn w:val="QuotesourceBlue"/>
    <w:next w:val="Normal"/>
    <w:qFormat/>
    <w:rsid w:val="007B4261"/>
    <w:rPr>
      <w:color w:val="86BC25" w:themeColor="accent1"/>
    </w:rPr>
  </w:style>
  <w:style w:type="paragraph" w:customStyle="1" w:styleId="Paneltext">
    <w:name w:val="Panel text"/>
    <w:basedOn w:val="Normal"/>
    <w:qFormat/>
    <w:rsid w:val="00AE0FC7"/>
    <w:rPr>
      <w:color w:val="FFFFFF" w:themeColor="background1"/>
      <w:sz w:val="17"/>
    </w:rPr>
  </w:style>
  <w:style w:type="paragraph" w:customStyle="1" w:styleId="Paneltitle">
    <w:name w:val="Panel title"/>
    <w:basedOn w:val="Paneltext"/>
    <w:next w:val="Paneltext"/>
    <w:qFormat/>
    <w:rsid w:val="00D0023B"/>
    <w:pPr>
      <w:spacing w:line="360" w:lineRule="atLeast"/>
    </w:pPr>
    <w:rPr>
      <w:b/>
      <w:sz w:val="28"/>
    </w:rPr>
  </w:style>
  <w:style w:type="paragraph" w:customStyle="1" w:styleId="Formoreinfocalloutwhite8512ptPullOutStyles">
    <w:name w:val="For more info call out (white 8.5/12pt) (Pull Out Styles)"/>
    <w:basedOn w:val="Normal"/>
    <w:uiPriority w:val="99"/>
    <w:rsid w:val="00AE0FC7"/>
    <w:pPr>
      <w:tabs>
        <w:tab w:val="left" w:pos="283"/>
        <w:tab w:val="left" w:pos="567"/>
      </w:tabs>
      <w:suppressAutoHyphens/>
      <w:autoSpaceDE w:val="0"/>
      <w:autoSpaceDN w:val="0"/>
      <w:adjustRightInd w:val="0"/>
      <w:textAlignment w:val="center"/>
    </w:pPr>
    <w:rPr>
      <w:rFonts w:ascii="OpenSans-Bold" w:hAnsi="OpenSans-Bold" w:cs="OpenSans-Bold"/>
      <w:b/>
      <w:bCs/>
      <w:color w:val="FFFFFF"/>
      <w:spacing w:val="-2"/>
      <w:sz w:val="17"/>
      <w:szCs w:val="17"/>
    </w:rPr>
  </w:style>
  <w:style w:type="paragraph" w:customStyle="1" w:styleId="Documentsubtitle">
    <w:name w:val="Document subtitle"/>
    <w:basedOn w:val="Normal"/>
    <w:qFormat/>
    <w:rsid w:val="006528C9"/>
    <w:pPr>
      <w:spacing w:line="440" w:lineRule="atLeast"/>
    </w:pPr>
    <w:rPr>
      <w:sz w:val="36"/>
    </w:rPr>
  </w:style>
  <w:style w:type="paragraph" w:customStyle="1" w:styleId="Contentstitle">
    <w:name w:val="Contents title"/>
    <w:basedOn w:val="Sectiontitle"/>
    <w:next w:val="Normal"/>
    <w:autoRedefine/>
    <w:qFormat/>
    <w:rsid w:val="00244010"/>
  </w:style>
  <w:style w:type="paragraph" w:styleId="TOC1">
    <w:name w:val="toc 1"/>
    <w:basedOn w:val="Normal"/>
    <w:next w:val="Normal"/>
    <w:autoRedefine/>
    <w:uiPriority w:val="39"/>
    <w:rsid w:val="00DC7AC4"/>
    <w:pPr>
      <w:spacing w:line="360" w:lineRule="atLeast"/>
      <w:ind w:right="84"/>
    </w:pPr>
    <w:rPr>
      <w:sz w:val="28"/>
    </w:rPr>
  </w:style>
  <w:style w:type="paragraph" w:customStyle="1" w:styleId="Quotetext">
    <w:name w:val="Quote text"/>
    <w:basedOn w:val="PulloutBlue"/>
    <w:autoRedefine/>
    <w:qFormat/>
    <w:rsid w:val="00A70055"/>
    <w:pPr>
      <w:spacing w:line="240" w:lineRule="auto"/>
    </w:pPr>
    <w:rPr>
      <w:color w:val="FFFFFF" w:themeColor="background1"/>
      <w:sz w:val="18"/>
    </w:rPr>
  </w:style>
  <w:style w:type="paragraph" w:customStyle="1" w:styleId="Legaltext">
    <w:name w:val="Legal text"/>
    <w:basedOn w:val="Normal"/>
    <w:qFormat/>
    <w:rsid w:val="00BF6F8B"/>
    <w:pPr>
      <w:spacing w:line="180" w:lineRule="atLeast"/>
      <w:ind w:right="5387"/>
    </w:pPr>
    <w:rPr>
      <w:sz w:val="14"/>
    </w:rPr>
  </w:style>
  <w:style w:type="table" w:customStyle="1" w:styleId="Deloittetable">
    <w:name w:val="Deloitte table"/>
    <w:basedOn w:val="TableNormal"/>
    <w:uiPriority w:val="99"/>
    <w:rsid w:val="003B3379"/>
    <w:pPr>
      <w:spacing w:after="0" w:line="240" w:lineRule="auto"/>
    </w:pPr>
    <w:rPr>
      <w:sz w:val="17"/>
    </w:rPr>
    <w:tblPr>
      <w:tblBorders>
        <w:top w:val="single" w:sz="4" w:space="0" w:color="62B5E5" w:themeColor="accent3"/>
        <w:bottom w:val="single" w:sz="4" w:space="0" w:color="000000" w:themeColor="text1"/>
        <w:insideH w:val="single" w:sz="4" w:space="0" w:color="000000" w:themeColor="text1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tblPr/>
      <w:tcPr>
        <w:tcBorders>
          <w:top w:val="single" w:sz="24" w:space="0" w:color="62B5E5" w:themeColor="accent3"/>
        </w:tcBorders>
      </w:tcPr>
    </w:tblStylePr>
  </w:style>
  <w:style w:type="paragraph" w:customStyle="1" w:styleId="Tabletext">
    <w:name w:val="Table text"/>
    <w:basedOn w:val="Normal"/>
    <w:qFormat/>
    <w:rsid w:val="004D1F57"/>
    <w:pPr>
      <w:spacing w:line="200" w:lineRule="atLeast"/>
    </w:pPr>
    <w:rPr>
      <w:sz w:val="17"/>
    </w:rPr>
  </w:style>
  <w:style w:type="paragraph" w:customStyle="1" w:styleId="Tabletitle">
    <w:name w:val="Table title"/>
    <w:basedOn w:val="Tabletext"/>
    <w:qFormat/>
    <w:rsid w:val="004D1F57"/>
    <w:rPr>
      <w:b/>
      <w:color w:val="62B5E5" w:themeColor="accent3"/>
    </w:rPr>
  </w:style>
  <w:style w:type="paragraph" w:customStyle="1" w:styleId="SourcetextTableorChart">
    <w:name w:val="Source text Table or Chart"/>
    <w:basedOn w:val="Caption"/>
    <w:next w:val="Normal"/>
    <w:qFormat/>
    <w:rsid w:val="003B3379"/>
    <w:rPr>
      <w:sz w:val="14"/>
    </w:rPr>
  </w:style>
  <w:style w:type="paragraph" w:customStyle="1" w:styleId="Tablebullets">
    <w:name w:val="Table bullets"/>
    <w:basedOn w:val="Tabletext"/>
    <w:qFormat/>
    <w:rsid w:val="00DB4410"/>
    <w:pPr>
      <w:framePr w:hSpace="180" w:wrap="around" w:vAnchor="text" w:hAnchor="text" w:y="1"/>
      <w:numPr>
        <w:numId w:val="5"/>
      </w:numPr>
      <w:ind w:left="284" w:hanging="284"/>
      <w:suppressOverlap/>
    </w:pPr>
  </w:style>
  <w:style w:type="paragraph" w:customStyle="1" w:styleId="Tablenumbered">
    <w:name w:val="Table numbered"/>
    <w:basedOn w:val="Tabletext"/>
    <w:qFormat/>
    <w:rsid w:val="00DB4410"/>
    <w:pPr>
      <w:framePr w:hSpace="180" w:wrap="around" w:vAnchor="text" w:hAnchor="text" w:y="1"/>
      <w:numPr>
        <w:numId w:val="6"/>
      </w:numPr>
      <w:ind w:left="284" w:hanging="284"/>
      <w:suppressOverlap/>
    </w:pPr>
  </w:style>
  <w:style w:type="paragraph" w:customStyle="1" w:styleId="Charttitle">
    <w:name w:val="Chart title"/>
    <w:basedOn w:val="Heading2"/>
    <w:qFormat/>
    <w:rsid w:val="009E24F0"/>
    <w:pPr>
      <w:framePr w:hSpace="181" w:wrap="around" w:vAnchor="text" w:hAnchor="text" w:y="1"/>
      <w:suppressOverlap/>
    </w:pPr>
  </w:style>
  <w:style w:type="table" w:customStyle="1" w:styleId="Style1">
    <w:name w:val="Style1"/>
    <w:basedOn w:val="TableNormal"/>
    <w:rsid w:val="008F3793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/>
  </w:style>
  <w:style w:type="paragraph" w:styleId="ListParagraph">
    <w:name w:val="List Paragraph"/>
    <w:aliases w:val="body,Odsek zoznamu2,A-Odrážky1,Odstavec_muj,Nad,_Odstavec se seznamem,Odstavec_muj1,Odstavec_muj2,Odstavec_muj3,Nad1,Odstavec_muj4,Nad2,List Paragraph2,Odstavec_muj5,Odstavec_muj6,Odstavec_muj7,Odstavec_muj8,Odstavec_muj9,List Paragraph1"/>
    <w:basedOn w:val="Normal"/>
    <w:link w:val="ListParagraphChar"/>
    <w:uiPriority w:val="34"/>
    <w:qFormat/>
    <w:rsid w:val="00B0035E"/>
    <w:rPr>
      <w:rFonts w:ascii="Verdana" w:eastAsia="Times New Roman" w:hAnsi="Verdana" w:cs="Times New Roman"/>
      <w:szCs w:val="24"/>
      <w:lang w:eastAsia="sk-SK"/>
    </w:rPr>
  </w:style>
  <w:style w:type="table" w:customStyle="1" w:styleId="Svetlzoznamzvraznenie11">
    <w:name w:val="Svetlý zoznam – zvýraznenie 11"/>
    <w:basedOn w:val="TableNormal"/>
    <w:uiPriority w:val="61"/>
    <w:rsid w:val="00F32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 w:eastAsia="sk-SK"/>
    </w:rPr>
    <w:tblPr>
      <w:tblStyleRowBandSize w:val="1"/>
      <w:tblStyleColBandSize w:val="1"/>
      <w:tblBorders>
        <w:top w:val="single" w:sz="8" w:space="0" w:color="86BC25" w:themeColor="accent1"/>
        <w:left w:val="single" w:sz="8" w:space="0" w:color="86BC25" w:themeColor="accent1"/>
        <w:bottom w:val="single" w:sz="8" w:space="0" w:color="86BC25" w:themeColor="accent1"/>
        <w:right w:val="single" w:sz="8" w:space="0" w:color="86BC2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6BC2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6BC25" w:themeColor="accent1"/>
          <w:left w:val="single" w:sz="8" w:space="0" w:color="86BC25" w:themeColor="accent1"/>
          <w:bottom w:val="single" w:sz="8" w:space="0" w:color="86BC25" w:themeColor="accent1"/>
          <w:right w:val="single" w:sz="8" w:space="0" w:color="86BC2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BC25" w:themeColor="accent1"/>
          <w:left w:val="single" w:sz="8" w:space="0" w:color="86BC25" w:themeColor="accent1"/>
          <w:bottom w:val="single" w:sz="8" w:space="0" w:color="86BC25" w:themeColor="accent1"/>
          <w:right w:val="single" w:sz="8" w:space="0" w:color="86BC25" w:themeColor="accent1"/>
        </w:tcBorders>
      </w:tcPr>
    </w:tblStylePr>
    <w:tblStylePr w:type="band1Horz">
      <w:tblPr/>
      <w:tcPr>
        <w:tcBorders>
          <w:top w:val="single" w:sz="8" w:space="0" w:color="86BC25" w:themeColor="accent1"/>
          <w:left w:val="single" w:sz="8" w:space="0" w:color="86BC25" w:themeColor="accent1"/>
          <w:bottom w:val="single" w:sz="8" w:space="0" w:color="86BC25" w:themeColor="accent1"/>
          <w:right w:val="single" w:sz="8" w:space="0" w:color="86BC25" w:themeColor="accent1"/>
        </w:tcBorders>
      </w:tcPr>
    </w:tblStylePr>
  </w:style>
  <w:style w:type="paragraph" w:customStyle="1" w:styleId="06Normal">
    <w:name w:val="06_Normal"/>
    <w:link w:val="06NormalChar"/>
    <w:qFormat/>
    <w:rsid w:val="00F846E1"/>
    <w:pPr>
      <w:spacing w:before="120" w:after="120" w:line="288" w:lineRule="auto"/>
      <w:jc w:val="both"/>
    </w:pPr>
    <w:rPr>
      <w:rFonts w:ascii="Verdana" w:eastAsia="Times New Roman" w:hAnsi="Verdana" w:cs="Times New Roman"/>
      <w:sz w:val="18"/>
      <w:szCs w:val="20"/>
      <w:lang w:val="sk-SK"/>
    </w:rPr>
  </w:style>
  <w:style w:type="character" w:customStyle="1" w:styleId="06NormalChar">
    <w:name w:val="06_Normal Char"/>
    <w:link w:val="06Normal"/>
    <w:rsid w:val="00F846E1"/>
    <w:rPr>
      <w:rFonts w:ascii="Verdana" w:eastAsia="Times New Roman" w:hAnsi="Verdana" w:cs="Times New Roman"/>
      <w:sz w:val="18"/>
      <w:szCs w:val="20"/>
      <w:lang w:val="sk-SK"/>
    </w:rPr>
  </w:style>
  <w:style w:type="character" w:customStyle="1" w:styleId="ListParagraphChar">
    <w:name w:val="List Paragraph Char"/>
    <w:aliases w:val="body Char,Odsek zoznamu2 Char,A-Odrážky1 Char,Odstavec_muj Char,Nad Char,_Odstavec se seznamem Char,Odstavec_muj1 Char,Odstavec_muj2 Char,Odstavec_muj3 Char,Nad1 Char,Odstavec_muj4 Char,Nad2 Char,List Paragraph2 Char"/>
    <w:basedOn w:val="DefaultParagraphFont"/>
    <w:link w:val="ListParagraph"/>
    <w:uiPriority w:val="34"/>
    <w:qFormat/>
    <w:rsid w:val="00B0035E"/>
    <w:rPr>
      <w:rFonts w:ascii="Verdana" w:eastAsia="Times New Roman" w:hAnsi="Verdana" w:cs="Times New Roman"/>
      <w:sz w:val="18"/>
      <w:szCs w:val="24"/>
      <w:lang w:val="sk-SK" w:eastAsia="sk-SK"/>
    </w:rPr>
  </w:style>
  <w:style w:type="table" w:styleId="ListTable3-Accent1">
    <w:name w:val="List Table 3 Accent 1"/>
    <w:basedOn w:val="TableNormal"/>
    <w:uiPriority w:val="48"/>
    <w:rsid w:val="00F50048"/>
    <w:pPr>
      <w:spacing w:after="0" w:line="240" w:lineRule="auto"/>
    </w:pPr>
    <w:rPr>
      <w:rFonts w:ascii="Verdana" w:eastAsia="Verdana" w:hAnsi="Verdana" w:cs="Times New Roman"/>
      <w:sz w:val="20"/>
      <w:szCs w:val="20"/>
      <w:lang w:val="cs-CZ" w:eastAsia="cs-CZ"/>
    </w:rPr>
    <w:tblPr>
      <w:tblStyleRowBandSize w:val="1"/>
      <w:tblStyleColBandSize w:val="1"/>
      <w:tblBorders>
        <w:top w:val="single" w:sz="4" w:space="0" w:color="86BC25" w:themeColor="accent1"/>
        <w:left w:val="single" w:sz="4" w:space="0" w:color="86BC25" w:themeColor="accent1"/>
        <w:bottom w:val="single" w:sz="4" w:space="0" w:color="86BC25" w:themeColor="accent1"/>
        <w:right w:val="single" w:sz="4" w:space="0" w:color="86BC2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6BC25" w:themeFill="accent1"/>
      </w:tcPr>
    </w:tblStylePr>
    <w:tblStylePr w:type="lastRow">
      <w:rPr>
        <w:b/>
        <w:bCs/>
      </w:rPr>
      <w:tblPr/>
      <w:tcPr>
        <w:tcBorders>
          <w:top w:val="double" w:sz="4" w:space="0" w:color="86BC2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6BC25" w:themeColor="accent1"/>
          <w:right w:val="single" w:sz="4" w:space="0" w:color="86BC25" w:themeColor="accent1"/>
        </w:tcBorders>
      </w:tcPr>
    </w:tblStylePr>
    <w:tblStylePr w:type="band1Horz">
      <w:tblPr/>
      <w:tcPr>
        <w:tcBorders>
          <w:top w:val="single" w:sz="4" w:space="0" w:color="86BC25" w:themeColor="accent1"/>
          <w:bottom w:val="single" w:sz="4" w:space="0" w:color="86BC2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6BC25" w:themeColor="accent1"/>
          <w:left w:val="nil"/>
        </w:tcBorders>
      </w:tcPr>
    </w:tblStylePr>
    <w:tblStylePr w:type="swCell">
      <w:tblPr/>
      <w:tcPr>
        <w:tcBorders>
          <w:top w:val="double" w:sz="4" w:space="0" w:color="86BC25" w:themeColor="accent1"/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500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00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0048"/>
    <w:rPr>
      <w:sz w:val="20"/>
      <w:szCs w:val="20"/>
      <w:lang w:val="en-US"/>
    </w:rPr>
  </w:style>
  <w:style w:type="paragraph" w:customStyle="1" w:styleId="Style30">
    <w:name w:val="Style30"/>
    <w:basedOn w:val="Normal"/>
    <w:uiPriority w:val="99"/>
    <w:rsid w:val="00F5004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3"/>
      <w:szCs w:val="24"/>
      <w:lang w:eastAsia="sk-SK"/>
    </w:rPr>
  </w:style>
  <w:style w:type="table" w:styleId="GridTable1Light-Accent1">
    <w:name w:val="Grid Table 1 Light Accent 1"/>
    <w:basedOn w:val="TableNormal"/>
    <w:uiPriority w:val="46"/>
    <w:rsid w:val="00F41009"/>
    <w:pPr>
      <w:spacing w:after="0" w:line="240" w:lineRule="auto"/>
    </w:pPr>
    <w:tblPr>
      <w:tblStyleRowBandSize w:val="1"/>
      <w:tblStyleColBandSize w:val="1"/>
      <w:tblBorders>
        <w:top w:val="single" w:sz="4" w:space="0" w:color="D0EC9F" w:themeColor="accent1" w:themeTint="66"/>
        <w:left w:val="single" w:sz="4" w:space="0" w:color="D0EC9F" w:themeColor="accent1" w:themeTint="66"/>
        <w:bottom w:val="single" w:sz="4" w:space="0" w:color="D0EC9F" w:themeColor="accent1" w:themeTint="66"/>
        <w:right w:val="single" w:sz="4" w:space="0" w:color="D0EC9F" w:themeColor="accent1" w:themeTint="66"/>
        <w:insideH w:val="single" w:sz="4" w:space="0" w:color="D0EC9F" w:themeColor="accent1" w:themeTint="66"/>
        <w:insideV w:val="single" w:sz="4" w:space="0" w:color="D0EC9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9E37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9E37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4">
    <w:name w:val="Plain Table 4"/>
    <w:basedOn w:val="TableNormal"/>
    <w:uiPriority w:val="44"/>
    <w:rsid w:val="00F4100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4260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SectiontitleChar">
    <w:name w:val="Section title Char"/>
    <w:basedOn w:val="DefaultParagraphFont"/>
    <w:link w:val="Sectiontitle"/>
    <w:rsid w:val="000A39BD"/>
    <w:rPr>
      <w:sz w:val="60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16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16A1"/>
    <w:rPr>
      <w:b/>
      <w:bCs/>
      <w:sz w:val="20"/>
      <w:szCs w:val="20"/>
      <w:lang w:val="sk-SK"/>
    </w:rPr>
  </w:style>
  <w:style w:type="paragraph" w:styleId="TableofFigures">
    <w:name w:val="table of figures"/>
    <w:basedOn w:val="Normal"/>
    <w:next w:val="Normal"/>
    <w:uiPriority w:val="99"/>
    <w:unhideWhenUsed/>
    <w:rsid w:val="00BB0829"/>
    <w:pPr>
      <w:spacing w:after="0"/>
    </w:pPr>
  </w:style>
  <w:style w:type="paragraph" w:styleId="TOCHeading">
    <w:name w:val="TOC Heading"/>
    <w:basedOn w:val="Heading1"/>
    <w:next w:val="Normal"/>
    <w:uiPriority w:val="39"/>
    <w:unhideWhenUsed/>
    <w:qFormat/>
    <w:rsid w:val="006C392F"/>
    <w:pPr>
      <w:spacing w:after="0" w:line="259" w:lineRule="auto"/>
      <w:jc w:val="left"/>
      <w:outlineLvl w:val="9"/>
    </w:pPr>
    <w:rPr>
      <w:b w:val="0"/>
      <w:bCs w:val="0"/>
      <w:color w:val="638C1B" w:themeColor="accent1" w:themeShade="BF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6C392F"/>
    <w:pPr>
      <w:spacing w:after="100"/>
      <w:ind w:left="180"/>
    </w:pPr>
  </w:style>
  <w:style w:type="paragraph" w:styleId="TOC3">
    <w:name w:val="toc 3"/>
    <w:basedOn w:val="Normal"/>
    <w:next w:val="Normal"/>
    <w:autoRedefine/>
    <w:uiPriority w:val="39"/>
    <w:unhideWhenUsed/>
    <w:rsid w:val="00B57491"/>
    <w:pPr>
      <w:spacing w:before="0" w:after="100" w:line="259" w:lineRule="auto"/>
      <w:ind w:left="440"/>
      <w:jc w:val="left"/>
    </w:pPr>
    <w:rPr>
      <w:rFonts w:eastAsiaTheme="minorEastAsia" w:cs="Times New Roman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95F15"/>
    <w:rPr>
      <w:color w:val="53565A" w:themeColor="followedHyperlink"/>
      <w:u w:val="single"/>
    </w:rPr>
  </w:style>
  <w:style w:type="table" w:styleId="ListTable3-Accent6">
    <w:name w:val="List Table 3 Accent 6"/>
    <w:basedOn w:val="TableNormal"/>
    <w:uiPriority w:val="48"/>
    <w:rsid w:val="006E0085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5787B" w:themeColor="accent6"/>
        <w:left w:val="single" w:sz="4" w:space="0" w:color="75787B" w:themeColor="accent6"/>
        <w:bottom w:val="single" w:sz="4" w:space="0" w:color="75787B" w:themeColor="accent6"/>
        <w:right w:val="single" w:sz="4" w:space="0" w:color="75787B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5787B" w:themeFill="accent6"/>
      </w:tcPr>
    </w:tblStylePr>
    <w:tblStylePr w:type="lastRow">
      <w:rPr>
        <w:b/>
        <w:bCs/>
      </w:rPr>
      <w:tblPr/>
      <w:tcPr>
        <w:tcBorders>
          <w:top w:val="double" w:sz="4" w:space="0" w:color="75787B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5787B" w:themeColor="accent6"/>
          <w:right w:val="single" w:sz="4" w:space="0" w:color="75787B" w:themeColor="accent6"/>
        </w:tcBorders>
      </w:tcPr>
    </w:tblStylePr>
    <w:tblStylePr w:type="band1Horz">
      <w:tblPr/>
      <w:tcPr>
        <w:tcBorders>
          <w:top w:val="single" w:sz="4" w:space="0" w:color="75787B" w:themeColor="accent6"/>
          <w:bottom w:val="single" w:sz="4" w:space="0" w:color="75787B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5787B" w:themeColor="accent6"/>
          <w:left w:val="nil"/>
        </w:tcBorders>
      </w:tcPr>
    </w:tblStylePr>
    <w:tblStylePr w:type="swCell">
      <w:tblPr/>
      <w:tcPr>
        <w:tcBorders>
          <w:top w:val="double" w:sz="4" w:space="0" w:color="75787B" w:themeColor="accent6"/>
          <w:right w:val="nil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981061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81061"/>
    <w:rPr>
      <w:sz w:val="20"/>
      <w:szCs w:val="20"/>
      <w:lang w:val="sk-SK"/>
    </w:rPr>
  </w:style>
  <w:style w:type="character" w:styleId="EndnoteReference">
    <w:name w:val="endnote reference"/>
    <w:basedOn w:val="DefaultParagraphFont"/>
    <w:uiPriority w:val="99"/>
    <w:semiHidden/>
    <w:unhideWhenUsed/>
    <w:rsid w:val="00981061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5B2C79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840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41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okovania.gov.sk/RVL/Material/23625/1" TargetMode="External"/></Relationships>
</file>

<file path=word/theme/theme1.xml><?xml version="1.0" encoding="utf-8"?>
<a:theme xmlns:a="http://schemas.openxmlformats.org/drawingml/2006/main" name="Office Theme">
  <a:themeElements>
    <a:clrScheme name="Deloitte colors">
      <a:dk1>
        <a:sysClr val="windowText" lastClr="000000"/>
      </a:dk1>
      <a:lt1>
        <a:sysClr val="window" lastClr="FFFFFF"/>
      </a:lt1>
      <a:dk2>
        <a:srgbClr val="53565A"/>
      </a:dk2>
      <a:lt2>
        <a:srgbClr val="D0D0CE"/>
      </a:lt2>
      <a:accent1>
        <a:srgbClr val="86BC25"/>
      </a:accent1>
      <a:accent2>
        <a:srgbClr val="046A38"/>
      </a:accent2>
      <a:accent3>
        <a:srgbClr val="62B5E5"/>
      </a:accent3>
      <a:accent4>
        <a:srgbClr val="012169"/>
      </a:accent4>
      <a:accent5>
        <a:srgbClr val="0097A9"/>
      </a:accent5>
      <a:accent6>
        <a:srgbClr val="75787B"/>
      </a:accent6>
      <a:hlink>
        <a:srgbClr val="00A3E0"/>
      </a:hlink>
      <a:folHlink>
        <a:srgbClr val="53565A"/>
      </a:folHlink>
    </a:clrScheme>
    <a:fontScheme name="Deloitte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3"/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solidFill>
          <a:schemeClr val="lt1"/>
        </a:solidFill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84E34-A0E8-4868-95FE-8D6228ABD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2499</Words>
  <Characters>14249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Proposal_A4_3col</vt:lpstr>
    </vt:vector>
  </TitlesOfParts>
  <Company/>
  <LinksUpToDate>false</LinksUpToDate>
  <CharactersWithSpaces>16715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Proposal_A4_3col</dc:title>
  <dc:subject/>
  <dc:creator>Katerina Slovakova Filipkova</dc:creator>
  <cp:keywords/>
  <dc:description/>
  <cp:lastModifiedBy>Slovakova Filipkova, Katerina</cp:lastModifiedBy>
  <cp:revision>3</cp:revision>
  <cp:lastPrinted>2019-06-27T12:51:00Z</cp:lastPrinted>
  <dcterms:created xsi:type="dcterms:W3CDTF">2019-06-05T14:04:00Z</dcterms:created>
  <dcterms:modified xsi:type="dcterms:W3CDTF">2019-06-27T12:52:00Z</dcterms:modified>
</cp:coreProperties>
</file>