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39A4D" w14:textId="77777777" w:rsidR="00EC7D17" w:rsidRPr="00DD6590" w:rsidRDefault="00EC7D17" w:rsidP="00EC7D17">
      <w:pPr>
        <w:pStyle w:val="Heading1"/>
      </w:pPr>
      <w:bookmarkStart w:id="0" w:name="_Toc9350272"/>
      <w:bookmarkStart w:id="1" w:name="_Ref5889708"/>
      <w:bookmarkStart w:id="2" w:name="_Toc1132682"/>
      <w:r w:rsidRPr="00DD6590">
        <w:t>Prioritná os 4 – Infraštruktúra vodnej dopravy (TEN-T CORE)</w:t>
      </w:r>
      <w:bookmarkEnd w:id="0"/>
      <w:r w:rsidRPr="00DD6590">
        <w:t xml:space="preserve"> </w:t>
      </w:r>
    </w:p>
    <w:p w14:paraId="7E1329E6" w14:textId="569433C2" w:rsidR="00EC7D17" w:rsidRPr="00DD6590" w:rsidRDefault="00EC7D17" w:rsidP="00EC7D17">
      <w:pPr>
        <w:rPr>
          <w:szCs w:val="18"/>
        </w:rPr>
      </w:pPr>
      <w:r w:rsidRPr="00DD6590">
        <w:rPr>
          <w:szCs w:val="18"/>
        </w:rPr>
        <w:t xml:space="preserve">Cieľom prioritnej osi 4 je prispieť k rozvoju modernej, bezpečnej a integrovanej infraštruktúry a prevádzky vodnej dopravy. Dunaj je vodná cesta medzinárodného významu, </w:t>
      </w:r>
      <w:r w:rsidR="006E2B34">
        <w:rPr>
          <w:szCs w:val="18"/>
        </w:rPr>
        <w:t>ale</w:t>
      </w:r>
      <w:r w:rsidR="006E2B34" w:rsidRPr="00DD6590">
        <w:rPr>
          <w:szCs w:val="18"/>
        </w:rPr>
        <w:t xml:space="preserve"> </w:t>
      </w:r>
      <w:r w:rsidRPr="00DD6590">
        <w:rPr>
          <w:szCs w:val="18"/>
        </w:rPr>
        <w:t xml:space="preserve">aktuálne </w:t>
      </w:r>
      <w:r w:rsidR="006E2B34">
        <w:rPr>
          <w:szCs w:val="18"/>
        </w:rPr>
        <w:t>dosahuje</w:t>
      </w:r>
      <w:r w:rsidR="006E2B34" w:rsidRPr="00DD6590">
        <w:rPr>
          <w:szCs w:val="18"/>
        </w:rPr>
        <w:t xml:space="preserve"> </w:t>
      </w:r>
      <w:r w:rsidRPr="00DD6590">
        <w:rPr>
          <w:szCs w:val="18"/>
        </w:rPr>
        <w:t>mieru splavnosti len na úrovni približne 60</w:t>
      </w:r>
      <w:r w:rsidR="006E2B34">
        <w:rPr>
          <w:szCs w:val="18"/>
        </w:rPr>
        <w:t xml:space="preserve"> </w:t>
      </w:r>
      <w:r w:rsidRPr="00DD6590">
        <w:rPr>
          <w:szCs w:val="18"/>
        </w:rPr>
        <w:t>% celoročnej plavebnej prevádzky. Projekty v rámci PO4 budú prvotne zamerané na spracovanie predprojektovej prípravy, štúdií realizovateľnosti a projektovej dokumentácie, ktoré by mali následne smerovať k realizáci</w:t>
      </w:r>
      <w:r w:rsidR="006E2B34">
        <w:rPr>
          <w:szCs w:val="18"/>
        </w:rPr>
        <w:t>i</w:t>
      </w:r>
      <w:r w:rsidRPr="00DD6590">
        <w:rPr>
          <w:szCs w:val="18"/>
        </w:rPr>
        <w:t xml:space="preserve"> investičných aktivít, </w:t>
      </w:r>
      <w:r w:rsidR="006E2B34">
        <w:rPr>
          <w:szCs w:val="18"/>
        </w:rPr>
        <w:t>ktoré</w:t>
      </w:r>
      <w:r w:rsidRPr="00DD6590">
        <w:rPr>
          <w:szCs w:val="18"/>
        </w:rPr>
        <w:t xml:space="preserve"> </w:t>
      </w:r>
      <w:r w:rsidR="006E2B34">
        <w:rPr>
          <w:szCs w:val="18"/>
        </w:rPr>
        <w:t>p</w:t>
      </w:r>
      <w:r w:rsidRPr="00DD6590">
        <w:rPr>
          <w:szCs w:val="18"/>
        </w:rPr>
        <w:t>omôžu naplniť definovaný špecifický cieľ 4.1</w:t>
      </w:r>
      <w:r w:rsidR="00961697" w:rsidRPr="00DD6590">
        <w:rPr>
          <w:szCs w:val="18"/>
        </w:rPr>
        <w:t>,</w:t>
      </w:r>
      <w:r w:rsidRPr="00DD6590">
        <w:rPr>
          <w:szCs w:val="18"/>
        </w:rPr>
        <w:t xml:space="preserve"> ako </w:t>
      </w:r>
      <w:r w:rsidR="006E2B34">
        <w:rPr>
          <w:szCs w:val="18"/>
        </w:rPr>
        <w:t>aj</w:t>
      </w:r>
      <w:r w:rsidRPr="00DD6590">
        <w:rPr>
          <w:szCs w:val="18"/>
        </w:rPr>
        <w:t xml:space="preserve"> pozitívne ovplyvniť priľahlý podunajský región. </w:t>
      </w:r>
    </w:p>
    <w:p w14:paraId="403B6A05" w14:textId="12CA0110" w:rsidR="00EC7D17" w:rsidRPr="00DD6590" w:rsidRDefault="00350A24" w:rsidP="00EC7D17">
      <w:pPr>
        <w:rPr>
          <w:szCs w:val="18"/>
        </w:rPr>
      </w:pPr>
      <w:r w:rsidRPr="00DD6590">
        <w:rPr>
          <w:szCs w:val="18"/>
        </w:rPr>
        <w:t>V rámci prioritnej osi 4 bol stanovený jeden špecifický cieľ</w:t>
      </w:r>
      <w:r w:rsidR="00EC7D17" w:rsidRPr="00DD6590">
        <w:rPr>
          <w:szCs w:val="18"/>
        </w:rPr>
        <w:t>:</w:t>
      </w:r>
    </w:p>
    <w:p w14:paraId="425F1942" w14:textId="0E926BD3" w:rsidR="00EC7D17" w:rsidRPr="00DD6590" w:rsidRDefault="00EC7D17" w:rsidP="003E761D">
      <w:pPr>
        <w:numPr>
          <w:ilvl w:val="1"/>
          <w:numId w:val="34"/>
        </w:numPr>
        <w:rPr>
          <w:rFonts w:asciiTheme="majorHAnsi" w:eastAsia="Times New Roman" w:hAnsiTheme="majorHAnsi" w:cs="Times New Roman"/>
          <w:szCs w:val="18"/>
          <w:lang w:eastAsia="sk-SK"/>
        </w:rPr>
      </w:pPr>
      <w:r w:rsidRPr="00DD6590">
        <w:rPr>
          <w:rFonts w:asciiTheme="majorHAnsi" w:eastAsia="Times New Roman" w:hAnsiTheme="majorHAnsi" w:cs="Times New Roman"/>
          <w:szCs w:val="18"/>
          <w:lang w:eastAsia="sk-SK"/>
        </w:rPr>
        <w:t>Zlepšenie kvality služieb poskytovaných vo verejnom prístave v</w:t>
      </w:r>
      <w:r w:rsidR="006E2B34">
        <w:rPr>
          <w:rFonts w:asciiTheme="majorHAnsi" w:eastAsia="Times New Roman" w:hAnsiTheme="majorHAnsi" w:cs="Times New Roman"/>
          <w:szCs w:val="18"/>
          <w:lang w:eastAsia="sk-SK"/>
        </w:rPr>
        <w:t> </w:t>
      </w:r>
      <w:r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Bratislave </w:t>
      </w:r>
    </w:p>
    <w:p w14:paraId="5558D1D7" w14:textId="77777777" w:rsidR="00EC7D17" w:rsidRPr="00DD6590" w:rsidRDefault="00EC7D17" w:rsidP="00EC7D17">
      <w:pPr>
        <w:rPr>
          <w:szCs w:val="18"/>
        </w:rPr>
      </w:pPr>
      <w:r w:rsidRPr="00DD6590">
        <w:rPr>
          <w:szCs w:val="18"/>
        </w:rPr>
        <w:t>Na úrovni PO4 je stanovený výkonnostný rámec nasledovne:</w:t>
      </w:r>
    </w:p>
    <w:p w14:paraId="500902FB" w14:textId="4A6B26EF" w:rsidR="000D4D54" w:rsidRDefault="000D4D54" w:rsidP="000D4D54">
      <w:pPr>
        <w:pStyle w:val="Caption"/>
      </w:pPr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F77687">
        <w:rPr>
          <w:noProof/>
        </w:rPr>
        <w:t>1</w:t>
      </w:r>
      <w:r>
        <w:fldChar w:fldCharType="end"/>
      </w:r>
      <w:r>
        <w:t xml:space="preserve"> Výkonnostný rámec PO4</w:t>
      </w:r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1814"/>
        <w:gridCol w:w="2576"/>
        <w:gridCol w:w="1183"/>
        <w:gridCol w:w="1767"/>
        <w:gridCol w:w="1734"/>
      </w:tblGrid>
      <w:tr w:rsidR="00EC7D17" w:rsidRPr="00DD6590" w14:paraId="7F50ACA5" w14:textId="77777777" w:rsidTr="000D4D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14:paraId="4B770F47" w14:textId="77777777" w:rsidR="00EC7D17" w:rsidRPr="00DD6590" w:rsidRDefault="00EC7D17" w:rsidP="00796B77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Typ ukazovateľa</w:t>
            </w:r>
          </w:p>
        </w:tc>
        <w:tc>
          <w:tcPr>
            <w:tcW w:w="2576" w:type="dxa"/>
          </w:tcPr>
          <w:p w14:paraId="3191FF65" w14:textId="77777777" w:rsidR="00EC7D17" w:rsidRPr="00DD6590" w:rsidRDefault="00EC7D17" w:rsidP="00796B77">
            <w:pPr>
              <w:spacing w:after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Definícia ukazovateľa alebo implementačného kroku</w:t>
            </w:r>
          </w:p>
        </w:tc>
        <w:tc>
          <w:tcPr>
            <w:tcW w:w="1183" w:type="dxa"/>
          </w:tcPr>
          <w:p w14:paraId="48FF8F0C" w14:textId="77777777" w:rsidR="00EC7D17" w:rsidRPr="00DD6590" w:rsidRDefault="00EC7D17" w:rsidP="00796B77">
            <w:pPr>
              <w:spacing w:after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Merná jednotka</w:t>
            </w:r>
          </w:p>
        </w:tc>
        <w:tc>
          <w:tcPr>
            <w:tcW w:w="1767" w:type="dxa"/>
          </w:tcPr>
          <w:p w14:paraId="0F1F9288" w14:textId="77777777" w:rsidR="00EC7D17" w:rsidRPr="00DD6590" w:rsidRDefault="00EC7D17" w:rsidP="00796B77">
            <w:pPr>
              <w:spacing w:after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Čiastkový cieľ pre rok 2018</w:t>
            </w:r>
          </w:p>
        </w:tc>
        <w:tc>
          <w:tcPr>
            <w:tcW w:w="1734" w:type="dxa"/>
          </w:tcPr>
          <w:p w14:paraId="494536B5" w14:textId="77777777" w:rsidR="00EC7D17" w:rsidRPr="00DD6590" w:rsidRDefault="00EC7D17" w:rsidP="00796B77">
            <w:pPr>
              <w:spacing w:after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Zámer</w:t>
            </w: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vertAlign w:val="superscript"/>
                <w:lang w:eastAsia="en-US"/>
              </w:rPr>
              <w:footnoteReference w:id="1"/>
            </w: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 xml:space="preserve"> (2023)</w:t>
            </w:r>
          </w:p>
        </w:tc>
      </w:tr>
      <w:tr w:rsidR="00EC7D17" w:rsidRPr="00DD6590" w14:paraId="183FF8BC" w14:textId="77777777" w:rsidTr="000D4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14:paraId="54FC2F8D" w14:textId="77777777" w:rsidR="00EC7D17" w:rsidRPr="00DD6590" w:rsidRDefault="00EC7D17" w:rsidP="00796B77">
            <w:pPr>
              <w:spacing w:after="0" w:line="240" w:lineRule="auto"/>
              <w:contextualSpacing/>
              <w:rPr>
                <w:rFonts w:asciiTheme="majorHAnsi" w:eastAsiaTheme="minorHAnsi" w:hAnsiTheme="maj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ajorHAnsi" w:eastAsiaTheme="minorHAnsi" w:hAnsiTheme="majorHAnsi" w:cstheme="minorBidi"/>
                <w:b w:val="0"/>
                <w:bCs w:val="0"/>
                <w:sz w:val="16"/>
                <w:szCs w:val="16"/>
                <w:lang w:eastAsia="en-US"/>
              </w:rPr>
              <w:t>Implementačný krok</w:t>
            </w:r>
          </w:p>
        </w:tc>
        <w:tc>
          <w:tcPr>
            <w:tcW w:w="2576" w:type="dxa"/>
          </w:tcPr>
          <w:p w14:paraId="69B90691" w14:textId="77777777" w:rsidR="00EC7D17" w:rsidRPr="00DD6590" w:rsidRDefault="00EC7D17" w:rsidP="00796B77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ajorHAnsi" w:eastAsiaTheme="minorHAnsi" w:hAnsiTheme="majorHAnsi" w:cstheme="minorBidi"/>
                <w:sz w:val="16"/>
                <w:szCs w:val="16"/>
                <w:lang w:eastAsia="en-US"/>
              </w:rPr>
              <w:t>Počet vyhlásených VO na projekty verejného prístavu Bratislava v súlade s vypracovanou štúdiou realizovateľnosti</w:t>
            </w:r>
          </w:p>
        </w:tc>
        <w:tc>
          <w:tcPr>
            <w:tcW w:w="1183" w:type="dxa"/>
          </w:tcPr>
          <w:p w14:paraId="7A3DDA6A" w14:textId="77777777" w:rsidR="00EC7D17" w:rsidRPr="00DD6590" w:rsidRDefault="00EC7D17" w:rsidP="00796B77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ajorHAnsi" w:eastAsiaTheme="minorHAnsi" w:hAnsiTheme="majorHAnsi" w:cstheme="minorBidi"/>
                <w:sz w:val="16"/>
                <w:szCs w:val="16"/>
                <w:lang w:eastAsia="en-US"/>
              </w:rPr>
              <w:t>počet</w:t>
            </w:r>
          </w:p>
        </w:tc>
        <w:tc>
          <w:tcPr>
            <w:tcW w:w="1767" w:type="dxa"/>
          </w:tcPr>
          <w:p w14:paraId="31F10A5F" w14:textId="77777777" w:rsidR="00EC7D17" w:rsidRPr="00DD6590" w:rsidRDefault="00EC7D17" w:rsidP="00796B77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ajorHAnsi" w:eastAsiaTheme="minorHAnsi" w:hAnsiTheme="maj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34" w:type="dxa"/>
          </w:tcPr>
          <w:p w14:paraId="0727ADB7" w14:textId="77777777" w:rsidR="00EC7D17" w:rsidRPr="00DD6590" w:rsidRDefault="00EC7D17" w:rsidP="00796B77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ajorHAnsi" w:eastAsiaTheme="minorHAnsi" w:hAnsiTheme="majorHAnsi" w:cstheme="minorBidi"/>
                <w:sz w:val="16"/>
                <w:szCs w:val="16"/>
                <w:lang w:eastAsia="en-US"/>
              </w:rPr>
              <w:t>2</w:t>
            </w:r>
          </w:p>
        </w:tc>
      </w:tr>
      <w:tr w:rsidR="00EC7D17" w:rsidRPr="00DD6590" w14:paraId="266427B6" w14:textId="77777777" w:rsidTr="000D4D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14:paraId="69360110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 w:val="0"/>
                <w:bCs w:val="0"/>
                <w:sz w:val="16"/>
                <w:szCs w:val="16"/>
                <w:lang w:eastAsia="en-US"/>
              </w:rPr>
              <w:t>Finančný ukazovateľ</w:t>
            </w:r>
          </w:p>
        </w:tc>
        <w:tc>
          <w:tcPr>
            <w:tcW w:w="2576" w:type="dxa"/>
          </w:tcPr>
          <w:p w14:paraId="57D3A890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1183" w:type="dxa"/>
          </w:tcPr>
          <w:p w14:paraId="6DF68FC6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EUR</w:t>
            </w:r>
          </w:p>
        </w:tc>
        <w:tc>
          <w:tcPr>
            <w:tcW w:w="1767" w:type="dxa"/>
          </w:tcPr>
          <w:p w14:paraId="26F69B9D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13 700 000</w:t>
            </w:r>
          </w:p>
        </w:tc>
        <w:tc>
          <w:tcPr>
            <w:tcW w:w="1734" w:type="dxa"/>
          </w:tcPr>
          <w:p w14:paraId="5DBC931A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137 000 000 </w:t>
            </w:r>
          </w:p>
        </w:tc>
      </w:tr>
      <w:tr w:rsidR="00EC7D17" w:rsidRPr="00DD6590" w14:paraId="7D2D584E" w14:textId="77777777" w:rsidTr="000D4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14:paraId="6B542DBB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 w:val="0"/>
                <w:bCs w:val="0"/>
                <w:sz w:val="16"/>
                <w:szCs w:val="16"/>
                <w:lang w:eastAsia="en-US"/>
              </w:rPr>
              <w:t>Výstupový ukazovateľ</w:t>
            </w:r>
          </w:p>
        </w:tc>
        <w:tc>
          <w:tcPr>
            <w:tcW w:w="2576" w:type="dxa"/>
          </w:tcPr>
          <w:p w14:paraId="176B5D1E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Počet zmodernizovaných verejných prístavov na sieti TEN-T CORE</w:t>
            </w:r>
          </w:p>
        </w:tc>
        <w:tc>
          <w:tcPr>
            <w:tcW w:w="1183" w:type="dxa"/>
          </w:tcPr>
          <w:p w14:paraId="0CDFF6E2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počet</w:t>
            </w:r>
          </w:p>
        </w:tc>
        <w:tc>
          <w:tcPr>
            <w:tcW w:w="1767" w:type="dxa"/>
          </w:tcPr>
          <w:p w14:paraId="070EEB4F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734" w:type="dxa"/>
          </w:tcPr>
          <w:p w14:paraId="6265F9CF" w14:textId="77777777" w:rsidR="00EC7D17" w:rsidRPr="00DD6590" w:rsidRDefault="00EC7D17" w:rsidP="00796B77">
            <w:pPr>
              <w:spacing w:after="0" w:line="240" w:lineRule="auto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</w:tr>
    </w:tbl>
    <w:p w14:paraId="4FA1ADEF" w14:textId="77777777" w:rsidR="00EC7D17" w:rsidRPr="00DD6590" w:rsidRDefault="00EC7D17" w:rsidP="00B0035E">
      <w:pPr>
        <w:pStyle w:val="Heading2"/>
      </w:pPr>
      <w:bookmarkStart w:id="3" w:name="_Toc9350273"/>
      <w:r w:rsidRPr="00DD6590">
        <w:t>Špecifický cieľ 4.1</w:t>
      </w:r>
      <w:bookmarkEnd w:id="3"/>
      <w:r w:rsidRPr="00DD6590">
        <w:t xml:space="preserve"> </w:t>
      </w:r>
    </w:p>
    <w:p w14:paraId="089A7E92" w14:textId="77777777" w:rsidR="00EC7D17" w:rsidRPr="00DD6590" w:rsidRDefault="00EC7D17" w:rsidP="00EC7D17">
      <w:pPr>
        <w:rPr>
          <w:b/>
        </w:rPr>
      </w:pPr>
      <w:r w:rsidRPr="00DD6590">
        <w:rPr>
          <w:b/>
        </w:rPr>
        <w:t>Zlepšenie kvality služieb poskytovaných vo verejnom prístave v Bratislave</w:t>
      </w:r>
    </w:p>
    <w:p w14:paraId="29F66B3A" w14:textId="77777777" w:rsidR="00EC7D17" w:rsidRPr="00DD6590" w:rsidRDefault="00EC7D17" w:rsidP="00EC7D17">
      <w:pPr>
        <w:rPr>
          <w:szCs w:val="18"/>
        </w:rPr>
      </w:pPr>
      <w:r w:rsidRPr="00DD6590">
        <w:rPr>
          <w:szCs w:val="18"/>
        </w:rPr>
        <w:t>Očakávanými výsledkami implementácie ŠC 4.1 sú:</w:t>
      </w:r>
    </w:p>
    <w:p w14:paraId="6D7C4EC8" w14:textId="77777777" w:rsidR="00EC7D17" w:rsidRPr="00DD6590" w:rsidRDefault="00EC7D17" w:rsidP="003E761D">
      <w:pPr>
        <w:numPr>
          <w:ilvl w:val="0"/>
          <w:numId w:val="21"/>
        </w:numPr>
        <w:ind w:left="446"/>
        <w:contextualSpacing/>
        <w:rPr>
          <w:rFonts w:asciiTheme="majorHAnsi" w:eastAsia="Times New Roman" w:hAnsiTheme="majorHAnsi" w:cs="Times New Roman"/>
          <w:szCs w:val="18"/>
          <w:lang w:eastAsia="sk-SK"/>
        </w:rPr>
      </w:pPr>
      <w:r w:rsidRPr="00DD6590">
        <w:rPr>
          <w:rFonts w:asciiTheme="majorHAnsi" w:eastAsia="Times New Roman" w:hAnsiTheme="majorHAnsi" w:cs="Times New Roman"/>
          <w:szCs w:val="18"/>
          <w:lang w:eastAsia="sk-SK"/>
        </w:rPr>
        <w:t>zlepšenie kvality verejných služieb poskytovaných v prístave v Bratislave,</w:t>
      </w:r>
    </w:p>
    <w:p w14:paraId="54E75022" w14:textId="77777777" w:rsidR="00EC7D17" w:rsidRPr="00DD6590" w:rsidRDefault="00EC7D17" w:rsidP="003E761D">
      <w:pPr>
        <w:numPr>
          <w:ilvl w:val="0"/>
          <w:numId w:val="21"/>
        </w:numPr>
        <w:ind w:left="446"/>
        <w:contextualSpacing/>
        <w:rPr>
          <w:rFonts w:asciiTheme="majorHAnsi" w:eastAsia="Times New Roman" w:hAnsiTheme="majorHAnsi" w:cs="Times New Roman"/>
          <w:szCs w:val="18"/>
          <w:lang w:eastAsia="sk-SK"/>
        </w:rPr>
      </w:pPr>
      <w:r w:rsidRPr="00DD6590">
        <w:rPr>
          <w:rFonts w:asciiTheme="majorHAnsi" w:eastAsia="Times New Roman" w:hAnsiTheme="majorHAnsi" w:cs="Times New Roman"/>
          <w:szCs w:val="18"/>
          <w:lang w:eastAsia="sk-SK"/>
        </w:rPr>
        <w:t>zvýšenie bezpečnosti vodnej dopravy,</w:t>
      </w:r>
    </w:p>
    <w:p w14:paraId="48F9FD65" w14:textId="77777777" w:rsidR="00EC7D17" w:rsidRPr="00DD6590" w:rsidRDefault="00EC7D17" w:rsidP="003E761D">
      <w:pPr>
        <w:numPr>
          <w:ilvl w:val="0"/>
          <w:numId w:val="21"/>
        </w:numPr>
        <w:ind w:left="446"/>
        <w:contextualSpacing/>
        <w:rPr>
          <w:rFonts w:asciiTheme="majorHAnsi" w:eastAsia="Times New Roman" w:hAnsiTheme="majorHAnsi" w:cs="Times New Roman"/>
          <w:szCs w:val="18"/>
          <w:lang w:eastAsia="sk-SK"/>
        </w:rPr>
      </w:pPr>
      <w:r w:rsidRPr="00DD6590">
        <w:rPr>
          <w:rFonts w:asciiTheme="majorHAnsi" w:eastAsia="Times New Roman" w:hAnsiTheme="majorHAnsi" w:cs="Times New Roman"/>
          <w:szCs w:val="18"/>
          <w:lang w:eastAsia="sk-SK"/>
        </w:rPr>
        <w:t>zníženie negatívnych vplyvov na životné prostredie (zníženie emisií CO</w:t>
      </w:r>
      <w:r w:rsidRPr="00DD6590">
        <w:rPr>
          <w:rFonts w:asciiTheme="majorHAnsi" w:eastAsia="Times New Roman" w:hAnsiTheme="majorHAnsi" w:cs="Times New Roman"/>
          <w:szCs w:val="18"/>
          <w:vertAlign w:val="subscript"/>
          <w:lang w:eastAsia="sk-SK"/>
        </w:rPr>
        <w:t>2</w:t>
      </w:r>
      <w:r w:rsidRPr="00DD6590">
        <w:rPr>
          <w:rFonts w:asciiTheme="majorHAnsi" w:eastAsia="Times New Roman" w:hAnsiTheme="majorHAnsi" w:cs="Times New Roman"/>
          <w:szCs w:val="18"/>
          <w:lang w:eastAsia="sk-SK"/>
        </w:rPr>
        <w:t>, NO</w:t>
      </w:r>
      <w:r w:rsidRPr="00DD6590">
        <w:rPr>
          <w:rFonts w:asciiTheme="majorHAnsi" w:eastAsia="Times New Roman" w:hAnsiTheme="majorHAnsi" w:cs="Times New Roman"/>
          <w:szCs w:val="18"/>
          <w:vertAlign w:val="subscript"/>
          <w:lang w:eastAsia="sk-SK"/>
        </w:rPr>
        <w:t>2</w:t>
      </w:r>
      <w:r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 a PM</w:t>
      </w:r>
      <w:r w:rsidRPr="00DD6590">
        <w:rPr>
          <w:rFonts w:asciiTheme="majorHAnsi" w:eastAsia="Times New Roman" w:hAnsiTheme="majorHAnsi" w:cs="Times New Roman"/>
          <w:szCs w:val="18"/>
          <w:vertAlign w:val="subscript"/>
          <w:lang w:eastAsia="sk-SK"/>
        </w:rPr>
        <w:t>10</w:t>
      </w:r>
      <w:r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 a zlepšenie systému nakladania s odpadmi, prevádzkovými a pohonnými hmotami),</w:t>
      </w:r>
    </w:p>
    <w:p w14:paraId="397AEBC0" w14:textId="223F4908" w:rsidR="00EC7D17" w:rsidRPr="00DD6590" w:rsidRDefault="00EC7D17" w:rsidP="003E761D">
      <w:pPr>
        <w:numPr>
          <w:ilvl w:val="0"/>
          <w:numId w:val="21"/>
        </w:numPr>
        <w:ind w:left="446"/>
        <w:contextualSpacing/>
        <w:rPr>
          <w:rFonts w:asciiTheme="majorHAnsi" w:eastAsia="Times New Roman" w:hAnsiTheme="majorHAnsi" w:cs="Times New Roman"/>
          <w:szCs w:val="18"/>
          <w:lang w:eastAsia="sk-SK"/>
        </w:rPr>
      </w:pPr>
      <w:r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vytváranie predpokladov na odstránenie kľúčových úzkych miest </w:t>
      </w:r>
      <w:r w:rsidR="006E2B34">
        <w:rPr>
          <w:rFonts w:asciiTheme="majorHAnsi" w:eastAsia="Times New Roman" w:hAnsiTheme="majorHAnsi" w:cs="Times New Roman"/>
          <w:szCs w:val="18"/>
          <w:lang w:eastAsia="sk-SK"/>
        </w:rPr>
        <w:t>v</w:t>
      </w:r>
      <w:r w:rsidR="006E2B34"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 </w:t>
      </w:r>
      <w:r w:rsidRPr="00DD6590">
        <w:rPr>
          <w:rFonts w:asciiTheme="majorHAnsi" w:eastAsia="Times New Roman" w:hAnsiTheme="majorHAnsi" w:cs="Times New Roman"/>
          <w:szCs w:val="18"/>
          <w:lang w:eastAsia="sk-SK"/>
        </w:rPr>
        <w:t>infraštruktúre vodnej dopravy v TEN-T,</w:t>
      </w:r>
    </w:p>
    <w:p w14:paraId="3BB2F958" w14:textId="77777777" w:rsidR="00EC7D17" w:rsidRPr="00DD6590" w:rsidRDefault="00EC7D17" w:rsidP="003E761D">
      <w:pPr>
        <w:numPr>
          <w:ilvl w:val="0"/>
          <w:numId w:val="21"/>
        </w:numPr>
        <w:ind w:left="446"/>
        <w:rPr>
          <w:rFonts w:asciiTheme="majorHAnsi" w:eastAsia="Times New Roman" w:hAnsiTheme="majorHAnsi" w:cs="Times New Roman"/>
          <w:szCs w:val="18"/>
          <w:lang w:eastAsia="sk-SK"/>
        </w:rPr>
      </w:pPr>
      <w:r w:rsidRPr="00DD6590">
        <w:rPr>
          <w:rFonts w:asciiTheme="majorHAnsi" w:eastAsia="Times New Roman" w:hAnsiTheme="majorHAnsi" w:cs="Times New Roman"/>
          <w:szCs w:val="18"/>
          <w:lang w:eastAsia="sk-SK"/>
        </w:rPr>
        <w:t>vytváranie predpokladov na zvýšenie podielu vodnej dopravy na deľbe prepravnej práce.</w:t>
      </w:r>
    </w:p>
    <w:p w14:paraId="5C148194" w14:textId="70E18767" w:rsidR="00EC7D17" w:rsidRPr="00DD6590" w:rsidRDefault="00EC7D17" w:rsidP="00EC7D17">
      <w:pPr>
        <w:ind w:left="86"/>
        <w:rPr>
          <w:szCs w:val="18"/>
        </w:rPr>
      </w:pPr>
      <w:r w:rsidRPr="00DD6590">
        <w:rPr>
          <w:szCs w:val="18"/>
        </w:rPr>
        <w:t>Výsledky projektov naplnia jednotlivé špecifické výsledkové a</w:t>
      </w:r>
      <w:r w:rsidR="00961697" w:rsidRPr="00DD6590">
        <w:rPr>
          <w:szCs w:val="18"/>
        </w:rPr>
        <w:t> </w:t>
      </w:r>
      <w:r w:rsidRPr="00DD6590">
        <w:rPr>
          <w:szCs w:val="18"/>
        </w:rPr>
        <w:t>spoločné</w:t>
      </w:r>
      <w:r w:rsidR="00961697" w:rsidRPr="00DD6590">
        <w:rPr>
          <w:szCs w:val="18"/>
        </w:rPr>
        <w:t xml:space="preserve"> a špecifické</w:t>
      </w:r>
      <w:r w:rsidRPr="00DD6590">
        <w:rPr>
          <w:szCs w:val="18"/>
        </w:rPr>
        <w:t xml:space="preserve"> výstupové ukazovatele</w:t>
      </w:r>
      <w:r w:rsidR="000E4B03">
        <w:rPr>
          <w:szCs w:val="18"/>
        </w:rPr>
        <w:t>.</w:t>
      </w:r>
    </w:p>
    <w:p w14:paraId="1721F130" w14:textId="7CDC5603" w:rsidR="000D4D54" w:rsidRDefault="000D4D54" w:rsidP="000D4D54">
      <w:pPr>
        <w:pStyle w:val="Caption"/>
      </w:pPr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F77687">
        <w:rPr>
          <w:noProof/>
        </w:rPr>
        <w:t>2</w:t>
      </w:r>
      <w:r>
        <w:fldChar w:fldCharType="end"/>
      </w:r>
      <w:r>
        <w:t xml:space="preserve"> Výsledkové a výstupové ukazovatele </w:t>
      </w:r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2928"/>
        <w:gridCol w:w="1274"/>
        <w:gridCol w:w="1115"/>
        <w:gridCol w:w="1602"/>
        <w:gridCol w:w="1563"/>
      </w:tblGrid>
      <w:tr w:rsidR="00EC7D17" w:rsidRPr="00DD6590" w14:paraId="2284738B" w14:textId="77777777" w:rsidTr="000D4D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tcBorders>
              <w:right w:val="single" w:sz="4" w:space="0" w:color="86BC25" w:themeColor="accent1"/>
            </w:tcBorders>
            <w:vAlign w:val="center"/>
          </w:tcPr>
          <w:p w14:paraId="19BBF817" w14:textId="77777777" w:rsidR="00EC7D17" w:rsidRPr="00DD6590" w:rsidRDefault="00EC7D17" w:rsidP="00796B77">
            <w:pPr>
              <w:spacing w:before="60" w:after="0" w:line="240" w:lineRule="auto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proofErr w:type="spellStart"/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P.č</w:t>
            </w:r>
            <w:proofErr w:type="spellEnd"/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928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B293E5B" w14:textId="77777777" w:rsidR="00EC7D17" w:rsidRPr="00DD6590" w:rsidRDefault="00EC7D17" w:rsidP="00796B77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 xml:space="preserve">Ukazovateľ 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84A0525" w14:textId="77777777" w:rsidR="00EC7D17" w:rsidRPr="00DD6590" w:rsidRDefault="00EC7D17" w:rsidP="00796B77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 xml:space="preserve">Typ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AB43F59" w14:textId="77777777" w:rsidR="00EC7D17" w:rsidRPr="00DD6590" w:rsidRDefault="00EC7D17" w:rsidP="00796B77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Merná jednotka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FEF0A2E" w14:textId="77777777" w:rsidR="00EC7D17" w:rsidRPr="00DD6590" w:rsidRDefault="00EC7D17" w:rsidP="00796B77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Východisková hodnota (2013)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7066602C" w14:textId="77777777" w:rsidR="00EC7D17" w:rsidRPr="00DD6590" w:rsidRDefault="00EC7D17" w:rsidP="00796B77">
            <w:pPr>
              <w:spacing w:before="6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  <w:t>Cieľová hodnota (2023)</w:t>
            </w:r>
          </w:p>
        </w:tc>
      </w:tr>
      <w:tr w:rsidR="00EC7D17" w:rsidRPr="00DD6590" w14:paraId="01BA8C33" w14:textId="77777777" w:rsidTr="000D4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tcBorders>
              <w:right w:val="single" w:sz="4" w:space="0" w:color="86BC25" w:themeColor="accent1"/>
            </w:tcBorders>
            <w:vAlign w:val="center"/>
          </w:tcPr>
          <w:p w14:paraId="4E516334" w14:textId="77777777" w:rsidR="00EC7D17" w:rsidRPr="00DD6590" w:rsidRDefault="00EC7D17" w:rsidP="00796B77">
            <w:pPr>
              <w:spacing w:before="60" w:after="0" w:line="240" w:lineRule="auto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 w:val="0"/>
                <w:bCs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28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3579537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Objem zrealizovaných výkonov nákladnej dopravy vo verejnom prístave Bratislave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20411DB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výsledkový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12DE536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tis. ton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8BF1CC2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2 078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56BF3E01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3 000</w:t>
            </w:r>
          </w:p>
        </w:tc>
      </w:tr>
      <w:tr w:rsidR="00EC7D17" w:rsidRPr="00DD6590" w14:paraId="02AC59D4" w14:textId="77777777" w:rsidTr="000D4D5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tcBorders>
              <w:right w:val="single" w:sz="4" w:space="0" w:color="86BC25" w:themeColor="accent1"/>
            </w:tcBorders>
            <w:vAlign w:val="center"/>
          </w:tcPr>
          <w:p w14:paraId="6CA14037" w14:textId="77777777" w:rsidR="00EC7D17" w:rsidRPr="00DD6590" w:rsidRDefault="00EC7D17" w:rsidP="00796B77">
            <w:pPr>
              <w:spacing w:before="60" w:after="0" w:line="240" w:lineRule="auto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 w:val="0"/>
                <w:bCs w:val="0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2928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12966F6" w14:textId="77777777" w:rsidR="00EC7D17" w:rsidRPr="00DD6590" w:rsidRDefault="00EC7D17" w:rsidP="00796B77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Počet zmodernizovaných verejných prístavov na sieti TEN-T CORE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C5FA1D7" w14:textId="77777777" w:rsidR="00EC7D17" w:rsidRPr="00DD6590" w:rsidRDefault="00EC7D17" w:rsidP="00796B77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BD090F7" w14:textId="77777777" w:rsidR="00EC7D17" w:rsidRPr="00DD6590" w:rsidRDefault="00EC7D17" w:rsidP="00796B77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počet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B565399" w14:textId="77777777" w:rsidR="00EC7D17" w:rsidRPr="00DD6590" w:rsidRDefault="00EC7D17" w:rsidP="00796B77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79D1DA30" w14:textId="77777777" w:rsidR="00EC7D17" w:rsidRPr="00DD6590" w:rsidRDefault="00EC7D17" w:rsidP="00796B77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</w:tr>
      <w:tr w:rsidR="00EC7D17" w:rsidRPr="00DD6590" w14:paraId="64B67F07" w14:textId="77777777" w:rsidTr="000D4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tcBorders>
              <w:right w:val="single" w:sz="4" w:space="0" w:color="86BC25" w:themeColor="accent1"/>
            </w:tcBorders>
            <w:vAlign w:val="center"/>
          </w:tcPr>
          <w:p w14:paraId="28FECD32" w14:textId="77777777" w:rsidR="00EC7D17" w:rsidRPr="00DD6590" w:rsidRDefault="00EC7D17" w:rsidP="00796B77">
            <w:pPr>
              <w:spacing w:before="60" w:after="0" w:line="240" w:lineRule="auto"/>
              <w:rPr>
                <w:rFonts w:asciiTheme="minorHAnsi" w:eastAsiaTheme="minorHAnsi" w:hAnsiTheme="minorHAnsi" w:cstheme="minorBidi"/>
                <w:bCs w:val="0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b w:val="0"/>
                <w:bCs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928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212ACF7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Počet vypracovaných štúdií realizovateľnosti (v súvislosti s rozvojom prístavov a vodných ciest TEN-T CORE)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1825A3F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0CCE68B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počet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FB56385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6CB7DD6D" w14:textId="77777777" w:rsidR="00EC7D17" w:rsidRPr="00DD6590" w:rsidRDefault="00EC7D17" w:rsidP="00796B77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</w:t>
            </w:r>
          </w:p>
        </w:tc>
      </w:tr>
    </w:tbl>
    <w:p w14:paraId="4834270E" w14:textId="77777777" w:rsidR="00EC7D17" w:rsidRPr="00DD6590" w:rsidRDefault="00EC7D17" w:rsidP="00EC7D17">
      <w:pPr>
        <w:ind w:left="90"/>
        <w:rPr>
          <w:szCs w:val="18"/>
        </w:rPr>
      </w:pPr>
      <w:r w:rsidRPr="00DD6590">
        <w:rPr>
          <w:szCs w:val="18"/>
        </w:rPr>
        <w:t>Napĺňanie cieľov sa realizuje prostredníctvom týchto aktivít:</w:t>
      </w:r>
    </w:p>
    <w:p w14:paraId="13CB1310" w14:textId="11BC105A" w:rsidR="00EC7D17" w:rsidRPr="00DD6590" w:rsidRDefault="009A3208" w:rsidP="003E761D">
      <w:pPr>
        <w:numPr>
          <w:ilvl w:val="0"/>
          <w:numId w:val="22"/>
        </w:numPr>
        <w:contextualSpacing/>
        <w:rPr>
          <w:rFonts w:asciiTheme="majorHAnsi" w:eastAsia="Times New Roman" w:hAnsiTheme="majorHAnsi" w:cs="Times New Roman"/>
          <w:szCs w:val="18"/>
          <w:lang w:eastAsia="sk-SK"/>
        </w:rPr>
      </w:pPr>
      <w:r>
        <w:rPr>
          <w:rFonts w:asciiTheme="majorHAnsi" w:eastAsia="Times New Roman" w:hAnsiTheme="majorHAnsi" w:cs="Times New Roman"/>
          <w:szCs w:val="18"/>
          <w:lang w:eastAsia="sk-SK"/>
        </w:rPr>
        <w:t>š</w:t>
      </w:r>
      <w:r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túdia </w:t>
      </w:r>
      <w:r w:rsidR="00EC7D17"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realizovateľnosti s cieľom </w:t>
      </w:r>
      <w:r w:rsidR="00576E93" w:rsidRPr="00DD6590">
        <w:rPr>
          <w:rFonts w:asciiTheme="majorHAnsi" w:eastAsia="Times New Roman" w:hAnsiTheme="majorHAnsi" w:cs="Times New Roman"/>
          <w:szCs w:val="18"/>
          <w:lang w:eastAsia="sk-SK"/>
        </w:rPr>
        <w:t>zlepš</w:t>
      </w:r>
      <w:r w:rsidR="00576E93">
        <w:rPr>
          <w:rFonts w:asciiTheme="majorHAnsi" w:eastAsia="Times New Roman" w:hAnsiTheme="majorHAnsi" w:cs="Times New Roman"/>
          <w:szCs w:val="18"/>
          <w:lang w:eastAsia="sk-SK"/>
        </w:rPr>
        <w:t>iť</w:t>
      </w:r>
      <w:r w:rsidR="00576E93"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 splavnos</w:t>
      </w:r>
      <w:r w:rsidR="00576E93">
        <w:rPr>
          <w:rFonts w:asciiTheme="majorHAnsi" w:eastAsia="Times New Roman" w:hAnsiTheme="majorHAnsi" w:cs="Times New Roman"/>
          <w:szCs w:val="18"/>
          <w:lang w:eastAsia="sk-SK"/>
        </w:rPr>
        <w:t>ť</w:t>
      </w:r>
      <w:r w:rsidR="00576E93"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 </w:t>
      </w:r>
      <w:r w:rsidR="00EC7D17" w:rsidRPr="00DD6590">
        <w:rPr>
          <w:rFonts w:asciiTheme="majorHAnsi" w:eastAsia="Times New Roman" w:hAnsiTheme="majorHAnsi" w:cs="Times New Roman"/>
          <w:szCs w:val="18"/>
          <w:lang w:eastAsia="sk-SK"/>
        </w:rPr>
        <w:t>dunajskej vodnej cesty,</w:t>
      </w:r>
    </w:p>
    <w:p w14:paraId="70A71185" w14:textId="76CC0BB5" w:rsidR="00EC7D17" w:rsidRPr="00DD6590" w:rsidRDefault="009A3208" w:rsidP="003E761D">
      <w:pPr>
        <w:numPr>
          <w:ilvl w:val="0"/>
          <w:numId w:val="22"/>
        </w:numPr>
        <w:contextualSpacing/>
        <w:rPr>
          <w:rFonts w:asciiTheme="majorHAnsi" w:eastAsia="Times New Roman" w:hAnsiTheme="majorHAnsi" w:cs="Times New Roman"/>
          <w:szCs w:val="18"/>
          <w:lang w:eastAsia="sk-SK"/>
        </w:rPr>
      </w:pPr>
      <w:r>
        <w:rPr>
          <w:rFonts w:asciiTheme="majorHAnsi" w:eastAsia="Times New Roman" w:hAnsiTheme="majorHAnsi" w:cs="Times New Roman"/>
          <w:szCs w:val="18"/>
          <w:lang w:eastAsia="sk-SK"/>
        </w:rPr>
        <w:t>m</w:t>
      </w:r>
      <w:r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odernizácia </w:t>
      </w:r>
      <w:r w:rsidR="00EC7D17" w:rsidRPr="00DD6590">
        <w:rPr>
          <w:rFonts w:asciiTheme="majorHAnsi" w:eastAsia="Times New Roman" w:hAnsiTheme="majorHAnsi" w:cs="Times New Roman"/>
          <w:szCs w:val="18"/>
          <w:lang w:eastAsia="sk-SK"/>
        </w:rPr>
        <w:t>a výstavba verejného prístavu v Bratislave,</w:t>
      </w:r>
    </w:p>
    <w:p w14:paraId="54580ACF" w14:textId="0CEA15BE" w:rsidR="00EC7D17" w:rsidRPr="00DD6590" w:rsidRDefault="009A3208" w:rsidP="003E761D">
      <w:pPr>
        <w:numPr>
          <w:ilvl w:val="0"/>
          <w:numId w:val="22"/>
        </w:numPr>
        <w:contextualSpacing/>
        <w:rPr>
          <w:rFonts w:asciiTheme="majorHAnsi" w:eastAsia="Times New Roman" w:hAnsiTheme="majorHAnsi" w:cs="Times New Roman"/>
          <w:szCs w:val="18"/>
          <w:lang w:eastAsia="sk-SK"/>
        </w:rPr>
      </w:pPr>
      <w:r>
        <w:rPr>
          <w:rFonts w:asciiTheme="majorHAnsi" w:eastAsia="Times New Roman" w:hAnsiTheme="majorHAnsi" w:cs="Times New Roman"/>
          <w:szCs w:val="18"/>
          <w:lang w:eastAsia="sk-SK"/>
        </w:rPr>
        <w:t>z</w:t>
      </w:r>
      <w:r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avádzanie </w:t>
      </w:r>
      <w:r w:rsidR="00EC7D17" w:rsidRPr="00DD6590">
        <w:rPr>
          <w:rFonts w:asciiTheme="majorHAnsi" w:eastAsia="Times New Roman" w:hAnsiTheme="majorHAnsi" w:cs="Times New Roman"/>
          <w:szCs w:val="18"/>
          <w:lang w:eastAsia="sk-SK"/>
        </w:rPr>
        <w:t>moderných technológií do riadenia lodnej a prístavnej prevádzky,</w:t>
      </w:r>
    </w:p>
    <w:p w14:paraId="50A38BD4" w14:textId="0B50DE96" w:rsidR="00EC7D17" w:rsidRPr="00DD6590" w:rsidRDefault="009A3208" w:rsidP="003E761D">
      <w:pPr>
        <w:numPr>
          <w:ilvl w:val="0"/>
          <w:numId w:val="22"/>
        </w:numPr>
        <w:contextualSpacing/>
        <w:rPr>
          <w:rFonts w:asciiTheme="majorHAnsi" w:eastAsia="Times New Roman" w:hAnsiTheme="majorHAnsi" w:cs="Times New Roman"/>
          <w:szCs w:val="18"/>
          <w:lang w:eastAsia="sk-SK"/>
        </w:rPr>
      </w:pPr>
      <w:proofErr w:type="spellStart"/>
      <w:r>
        <w:rPr>
          <w:rFonts w:asciiTheme="majorHAnsi" w:eastAsia="Times New Roman" w:hAnsiTheme="majorHAnsi" w:cs="Times New Roman"/>
          <w:szCs w:val="18"/>
          <w:lang w:eastAsia="sk-SK"/>
        </w:rPr>
        <w:t>p</w:t>
      </w:r>
      <w:r w:rsidRPr="00DD6590">
        <w:rPr>
          <w:rFonts w:asciiTheme="majorHAnsi" w:eastAsia="Times New Roman" w:hAnsiTheme="majorHAnsi" w:cs="Times New Roman"/>
          <w:szCs w:val="18"/>
          <w:lang w:eastAsia="sk-SK"/>
        </w:rPr>
        <w:t>redinvestičná</w:t>
      </w:r>
      <w:proofErr w:type="spellEnd"/>
      <w:r w:rsidRPr="00DD6590">
        <w:rPr>
          <w:rFonts w:asciiTheme="majorHAnsi" w:eastAsia="Times New Roman" w:hAnsiTheme="majorHAnsi" w:cs="Times New Roman"/>
          <w:szCs w:val="18"/>
          <w:lang w:eastAsia="sk-SK"/>
        </w:rPr>
        <w:t xml:space="preserve"> </w:t>
      </w:r>
      <w:r w:rsidR="00EC7D17" w:rsidRPr="00DD6590">
        <w:rPr>
          <w:rFonts w:asciiTheme="majorHAnsi" w:eastAsia="Times New Roman" w:hAnsiTheme="majorHAnsi" w:cs="Times New Roman"/>
          <w:szCs w:val="18"/>
          <w:lang w:eastAsia="sk-SK"/>
        </w:rPr>
        <w:t>a projektová príprava.</w:t>
      </w:r>
    </w:p>
    <w:p w14:paraId="286C1710" w14:textId="2C625D91" w:rsidR="000F3BFF" w:rsidRPr="00DD6590" w:rsidRDefault="000F3BFF" w:rsidP="00B5356B">
      <w:pPr>
        <w:pStyle w:val="Heading1"/>
      </w:pPr>
      <w:bookmarkStart w:id="4" w:name="_Ref8046718"/>
      <w:bookmarkStart w:id="5" w:name="_Toc9350274"/>
      <w:r w:rsidRPr="00DD6590">
        <w:t>Výsledky analýzy Prioritnej osi 4 – Infraštruktúra vodnej dopravy</w:t>
      </w:r>
      <w:bookmarkEnd w:id="1"/>
      <w:bookmarkEnd w:id="4"/>
      <w:bookmarkEnd w:id="5"/>
      <w:r w:rsidRPr="00DD6590">
        <w:t xml:space="preserve"> </w:t>
      </w:r>
    </w:p>
    <w:p w14:paraId="55BD9269" w14:textId="7FC4AD54" w:rsidR="000F3BFF" w:rsidRPr="00DD6590" w:rsidRDefault="000F3BFF" w:rsidP="000F3BFF">
      <w:r w:rsidRPr="00DD6590">
        <w:t>V hodnotenom období boli v realizácii tri projekty. Z celkovej alokácie prioritnej osi 4 (137 mil. EUR) bolo vyčerpaných 0,06</w:t>
      </w:r>
      <w:r w:rsidR="00576E93">
        <w:t xml:space="preserve"> </w:t>
      </w:r>
      <w:r w:rsidRPr="00DD6590">
        <w:t>% a zakontrahovaných 0,35</w:t>
      </w:r>
      <w:r w:rsidR="00576E93">
        <w:t xml:space="preserve"> </w:t>
      </w:r>
      <w:r w:rsidRPr="00DD6590">
        <w:t>%. Prijímateľmi v rámci PO4 sú Verejné</w:t>
      </w:r>
      <w:r w:rsidR="00576E93">
        <w:t> </w:t>
      </w:r>
      <w:r w:rsidRPr="00DD6590">
        <w:t>prístavy,</w:t>
      </w:r>
      <w:r w:rsidR="00576E93">
        <w:t> </w:t>
      </w:r>
      <w:r w:rsidRPr="00DD6590">
        <w:t>a.s., Pro-</w:t>
      </w:r>
      <w:proofErr w:type="spellStart"/>
      <w:r w:rsidRPr="00DD6590">
        <w:t>Danubia</w:t>
      </w:r>
      <w:proofErr w:type="spellEnd"/>
      <w:r w:rsidRPr="00DD6590">
        <w:t xml:space="preserve"> </w:t>
      </w:r>
      <w:r w:rsidR="00576E93">
        <w:t>‒</w:t>
      </w:r>
      <w:r w:rsidRPr="00DD6590">
        <w:t xml:space="preserve"> Združenie obcí pre miestnu dopravu po Dunaji, Slovenský vodohospodársky podnik, </w:t>
      </w:r>
      <w:proofErr w:type="spellStart"/>
      <w:r w:rsidRPr="00DD6590">
        <w:t>š.p</w:t>
      </w:r>
      <w:proofErr w:type="spellEnd"/>
      <w:r w:rsidRPr="00DD6590">
        <w:t>. a Vodohospodárska výstavba, štátny podnik.  Certifikované finančné prostriedky boli vo výške 25 201 EUR (EÚ zdroje), čo predstavuje 0,02% z celkovej alokácie PO4.</w:t>
      </w:r>
    </w:p>
    <w:p w14:paraId="7AF0634E" w14:textId="373A6454" w:rsidR="00634260" w:rsidRPr="00DD6590" w:rsidRDefault="00634260" w:rsidP="00B0035E">
      <w:pPr>
        <w:pStyle w:val="Heading2"/>
      </w:pPr>
      <w:bookmarkStart w:id="6" w:name="_Toc9350275"/>
      <w:r w:rsidRPr="00DD6590">
        <w:t>Vyhodnotenie stavu realizácie jednotlivých projektov v PO4</w:t>
      </w:r>
      <w:bookmarkEnd w:id="6"/>
    </w:p>
    <w:p w14:paraId="36B738EE" w14:textId="5627CB3F" w:rsidR="00634260" w:rsidRPr="00DD6590" w:rsidRDefault="00634260" w:rsidP="00634260">
      <w:r w:rsidRPr="00DD6590">
        <w:t>Nasledujúca tabuľka obsahuje vyhodnotenie realizovaných projektov z hľadiska času, financií a plnenia ukazovateľov a návrh opatrení na úrovni jednotlivých projektov. Vyhodnotenie realizácie jednotlivých projektov je farebne rozlíšené nasledovne:</w:t>
      </w:r>
    </w:p>
    <w:p w14:paraId="04C76004" w14:textId="4FAD1CD5" w:rsidR="00634260" w:rsidRPr="00DD6590" w:rsidRDefault="00634260" w:rsidP="003E761D">
      <w:pPr>
        <w:pStyle w:val="ListParagraph"/>
        <w:numPr>
          <w:ilvl w:val="0"/>
          <w:numId w:val="37"/>
        </w:numPr>
        <w:spacing w:line="240" w:lineRule="auto"/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D0EC9F"/>
          <w:szCs w:val="18"/>
        </w:rPr>
        <w:t xml:space="preserve">zelená farba </w:t>
      </w:r>
      <w:r w:rsidRPr="00DD6590">
        <w:rPr>
          <w:rFonts w:asciiTheme="minorHAnsi" w:hAnsiTheme="minorHAnsi"/>
          <w:szCs w:val="18"/>
        </w:rPr>
        <w:t>– žiadne</w:t>
      </w:r>
      <w:r w:rsidR="00EC7D17" w:rsidRPr="00DD6590">
        <w:rPr>
          <w:rFonts w:asciiTheme="minorHAnsi" w:hAnsiTheme="minorHAnsi"/>
          <w:szCs w:val="18"/>
        </w:rPr>
        <w:t>, resp. nízke</w:t>
      </w:r>
      <w:r w:rsidRPr="00DD6590">
        <w:rPr>
          <w:rFonts w:asciiTheme="minorHAnsi" w:hAnsiTheme="minorHAnsi"/>
          <w:szCs w:val="18"/>
        </w:rPr>
        <w:t xml:space="preserve"> riziko, tzn. projekty sú realizované/ukončené v súlade s harmonogramom, bez omeškania. Naplnenie ukazovateľov z realizovaných projektov by malo byť na úrovni min. 85</w:t>
      </w:r>
      <w:r w:rsidR="00576E93">
        <w:rPr>
          <w:rFonts w:asciiTheme="minorHAnsi" w:hAnsiTheme="minorHAnsi"/>
          <w:szCs w:val="18"/>
        </w:rPr>
        <w:t xml:space="preserve"> </w:t>
      </w:r>
      <w:r w:rsidRPr="00DD6590">
        <w:rPr>
          <w:rFonts w:asciiTheme="minorHAnsi" w:hAnsiTheme="minorHAnsi"/>
          <w:szCs w:val="18"/>
        </w:rPr>
        <w:t>%</w:t>
      </w:r>
      <w:r w:rsidR="00576E93">
        <w:rPr>
          <w:rFonts w:asciiTheme="minorHAnsi" w:hAnsiTheme="minorHAnsi"/>
          <w:szCs w:val="18"/>
        </w:rPr>
        <w:t>,</w:t>
      </w:r>
    </w:p>
    <w:p w14:paraId="6FBB328C" w14:textId="27FB3358" w:rsidR="00634260" w:rsidRPr="00DD6590" w:rsidRDefault="00634260" w:rsidP="003E761D">
      <w:pPr>
        <w:pStyle w:val="ListParagraph"/>
        <w:numPr>
          <w:ilvl w:val="0"/>
          <w:numId w:val="37"/>
        </w:numPr>
        <w:spacing w:line="240" w:lineRule="auto"/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FFD653"/>
          <w:szCs w:val="18"/>
        </w:rPr>
        <w:t xml:space="preserve">žltá farba </w:t>
      </w:r>
      <w:r w:rsidRPr="00DD6590">
        <w:rPr>
          <w:rFonts w:asciiTheme="minorHAnsi" w:hAnsiTheme="minorHAnsi"/>
          <w:szCs w:val="18"/>
        </w:rPr>
        <w:t>– stredné riziko, tzn. projekty, ktoré nevykazujú závažné riziká, avšak časová realizácia nie je v súlade s vecným plnením a čerpaním. Zazmluvnené projekty nenapĺňajú min. požadovanú hodnotu (85</w:t>
      </w:r>
      <w:r w:rsidR="00576E93">
        <w:rPr>
          <w:rFonts w:asciiTheme="minorHAnsi" w:hAnsiTheme="minorHAnsi"/>
          <w:szCs w:val="18"/>
        </w:rPr>
        <w:t xml:space="preserve"> </w:t>
      </w:r>
      <w:r w:rsidRPr="00DD6590">
        <w:rPr>
          <w:rFonts w:asciiTheme="minorHAnsi" w:hAnsiTheme="minorHAnsi"/>
          <w:szCs w:val="18"/>
        </w:rPr>
        <w:t>%)</w:t>
      </w:r>
      <w:r w:rsidR="00576E93">
        <w:rPr>
          <w:rFonts w:asciiTheme="minorHAnsi" w:hAnsiTheme="minorHAnsi"/>
          <w:szCs w:val="18"/>
        </w:rPr>
        <w:t>, ale</w:t>
      </w:r>
      <w:r w:rsidRPr="00DD6590">
        <w:rPr>
          <w:rFonts w:asciiTheme="minorHAnsi" w:hAnsiTheme="minorHAnsi"/>
          <w:szCs w:val="18"/>
        </w:rPr>
        <w:t xml:space="preserve"> v rámci PO sú plánované projekty, ktoré tento ukazovateľ naplnia</w:t>
      </w:r>
      <w:r w:rsidR="00576E93">
        <w:rPr>
          <w:rFonts w:asciiTheme="minorHAnsi" w:hAnsiTheme="minorHAnsi"/>
          <w:szCs w:val="18"/>
        </w:rPr>
        <w:t>,</w:t>
      </w:r>
      <w:r w:rsidR="00576E93" w:rsidRPr="00DD6590">
        <w:rPr>
          <w:rFonts w:asciiTheme="minorHAnsi" w:hAnsiTheme="minorHAnsi"/>
          <w:szCs w:val="18"/>
        </w:rPr>
        <w:t xml:space="preserve"> </w:t>
      </w:r>
    </w:p>
    <w:p w14:paraId="7B8F0E6E" w14:textId="6AED82CB" w:rsidR="00634260" w:rsidRPr="00DD6590" w:rsidRDefault="00634260" w:rsidP="003E761D">
      <w:pPr>
        <w:pStyle w:val="ListParagraph"/>
        <w:numPr>
          <w:ilvl w:val="0"/>
          <w:numId w:val="37"/>
        </w:numPr>
        <w:spacing w:line="240" w:lineRule="auto"/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EF858F"/>
          <w:szCs w:val="18"/>
        </w:rPr>
        <w:t xml:space="preserve">červená farba </w:t>
      </w:r>
      <w:r w:rsidRPr="00DD6590">
        <w:rPr>
          <w:rFonts w:asciiTheme="minorHAnsi" w:hAnsiTheme="minorHAnsi"/>
          <w:szCs w:val="18"/>
        </w:rPr>
        <w:t xml:space="preserve">– vysoké riziko, tzn. projekt nie je realizovaný v súlade s harmonogramom, resp. </w:t>
      </w:r>
      <w:r w:rsidR="00576E93" w:rsidRPr="00DD6590">
        <w:rPr>
          <w:rFonts w:asciiTheme="minorHAnsi" w:hAnsiTheme="minorHAnsi"/>
          <w:szCs w:val="18"/>
        </w:rPr>
        <w:t xml:space="preserve">počas realizácie projektu </w:t>
      </w:r>
      <w:r w:rsidRPr="00DD6590">
        <w:rPr>
          <w:rFonts w:asciiTheme="minorHAnsi" w:hAnsiTheme="minorHAnsi"/>
          <w:szCs w:val="18"/>
        </w:rPr>
        <w:t>došlo k závažným udalostiam, ktoré môžu ohroziť úspešné ukončenie realizácie</w:t>
      </w:r>
      <w:r w:rsidR="000E4B03">
        <w:rPr>
          <w:rFonts w:asciiTheme="minorHAnsi" w:hAnsiTheme="minorHAnsi"/>
          <w:szCs w:val="18"/>
        </w:rPr>
        <w:t>,</w:t>
      </w:r>
      <w:r w:rsidR="005F3082" w:rsidRPr="00DD6590">
        <w:rPr>
          <w:rFonts w:asciiTheme="minorHAnsi" w:hAnsiTheme="minorHAnsi"/>
          <w:szCs w:val="18"/>
        </w:rPr>
        <w:t xml:space="preserve"> a</w:t>
      </w:r>
      <w:r w:rsidRPr="00DD6590">
        <w:rPr>
          <w:rFonts w:asciiTheme="minorHAnsi" w:hAnsiTheme="minorHAnsi"/>
          <w:szCs w:val="18"/>
        </w:rPr>
        <w:t xml:space="preserve"> </w:t>
      </w:r>
      <w:r w:rsidR="005F3082" w:rsidRPr="00DD6590">
        <w:rPr>
          <w:rFonts w:asciiTheme="minorHAnsi" w:hAnsiTheme="minorHAnsi"/>
          <w:szCs w:val="18"/>
        </w:rPr>
        <w:t>n</w:t>
      </w:r>
      <w:r w:rsidRPr="00DD6590">
        <w:rPr>
          <w:rFonts w:asciiTheme="minorHAnsi" w:hAnsiTheme="minorHAnsi"/>
          <w:szCs w:val="18"/>
        </w:rPr>
        <w:t xml:space="preserve">ie je predpoklad naplnenia min. hodnoty ukazovateľa. </w:t>
      </w:r>
    </w:p>
    <w:p w14:paraId="07D2F282" w14:textId="77777777" w:rsidR="00634260" w:rsidRPr="00DD6590" w:rsidRDefault="00634260" w:rsidP="00D62DBA">
      <w:pPr>
        <w:spacing w:before="0" w:after="0" w:line="240" w:lineRule="auto"/>
        <w:jc w:val="left"/>
        <w:rPr>
          <w:b/>
          <w:bCs/>
          <w:color w:val="FFFFFF" w:themeColor="background1"/>
          <w:sz w:val="16"/>
          <w:szCs w:val="16"/>
        </w:rPr>
        <w:sectPr w:rsidR="00634260" w:rsidRPr="00DD6590" w:rsidSect="000D4D54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70" w:right="1411" w:bottom="1411" w:left="1411" w:header="677" w:footer="562" w:gutter="0"/>
          <w:cols w:space="284"/>
          <w:titlePg/>
          <w:docGrid w:linePitch="360"/>
        </w:sectPr>
      </w:pPr>
    </w:p>
    <w:p w14:paraId="23EDBB75" w14:textId="21862C60" w:rsidR="00961697" w:rsidRPr="00DD6590" w:rsidRDefault="00961697" w:rsidP="00961697">
      <w:pPr>
        <w:keepNext/>
        <w:rPr>
          <w:iCs/>
          <w:color w:val="75787B" w:themeColor="accent6"/>
          <w:sz w:val="17"/>
          <w:szCs w:val="18"/>
        </w:rPr>
      </w:pPr>
      <w:bookmarkStart w:id="7" w:name="_Toc8805480"/>
      <w:r w:rsidRPr="00DD6590">
        <w:rPr>
          <w:iCs/>
          <w:color w:val="75787B" w:themeColor="accent6"/>
          <w:sz w:val="17"/>
          <w:szCs w:val="18"/>
        </w:rPr>
        <w:lastRenderedPageBreak/>
        <w:t xml:space="preserve">Tabuľka </w:t>
      </w:r>
      <w:r w:rsidRPr="00DD6590">
        <w:rPr>
          <w:iCs/>
          <w:color w:val="75787B" w:themeColor="accent6"/>
          <w:sz w:val="17"/>
          <w:szCs w:val="18"/>
        </w:rPr>
        <w:fldChar w:fldCharType="begin"/>
      </w:r>
      <w:r w:rsidRPr="00DD6590">
        <w:rPr>
          <w:iCs/>
          <w:color w:val="75787B" w:themeColor="accent6"/>
          <w:sz w:val="17"/>
          <w:szCs w:val="18"/>
        </w:rPr>
        <w:instrText xml:space="preserve"> SEQ Tabuľka \* ARABIC </w:instrText>
      </w:r>
      <w:r w:rsidRPr="00DD6590">
        <w:rPr>
          <w:iCs/>
          <w:color w:val="75787B" w:themeColor="accent6"/>
          <w:sz w:val="17"/>
          <w:szCs w:val="18"/>
        </w:rPr>
        <w:fldChar w:fldCharType="separate"/>
      </w:r>
      <w:r w:rsidR="00F77687">
        <w:rPr>
          <w:iCs/>
          <w:noProof/>
          <w:color w:val="75787B" w:themeColor="accent6"/>
          <w:sz w:val="17"/>
          <w:szCs w:val="18"/>
        </w:rPr>
        <w:t>3</w:t>
      </w:r>
      <w:r w:rsidRPr="00DD6590">
        <w:rPr>
          <w:iCs/>
          <w:color w:val="75787B" w:themeColor="accent6"/>
          <w:sz w:val="17"/>
          <w:szCs w:val="18"/>
        </w:rPr>
        <w:fldChar w:fldCharType="end"/>
      </w:r>
      <w:r w:rsidRPr="00DD6590">
        <w:rPr>
          <w:iCs/>
          <w:color w:val="75787B" w:themeColor="accent6"/>
          <w:sz w:val="17"/>
          <w:szCs w:val="18"/>
        </w:rPr>
        <w:t xml:space="preserve"> Vyhodnotenie realizácie projektov PO4</w:t>
      </w:r>
      <w:bookmarkEnd w:id="7"/>
    </w:p>
    <w:tbl>
      <w:tblPr>
        <w:tblStyle w:val="ListTable3-Accent1"/>
        <w:tblW w:w="5450" w:type="pct"/>
        <w:tblInd w:w="-540" w:type="dxa"/>
        <w:tblBorders>
          <w:insideH w:val="single" w:sz="4" w:space="0" w:color="86BC25" w:themeColor="accent1"/>
          <w:insideV w:val="single" w:sz="4" w:space="0" w:color="86BC25" w:themeColor="accent1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"/>
        <w:gridCol w:w="1663"/>
        <w:gridCol w:w="1296"/>
        <w:gridCol w:w="1380"/>
        <w:gridCol w:w="864"/>
        <w:gridCol w:w="971"/>
        <w:gridCol w:w="1069"/>
        <w:gridCol w:w="61"/>
        <w:gridCol w:w="2440"/>
        <w:gridCol w:w="2440"/>
        <w:gridCol w:w="2699"/>
      </w:tblGrid>
      <w:tr w:rsidR="00F43238" w:rsidRPr="00DD6590" w14:paraId="26E020B6" w14:textId="77777777" w:rsidTr="00AB7D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" w:type="pct"/>
          </w:tcPr>
          <w:p w14:paraId="210396C0" w14:textId="51D94045" w:rsidR="00F43238" w:rsidRPr="00DD6590" w:rsidRDefault="00F43238" w:rsidP="00F43238">
            <w:pPr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45" w:type="pct"/>
          </w:tcPr>
          <w:p w14:paraId="21BB064A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4" w:type="pct"/>
          </w:tcPr>
          <w:p w14:paraId="1EED03C0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52" w:type="pct"/>
          </w:tcPr>
          <w:p w14:paraId="05B59F71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71" w:type="pct"/>
            <w:gridSpan w:val="4"/>
          </w:tcPr>
          <w:p w14:paraId="23B2587E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Stav</w:t>
            </w:r>
          </w:p>
        </w:tc>
        <w:tc>
          <w:tcPr>
            <w:tcW w:w="799" w:type="pct"/>
            <w:vMerge w:val="restart"/>
            <w:vAlign w:val="center"/>
          </w:tcPr>
          <w:p w14:paraId="0BF99439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Plnenie ukazovateľov výstupu a výsledku</w:t>
            </w:r>
          </w:p>
        </w:tc>
        <w:tc>
          <w:tcPr>
            <w:tcW w:w="799" w:type="pct"/>
            <w:vMerge w:val="restart"/>
            <w:vAlign w:val="center"/>
          </w:tcPr>
          <w:p w14:paraId="00B7F5E6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Hlavné zistenia</w:t>
            </w:r>
          </w:p>
        </w:tc>
        <w:tc>
          <w:tcPr>
            <w:tcW w:w="884" w:type="pct"/>
            <w:vMerge w:val="restart"/>
            <w:vAlign w:val="center"/>
          </w:tcPr>
          <w:p w14:paraId="2C612BF5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Návrh opatrení</w:t>
            </w:r>
          </w:p>
        </w:tc>
      </w:tr>
      <w:tr w:rsidR="00F43238" w:rsidRPr="00DD6590" w14:paraId="6819F3DA" w14:textId="77777777" w:rsidTr="00AB7D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" w:type="pct"/>
          </w:tcPr>
          <w:p w14:paraId="7F53A8C3" w14:textId="77777777" w:rsidR="00F43238" w:rsidRPr="00DD6590" w:rsidRDefault="00F43238" w:rsidP="00F43238">
            <w:pPr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545" w:type="pct"/>
          </w:tcPr>
          <w:p w14:paraId="477E43B4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Názov projektu</w:t>
            </w:r>
          </w:p>
        </w:tc>
        <w:tc>
          <w:tcPr>
            <w:tcW w:w="424" w:type="pct"/>
          </w:tcPr>
          <w:p w14:paraId="51F82030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Vyhodnotenie</w:t>
            </w:r>
          </w:p>
        </w:tc>
        <w:tc>
          <w:tcPr>
            <w:tcW w:w="452" w:type="pct"/>
          </w:tcPr>
          <w:p w14:paraId="36F7BC70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EÚ zdroje zazmluvnené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2"/>
            </w:r>
          </w:p>
        </w:tc>
        <w:tc>
          <w:tcPr>
            <w:tcW w:w="283" w:type="pct"/>
          </w:tcPr>
          <w:p w14:paraId="5904D6D9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Finančné čerpanie</w:t>
            </w:r>
          </w:p>
          <w:p w14:paraId="29B32B95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(EÚ zdroj)</w:t>
            </w:r>
          </w:p>
        </w:tc>
        <w:tc>
          <w:tcPr>
            <w:tcW w:w="318" w:type="pct"/>
          </w:tcPr>
          <w:p w14:paraId="599BCA6B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Časové čerpanie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3"/>
            </w:r>
          </w:p>
        </w:tc>
        <w:tc>
          <w:tcPr>
            <w:tcW w:w="370" w:type="pct"/>
            <w:gridSpan w:val="2"/>
          </w:tcPr>
          <w:p w14:paraId="48B15C2A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Vecné plnenie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4"/>
            </w:r>
          </w:p>
        </w:tc>
        <w:tc>
          <w:tcPr>
            <w:tcW w:w="799" w:type="pct"/>
            <w:vMerge/>
          </w:tcPr>
          <w:p w14:paraId="5729834F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9" w:type="pct"/>
            <w:vMerge/>
          </w:tcPr>
          <w:p w14:paraId="6E9F558C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4" w:type="pct"/>
            <w:vMerge/>
          </w:tcPr>
          <w:p w14:paraId="71A1D29E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43238" w:rsidRPr="00DD6590" w14:paraId="73B02064" w14:textId="77777777" w:rsidTr="00AB7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" w:type="pct"/>
          </w:tcPr>
          <w:p w14:paraId="46ACE729" w14:textId="77777777" w:rsidR="00F43238" w:rsidRPr="00DD6590" w:rsidRDefault="00F43238" w:rsidP="00F43238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545" w:type="pct"/>
          </w:tcPr>
          <w:p w14:paraId="722CD81F" w14:textId="7B51F297" w:rsidR="00F43238" w:rsidRPr="00DD6590" w:rsidRDefault="00F43238" w:rsidP="00D326FE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Bezpečnostný projekt a </w:t>
            </w:r>
            <w:r w:rsidR="00D326FE" w:rsidRPr="00DD6590">
              <w:rPr>
                <w:rFonts w:asciiTheme="minorHAnsi" w:hAnsiTheme="minorHAnsi"/>
                <w:sz w:val="16"/>
                <w:szCs w:val="16"/>
              </w:rPr>
              <w:t>h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avarijný plán verejného prístavu Bratislava</w:t>
            </w:r>
          </w:p>
        </w:tc>
        <w:tc>
          <w:tcPr>
            <w:tcW w:w="424" w:type="pct"/>
            <w:shd w:val="clear" w:color="auto" w:fill="D0EC9F"/>
          </w:tcPr>
          <w:p w14:paraId="3D6C215C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52" w:type="pct"/>
          </w:tcPr>
          <w:p w14:paraId="7848A940" w14:textId="34BF9F0E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25 833,04 </w:t>
            </w:r>
            <w:r w:rsidR="00C23DEE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3" w:type="pct"/>
          </w:tcPr>
          <w:p w14:paraId="1691EC7F" w14:textId="2F7BF612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97,55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772A7B81" w14:textId="419BCDE8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70" w:type="pct"/>
            <w:gridSpan w:val="2"/>
          </w:tcPr>
          <w:p w14:paraId="33D10CFC" w14:textId="11370E0F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100</w:t>
            </w:r>
            <w:r w:rsidR="00576E93">
              <w:rPr>
                <w:rFonts w:asciiTheme="minorHAnsi" w:hAnsiTheme="minorHAnsi"/>
                <w:sz w:val="16"/>
                <w:szCs w:val="16"/>
                <w:lang w:val="cs-CZ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%</w:t>
            </w:r>
          </w:p>
          <w:p w14:paraId="75EBE29B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projekt ukončený</w:t>
            </w:r>
          </w:p>
        </w:tc>
        <w:tc>
          <w:tcPr>
            <w:tcW w:w="799" w:type="pct"/>
          </w:tcPr>
          <w:p w14:paraId="756143F3" w14:textId="3645B8EC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576E93"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100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</w:tcPr>
          <w:p w14:paraId="2F78B3FE" w14:textId="535D6C05" w:rsidR="00F43238" w:rsidRPr="00DD6590" w:rsidRDefault="00961697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v súlade s časovým harmonogramom.</w:t>
            </w:r>
          </w:p>
        </w:tc>
        <w:tc>
          <w:tcPr>
            <w:tcW w:w="884" w:type="pct"/>
          </w:tcPr>
          <w:p w14:paraId="7AC1B0FF" w14:textId="77777777" w:rsidR="00F43238" w:rsidRPr="00DD6590" w:rsidRDefault="00F43238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43238" w:rsidRPr="00DD6590" w14:paraId="00390915" w14:textId="77777777" w:rsidTr="007A7786">
        <w:trPr>
          <w:trHeight w:val="2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" w:type="pct"/>
          </w:tcPr>
          <w:p w14:paraId="46D7A2F9" w14:textId="77777777" w:rsidR="00F43238" w:rsidRPr="00DD6590" w:rsidRDefault="00F43238" w:rsidP="00F43238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545" w:type="pct"/>
          </w:tcPr>
          <w:p w14:paraId="59941408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Štúdia uskutočniteľnosti pre projekt „Modernizácia vytyčovacej techniky a plavebného značenia na vodnej ceste medzinárodného významu Dunaj"</w:t>
            </w:r>
          </w:p>
        </w:tc>
        <w:tc>
          <w:tcPr>
            <w:tcW w:w="424" w:type="pct"/>
            <w:shd w:val="clear" w:color="auto" w:fill="FFD653"/>
          </w:tcPr>
          <w:p w14:paraId="20D14E20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52" w:type="pct"/>
          </w:tcPr>
          <w:p w14:paraId="18AEE596" w14:textId="2BD41199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151 200,83 </w:t>
            </w:r>
            <w:r w:rsidR="00C23DEE"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08AA7BAB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pct"/>
          </w:tcPr>
          <w:p w14:paraId="0F57103D" w14:textId="0410D963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bookmarkStart w:id="8" w:name="_GoBack"/>
            <w:bookmarkEnd w:id="8"/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1A16A1B8" w14:textId="1570614A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70" w:type="pct"/>
            <w:gridSpan w:val="2"/>
          </w:tcPr>
          <w:p w14:paraId="7146D41A" w14:textId="135121D0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</w:tcPr>
          <w:p w14:paraId="4543D57E" w14:textId="01B3E896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P0511 </w:t>
            </w:r>
            <w:r w:rsidR="00576E93"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vypracovaných štúdií realizovateľnosti (v súvislosti s rozvojom prístavov a vodných ciest TEN-T CORE): 0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</w:tcPr>
          <w:p w14:paraId="566219EA" w14:textId="718FF8AC" w:rsidR="00F43238" w:rsidRPr="00DD6590" w:rsidRDefault="00F43238" w:rsidP="00576E93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vo fáze pred vyhlásením verejného obstarávania. Z časového hľadiska došlo k omeškaniu plánovaného dátumu začiatku VO</w:t>
            </w:r>
            <w:r w:rsidR="00576E93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576E93">
              <w:rPr>
                <w:rFonts w:asciiTheme="minorHAnsi" w:hAnsiTheme="minorHAnsi"/>
                <w:sz w:val="16"/>
                <w:szCs w:val="16"/>
              </w:rPr>
              <w:t>ale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nepredpokladá sa meškanie realizáci</w:t>
            </w:r>
            <w:r w:rsidR="00576E93">
              <w:rPr>
                <w:rFonts w:asciiTheme="minorHAnsi" w:hAnsiTheme="minorHAnsi"/>
                <w:sz w:val="16"/>
                <w:szCs w:val="16"/>
              </w:rPr>
              <w:t>e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projektu.</w:t>
            </w:r>
          </w:p>
        </w:tc>
        <w:tc>
          <w:tcPr>
            <w:tcW w:w="884" w:type="pct"/>
          </w:tcPr>
          <w:p w14:paraId="0C89095E" w14:textId="109CF0CF" w:rsidR="00F43238" w:rsidRPr="00DD6590" w:rsidRDefault="007A7786" w:rsidP="007A77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napĺňania ukazovateľa projektu a realizácie projektu v súlade s harmonogramom. </w:t>
            </w:r>
          </w:p>
        </w:tc>
      </w:tr>
      <w:tr w:rsidR="00F43238" w:rsidRPr="00DD6590" w14:paraId="4C0052B0" w14:textId="77777777" w:rsidTr="00AB7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" w:type="pct"/>
          </w:tcPr>
          <w:p w14:paraId="271E2B5E" w14:textId="77777777" w:rsidR="00F43238" w:rsidRPr="00DD6590" w:rsidRDefault="00F43238" w:rsidP="00F43238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545" w:type="pct"/>
          </w:tcPr>
          <w:p w14:paraId="4B728C97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Pravidelná osobná vodná doprava po Dunaji – DUNAJBUS – predprojektová príprava</w:t>
            </w:r>
          </w:p>
        </w:tc>
        <w:tc>
          <w:tcPr>
            <w:tcW w:w="424" w:type="pct"/>
            <w:shd w:val="clear" w:color="auto" w:fill="FFD653"/>
          </w:tcPr>
          <w:p w14:paraId="0488641C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52" w:type="pct"/>
          </w:tcPr>
          <w:p w14:paraId="7F75452F" w14:textId="3B43DAF1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78 370,00 </w:t>
            </w:r>
            <w:r w:rsidR="00C23DEE">
              <w:rPr>
                <w:rFonts w:asciiTheme="minorHAnsi" w:hAnsiTheme="minorHAnsi"/>
                <w:sz w:val="16"/>
                <w:szCs w:val="16"/>
              </w:rPr>
              <w:t>EUR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283" w:type="pct"/>
          </w:tcPr>
          <w:p w14:paraId="50EC130F" w14:textId="1B2B5CC9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53,15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0BA41160" w14:textId="6993556C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83,3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70" w:type="pct"/>
            <w:gridSpan w:val="2"/>
          </w:tcPr>
          <w:p w14:paraId="303B4B12" w14:textId="5440F83C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92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</w:tcPr>
          <w:p w14:paraId="6DBBB80B" w14:textId="35331E27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P0511 </w:t>
            </w:r>
            <w:r w:rsidR="00576E93"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vypracovaných štúdií realizovateľnosti (v súvislosti s rozvojom prístavov a vodných ciest TEN-T CORE): 0</w:t>
            </w:r>
            <w:r w:rsidR="00576E93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</w:tcPr>
          <w:p w14:paraId="55907B46" w14:textId="00200DF4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je z časového hľadiska omeškaný o 4 mesiace z dôvodu predĺženia realizácie aktivít (prebieha proces EIA). </w:t>
            </w:r>
            <w:r w:rsidR="00295586" w:rsidRPr="00DD6590">
              <w:rPr>
                <w:rFonts w:asciiTheme="minorHAnsi" w:hAnsiTheme="minorHAnsi"/>
                <w:sz w:val="16"/>
                <w:szCs w:val="16"/>
              </w:rPr>
              <w:t>B</w:t>
            </w:r>
            <w:r w:rsidR="003D54BF" w:rsidRPr="00DD6590">
              <w:rPr>
                <w:rFonts w:asciiTheme="minorHAnsi" w:hAnsiTheme="minorHAnsi"/>
                <w:sz w:val="16"/>
                <w:szCs w:val="16"/>
              </w:rPr>
              <w:t>olo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identifikované riziko prípadného nedodržania časového harmonogramu</w:t>
            </w:r>
            <w:r w:rsidR="00576E93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ak sa skomplikuje proces EIA.</w:t>
            </w:r>
          </w:p>
          <w:p w14:paraId="22D6213F" w14:textId="428A314C" w:rsidR="00F43238" w:rsidRPr="00DD6590" w:rsidRDefault="00F43238" w:rsidP="003D54B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Dve z troch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podaktivít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(1 a 3) projektu sú ukončené, pričom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podaktivita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č. 2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(dokumentácia je dokončená a pripravená na odovzdanie) je vo fáze posudzovania na OÚ BA. </w:t>
            </w:r>
            <w:r w:rsidR="003D54BF" w:rsidRPr="00DD6590">
              <w:rPr>
                <w:rFonts w:asciiTheme="minorHAnsi" w:hAnsiTheme="minorHAnsi"/>
                <w:sz w:val="16"/>
                <w:szCs w:val="16"/>
              </w:rPr>
              <w:t>Realizácia projektu bola na do konca roka 2018 na úrovni 92</w:t>
            </w:r>
            <w:r w:rsidR="00576E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D54BF" w:rsidRPr="00DD6590">
              <w:rPr>
                <w:rFonts w:asciiTheme="minorHAnsi" w:hAnsiTheme="minorHAnsi"/>
                <w:sz w:val="16"/>
                <w:szCs w:val="16"/>
              </w:rPr>
              <w:t>%</w:t>
            </w:r>
            <w:r w:rsidR="00576E93">
              <w:rPr>
                <w:rFonts w:asciiTheme="minorHAnsi" w:hAnsiTheme="minorHAnsi"/>
                <w:sz w:val="16"/>
                <w:szCs w:val="16"/>
              </w:rPr>
              <w:t>.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 </w:t>
            </w:r>
          </w:p>
        </w:tc>
        <w:tc>
          <w:tcPr>
            <w:tcW w:w="884" w:type="pct"/>
          </w:tcPr>
          <w:p w14:paraId="6F3E7978" w14:textId="77777777" w:rsidR="00F43238" w:rsidRPr="00DD6590" w:rsidRDefault="007A4FB4" w:rsidP="007A77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Dôsledný monitoring napĺňania ukazovateľa projektu a realizácie projektu v súlade s harmonogramom.</w:t>
            </w:r>
          </w:p>
          <w:p w14:paraId="1B7AE05F" w14:textId="4A2B829E" w:rsidR="007A543C" w:rsidRPr="00DD6590" w:rsidRDefault="007A543C" w:rsidP="00167200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Na základe záverov štúdie vyhodnotiť účelnosť projektu, ktorým by sa daná osobná vodná doprava</w:t>
            </w:r>
            <w:r w:rsidR="00167200" w:rsidRPr="00DD6590">
              <w:rPr>
                <w:rFonts w:asciiTheme="minorHAnsi" w:hAnsiTheme="minorHAnsi"/>
                <w:sz w:val="16"/>
                <w:szCs w:val="16"/>
              </w:rPr>
              <w:t xml:space="preserve"> bude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realizova</w:t>
            </w:r>
            <w:r w:rsidR="00167200" w:rsidRPr="00DD6590">
              <w:rPr>
                <w:rFonts w:asciiTheme="minorHAnsi" w:hAnsiTheme="minorHAnsi"/>
                <w:sz w:val="16"/>
                <w:szCs w:val="16"/>
              </w:rPr>
              <w:t>ť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, resp.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realokovať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finančné prostriedky do PO2 alebo PO3.</w:t>
            </w:r>
          </w:p>
          <w:p w14:paraId="0BC6282F" w14:textId="54EE0E6F" w:rsidR="00FB579B" w:rsidRPr="00DD6590" w:rsidRDefault="00FB579B" w:rsidP="00167200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Ďalšie aktivity sú podmienené stanoviskom EK k štúdii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uskutočniteľnosti</w:t>
            </w:r>
            <w:r w:rsidR="003D54BF" w:rsidRPr="00DD6590">
              <w:rPr>
                <w:rFonts w:asciiTheme="minorHAnsi" w:hAnsiTheme="minorHAnsi"/>
                <w:sz w:val="16"/>
                <w:szCs w:val="16"/>
              </w:rPr>
              <w:t xml:space="preserve"> a výsledkami CBA</w:t>
            </w:r>
            <w:r w:rsidR="00B93769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F43238" w:rsidRPr="00DD6590" w14:paraId="033C595F" w14:textId="77777777" w:rsidTr="00AB7D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" w:type="pct"/>
            <w:shd w:val="clear" w:color="auto" w:fill="D9D9D9" w:themeFill="background1" w:themeFillShade="D9"/>
          </w:tcPr>
          <w:p w14:paraId="43710BF2" w14:textId="77777777" w:rsidR="00F43238" w:rsidRPr="00DD6590" w:rsidRDefault="00F43238" w:rsidP="000D4D54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lastRenderedPageBreak/>
              <w:t>4</w:t>
            </w:r>
          </w:p>
        </w:tc>
        <w:tc>
          <w:tcPr>
            <w:tcW w:w="545" w:type="pct"/>
            <w:shd w:val="clear" w:color="auto" w:fill="D9D9D9" w:themeFill="background1" w:themeFillShade="D9"/>
          </w:tcPr>
          <w:p w14:paraId="62E40CDE" w14:textId="18E8D4CB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Zmena rýchlosti prúdenia v dolnej časti zdrže Hrušov </w:t>
            </w:r>
            <w:r w:rsidR="00B93769"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predprojektová a projektová príprava</w:t>
            </w:r>
          </w:p>
        </w:tc>
        <w:tc>
          <w:tcPr>
            <w:tcW w:w="424" w:type="pct"/>
            <w:shd w:val="clear" w:color="auto" w:fill="D9D9D9" w:themeFill="background1" w:themeFillShade="D9"/>
          </w:tcPr>
          <w:p w14:paraId="61CE8533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52" w:type="pct"/>
            <w:shd w:val="clear" w:color="auto" w:fill="D9D9D9" w:themeFill="background1" w:themeFillShade="D9"/>
          </w:tcPr>
          <w:p w14:paraId="4AD8EC97" w14:textId="37382C24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157 250,00 </w:t>
            </w:r>
            <w:r w:rsidR="00C23DEE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3" w:type="pct"/>
            <w:shd w:val="clear" w:color="auto" w:fill="D9D9D9" w:themeFill="background1" w:themeFillShade="D9"/>
          </w:tcPr>
          <w:p w14:paraId="7EF92861" w14:textId="620FF2DC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  <w:shd w:val="clear" w:color="auto" w:fill="D9D9D9" w:themeFill="background1" w:themeFillShade="D9"/>
          </w:tcPr>
          <w:p w14:paraId="378F150A" w14:textId="5AA462B7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70" w:type="pct"/>
            <w:gridSpan w:val="2"/>
            <w:shd w:val="clear" w:color="auto" w:fill="D9D9D9" w:themeFill="background1" w:themeFillShade="D9"/>
          </w:tcPr>
          <w:p w14:paraId="0726E798" w14:textId="669B1D4A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7A8F6637" w14:textId="010223FE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P0511 </w:t>
            </w:r>
            <w:r w:rsidR="00B93769"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vypracovaných štúdií realizovateľnosti (v súvislosti s rozvojom prístavov a vodných ciest TEN-T CORE): 0</w:t>
            </w:r>
            <w:r w:rsidR="00B9376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6A514E6E" w14:textId="69764E22" w:rsidR="00F43238" w:rsidRPr="00DD6590" w:rsidRDefault="00F43238" w:rsidP="005F3082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Zmluva o NFP je účinná od 16.</w:t>
            </w:r>
            <w:r w:rsidR="00B93769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2.</w:t>
            </w:r>
            <w:r w:rsidR="00B93769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2019, začiatok realizácie projektu sa predpokladá 05/2019. Projekt je vo fáze prípravy verejného obstarávania.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14:paraId="4C3AB4F1" w14:textId="77777777" w:rsidR="00F43238" w:rsidRPr="00DD6590" w:rsidRDefault="00F43238" w:rsidP="00F43238">
            <w:pPr>
              <w:pStyle w:val="ListParagraph"/>
              <w:spacing w:before="60" w:after="0" w:line="240" w:lineRule="auto"/>
              <w:ind w:left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43238" w:rsidRPr="00DD6590" w14:paraId="6A1DDF0F" w14:textId="77777777" w:rsidTr="00AB7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" w:type="pct"/>
            <w:shd w:val="clear" w:color="auto" w:fill="D9D9D9" w:themeFill="background1" w:themeFillShade="D9"/>
          </w:tcPr>
          <w:p w14:paraId="3D3D407E" w14:textId="77777777" w:rsidR="00F43238" w:rsidRPr="00DD6590" w:rsidRDefault="00F43238" w:rsidP="00F43238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color w:val="7F7F7F" w:themeColor="text1" w:themeTint="80"/>
                <w:sz w:val="16"/>
                <w:szCs w:val="16"/>
              </w:rPr>
              <w:t>x</w:t>
            </w:r>
          </w:p>
        </w:tc>
        <w:tc>
          <w:tcPr>
            <w:tcW w:w="545" w:type="pct"/>
            <w:shd w:val="clear" w:color="auto" w:fill="D9D9D9" w:themeFill="background1" w:themeFillShade="D9"/>
          </w:tcPr>
          <w:p w14:paraId="71DFF757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Štúdia realizovateľnosti, I. fáza: Technické opatrenia pre zabezpečenie požadovaných parametrov plavebnej dráhy vodnej cesty Dunaj nad Bratislavou v r. km 1880,260 – r .km 1862,000</w:t>
            </w:r>
          </w:p>
        </w:tc>
        <w:tc>
          <w:tcPr>
            <w:tcW w:w="424" w:type="pct"/>
            <w:shd w:val="clear" w:color="auto" w:fill="D9D9D9" w:themeFill="background1" w:themeFillShade="D9"/>
          </w:tcPr>
          <w:p w14:paraId="3820C615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52" w:type="pct"/>
            <w:shd w:val="clear" w:color="auto" w:fill="D9D9D9" w:themeFill="background1" w:themeFillShade="D9"/>
          </w:tcPr>
          <w:p w14:paraId="5C5BE8AC" w14:textId="04447B79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1</w:t>
            </w:r>
            <w:r w:rsidR="009C3E2F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578</w:t>
            </w:r>
            <w:r w:rsidR="009C3E2F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112</w:t>
            </w:r>
            <w:r w:rsidR="009C3E2F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00 </w:t>
            </w:r>
            <w:r w:rsidR="00C23DEE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EUR</w:t>
            </w:r>
          </w:p>
        </w:tc>
        <w:tc>
          <w:tcPr>
            <w:tcW w:w="283" w:type="pct"/>
            <w:shd w:val="clear" w:color="auto" w:fill="D9D9D9" w:themeFill="background1" w:themeFillShade="D9"/>
          </w:tcPr>
          <w:p w14:paraId="4CF9EE8B" w14:textId="373CE393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318" w:type="pct"/>
            <w:shd w:val="clear" w:color="auto" w:fill="D9D9D9" w:themeFill="background1" w:themeFillShade="D9"/>
          </w:tcPr>
          <w:p w14:paraId="2B411F17" w14:textId="5B444FE4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370" w:type="pct"/>
            <w:gridSpan w:val="2"/>
            <w:shd w:val="clear" w:color="auto" w:fill="D9D9D9" w:themeFill="background1" w:themeFillShade="D9"/>
          </w:tcPr>
          <w:p w14:paraId="7C5291F7" w14:textId="40B71DB4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06B69E0E" w14:textId="56643264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P0511 - Počet vypracovaných štúdií realizovateľnosti (v súvislosti s rozvojom prístavov a vodných ciest TEN-T CORE): 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4DCE6BC4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Projekt bol mimoriadne ukončený – neprispel k cieľom OP.</w:t>
            </w:r>
          </w:p>
          <w:p w14:paraId="26DA332A" w14:textId="52417140" w:rsidR="00F43238" w:rsidRPr="00DD6590" w:rsidRDefault="00F43238" w:rsidP="00B9376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Projekt ukončený z dôvodu </w:t>
            </w:r>
            <w:r w:rsidR="007A4FB4"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prípravy štúdie realizovateľnosti na celý úsek slovenskej časti Dunaja (tzn. r. km 1880,26 – r.km 1708,20).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14:paraId="1BE98EF4" w14:textId="77777777" w:rsidR="00F43238" w:rsidRPr="00DD6590" w:rsidRDefault="00F43238" w:rsidP="00F43238">
            <w:pPr>
              <w:pStyle w:val="ListParagraph"/>
              <w:spacing w:before="60" w:after="0" w:line="240" w:lineRule="auto"/>
              <w:ind w:left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</w:p>
        </w:tc>
      </w:tr>
      <w:tr w:rsidR="00F43238" w:rsidRPr="00DD6590" w14:paraId="56E6FCC5" w14:textId="77777777" w:rsidTr="00AB7D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" w:type="pct"/>
            <w:shd w:val="clear" w:color="auto" w:fill="D9D9D9" w:themeFill="background1" w:themeFillShade="D9"/>
          </w:tcPr>
          <w:p w14:paraId="17033A0A" w14:textId="77777777" w:rsidR="00F43238" w:rsidRPr="00DD6590" w:rsidRDefault="00F43238" w:rsidP="00F43238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color w:val="7F7F7F" w:themeColor="text1" w:themeTint="80"/>
                <w:sz w:val="16"/>
                <w:szCs w:val="16"/>
              </w:rPr>
              <w:t>x</w:t>
            </w:r>
          </w:p>
        </w:tc>
        <w:tc>
          <w:tcPr>
            <w:tcW w:w="545" w:type="pct"/>
            <w:shd w:val="clear" w:color="auto" w:fill="D9D9D9" w:themeFill="background1" w:themeFillShade="D9"/>
          </w:tcPr>
          <w:p w14:paraId="71D64136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Vybudovanie terminálu LNG vo verejnom prístave Bratislava – predprojektová príprava</w:t>
            </w:r>
          </w:p>
        </w:tc>
        <w:tc>
          <w:tcPr>
            <w:tcW w:w="424" w:type="pct"/>
            <w:shd w:val="clear" w:color="auto" w:fill="D9D9D9" w:themeFill="background1" w:themeFillShade="D9"/>
          </w:tcPr>
          <w:p w14:paraId="43909B92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52" w:type="pct"/>
            <w:shd w:val="clear" w:color="auto" w:fill="D9D9D9" w:themeFill="background1" w:themeFillShade="D9"/>
          </w:tcPr>
          <w:p w14:paraId="1DACF9B2" w14:textId="301855DC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618</w:t>
            </w:r>
            <w:r w:rsidR="009C3E2F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171</w:t>
            </w:r>
            <w:r w:rsidR="009C3E2F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12 </w:t>
            </w:r>
            <w:r w:rsidR="00C23DEE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EUR</w:t>
            </w:r>
          </w:p>
        </w:tc>
        <w:tc>
          <w:tcPr>
            <w:tcW w:w="283" w:type="pct"/>
            <w:shd w:val="clear" w:color="auto" w:fill="D9D9D9" w:themeFill="background1" w:themeFillShade="D9"/>
          </w:tcPr>
          <w:p w14:paraId="0FF3EA59" w14:textId="312983D0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318" w:type="pct"/>
            <w:shd w:val="clear" w:color="auto" w:fill="D9D9D9" w:themeFill="background1" w:themeFillShade="D9"/>
          </w:tcPr>
          <w:p w14:paraId="1B721327" w14:textId="3CAC5752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370" w:type="pct"/>
            <w:gridSpan w:val="2"/>
            <w:shd w:val="clear" w:color="auto" w:fill="D9D9D9" w:themeFill="background1" w:themeFillShade="D9"/>
          </w:tcPr>
          <w:p w14:paraId="02558934" w14:textId="1E7AFBBD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267D2EB0" w14:textId="30A2B7DB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P0511 </w:t>
            </w:r>
            <w:r w:rsidR="00B93769" w:rsidRPr="00DD322E">
              <w:rPr>
                <w:color w:val="7F7F7F" w:themeColor="text1" w:themeTint="80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Počet vypracovaných štúdií realizovateľnosti (v súvislosti s rozvojom prístavov a vodných ciest TEN-T CORE): 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1A2A826A" w14:textId="4BAF36EF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Projekt bol mimoriadne ukončený – neprispel k cieľom OP.</w:t>
            </w:r>
          </w:p>
          <w:p w14:paraId="1BDB5747" w14:textId="349DA4FB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Projekt zrušený z </w:t>
            </w:r>
            <w:r w:rsidR="005775F7"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dôvodu riešenia štátnej pomoci, bola schválená výnimka – GBER.</w:t>
            </w:r>
            <w:r w:rsidR="00671645"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Oprávnené výdavky budú vo výške 50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="00671645"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%.</w:t>
            </w:r>
          </w:p>
          <w:p w14:paraId="2B74E285" w14:textId="10514E03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D9D9D9" w:themeFill="background1" w:themeFillShade="D9"/>
          </w:tcPr>
          <w:p w14:paraId="3E22C4DC" w14:textId="77777777" w:rsidR="00F43238" w:rsidRPr="00DD6590" w:rsidRDefault="00F43238" w:rsidP="00F43238">
            <w:pPr>
              <w:pStyle w:val="ListParagraph"/>
              <w:spacing w:before="60" w:after="0" w:line="240" w:lineRule="auto"/>
              <w:ind w:left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</w:p>
        </w:tc>
      </w:tr>
      <w:tr w:rsidR="00F43238" w:rsidRPr="00DD6590" w14:paraId="08099936" w14:textId="77777777" w:rsidTr="00AB7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" w:type="pct"/>
            <w:shd w:val="clear" w:color="auto" w:fill="D9D9D9" w:themeFill="background1" w:themeFillShade="D9"/>
          </w:tcPr>
          <w:p w14:paraId="767BEB07" w14:textId="77777777" w:rsidR="00F43238" w:rsidRPr="00DD6590" w:rsidRDefault="00F43238" w:rsidP="00F43238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color w:val="7F7F7F" w:themeColor="text1" w:themeTint="80"/>
                <w:sz w:val="16"/>
                <w:szCs w:val="16"/>
              </w:rPr>
              <w:t>x</w:t>
            </w:r>
          </w:p>
        </w:tc>
        <w:tc>
          <w:tcPr>
            <w:tcW w:w="545" w:type="pct"/>
            <w:shd w:val="clear" w:color="auto" w:fill="D9D9D9" w:themeFill="background1" w:themeFillShade="D9"/>
          </w:tcPr>
          <w:p w14:paraId="0AF4671A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Štúdia realizovateľnosti, I. fáza: Technické opatrenia pre zabezpečenie požadovaných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lastRenderedPageBreak/>
              <w:t>parametrov plavebnej dráhy vodnej cesty Dunaj v r. km 1880,26 – r. km 1708,20</w:t>
            </w:r>
          </w:p>
        </w:tc>
        <w:tc>
          <w:tcPr>
            <w:tcW w:w="424" w:type="pct"/>
            <w:shd w:val="clear" w:color="auto" w:fill="D9D9D9" w:themeFill="background1" w:themeFillShade="D9"/>
          </w:tcPr>
          <w:p w14:paraId="5D241826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452" w:type="pct"/>
            <w:shd w:val="clear" w:color="auto" w:fill="D9D9D9" w:themeFill="background1" w:themeFillShade="D9"/>
          </w:tcPr>
          <w:p w14:paraId="4CBF637D" w14:textId="0FB0C9DD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5</w:t>
            </w:r>
            <w:r w:rsidR="009C3E2F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051</w:t>
            </w:r>
            <w:r w:rsidR="009C3E2F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628</w:t>
            </w:r>
            <w:r w:rsidR="009C3E2F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80 </w:t>
            </w:r>
            <w:r w:rsidR="00C23DEE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EUR</w:t>
            </w:r>
          </w:p>
        </w:tc>
        <w:tc>
          <w:tcPr>
            <w:tcW w:w="283" w:type="pct"/>
            <w:shd w:val="clear" w:color="auto" w:fill="D9D9D9" w:themeFill="background1" w:themeFillShade="D9"/>
          </w:tcPr>
          <w:p w14:paraId="65588BA6" w14:textId="16289BD5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318" w:type="pct"/>
            <w:shd w:val="clear" w:color="auto" w:fill="D9D9D9" w:themeFill="background1" w:themeFillShade="D9"/>
          </w:tcPr>
          <w:p w14:paraId="10F245F6" w14:textId="26AF1528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370" w:type="pct"/>
            <w:gridSpan w:val="2"/>
            <w:shd w:val="clear" w:color="auto" w:fill="D9D9D9" w:themeFill="background1" w:themeFillShade="D9"/>
          </w:tcPr>
          <w:p w14:paraId="39729C00" w14:textId="124FF4B8" w:rsidR="00F43238" w:rsidRPr="00DD6590" w:rsidRDefault="00F43238" w:rsidP="00F43238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7CD7773A" w14:textId="0C3CD710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P0511 </w:t>
            </w:r>
            <w:r w:rsidR="00B93769" w:rsidRPr="004E1535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Počet vypracovaných štúdií realizovateľnosti (v súvislosti s rozvojom prístavov a vodných ciest TEN-T CORE): 0</w:t>
            </w:r>
            <w:r w:rsidR="00B93769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%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3F0425B0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Projekt bol mimoriadne ukončený – neprispel k cieľom OP.</w:t>
            </w:r>
          </w:p>
          <w:p w14:paraId="7105D3FE" w14:textId="0A99DC88" w:rsidR="00F43238" w:rsidRPr="00DD6590" w:rsidRDefault="00F43238" w:rsidP="00F43238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>Projekt ukončený z dôvodu zrušenia ARVD.</w:t>
            </w:r>
            <w:r w:rsidR="005775F7"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t xml:space="preserve"> Novým </w:t>
            </w:r>
            <w:r w:rsidR="005775F7" w:rsidRPr="00DD6590"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  <w:lastRenderedPageBreak/>
              <w:t>prijímateľom je sekcia MDV SR.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14:paraId="07A2B515" w14:textId="77777777" w:rsidR="00F43238" w:rsidRPr="00DD6590" w:rsidRDefault="00F43238" w:rsidP="00F43238">
            <w:pPr>
              <w:pStyle w:val="ListParagraph"/>
              <w:spacing w:before="60" w:after="0" w:line="240" w:lineRule="auto"/>
              <w:ind w:left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7F7F7F" w:themeColor="text1" w:themeTint="80"/>
                <w:sz w:val="16"/>
                <w:szCs w:val="16"/>
              </w:rPr>
            </w:pPr>
          </w:p>
        </w:tc>
      </w:tr>
      <w:tr w:rsidR="00F43238" w:rsidRPr="00DD6590" w14:paraId="79AE2EFA" w14:textId="77777777" w:rsidTr="00AB7D43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" w:type="pct"/>
            <w:shd w:val="clear" w:color="auto" w:fill="E7F5CF" w:themeFill="accent1" w:themeFillTint="33"/>
          </w:tcPr>
          <w:p w14:paraId="73475108" w14:textId="77777777" w:rsidR="00F43238" w:rsidRPr="00DD6590" w:rsidRDefault="00F43238" w:rsidP="00F43238">
            <w:pPr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45" w:type="pct"/>
            <w:shd w:val="clear" w:color="auto" w:fill="E7F5CF" w:themeFill="accent1" w:themeFillTint="33"/>
          </w:tcPr>
          <w:p w14:paraId="11FC8463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Celkom</w:t>
            </w:r>
          </w:p>
        </w:tc>
        <w:tc>
          <w:tcPr>
            <w:tcW w:w="424" w:type="pct"/>
            <w:shd w:val="clear" w:color="auto" w:fill="E7F5CF" w:themeFill="accent1" w:themeFillTint="33"/>
          </w:tcPr>
          <w:p w14:paraId="1F6F93C6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52" w:type="pct"/>
            <w:shd w:val="clear" w:color="auto" w:fill="E7F5CF" w:themeFill="accent1" w:themeFillTint="33"/>
          </w:tcPr>
          <w:p w14:paraId="1684C330" w14:textId="151347FF" w:rsidR="00F43238" w:rsidRPr="00DD6590" w:rsidRDefault="00F43238" w:rsidP="00AB7D43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412</w:t>
            </w:r>
            <w:r w:rsidR="00AB7D43"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653</w:t>
            </w:r>
            <w:r w:rsidR="00AB7D43" w:rsidRPr="00DD6590">
              <w:rPr>
                <w:rFonts w:asciiTheme="minorHAnsi" w:hAnsiTheme="minorHAnsi"/>
                <w:b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87 </w:t>
            </w:r>
            <w:r w:rsidR="00C23DEE">
              <w:rPr>
                <w:rFonts w:asciiTheme="minorHAnsi" w:hAnsiTheme="minorHAnsi"/>
                <w:b/>
                <w:sz w:val="16"/>
                <w:szCs w:val="16"/>
              </w:rPr>
              <w:t>EUR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83" w:type="pct"/>
            <w:shd w:val="clear" w:color="auto" w:fill="E7F5CF" w:themeFill="accent1" w:themeFillTint="33"/>
          </w:tcPr>
          <w:p w14:paraId="7E40BB03" w14:textId="63014FC2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16,20</w:t>
            </w:r>
            <w:r w:rsidR="00B93769">
              <w:rPr>
                <w:rFonts w:asciiTheme="minorHAnsi" w:hAnsiTheme="minorHAnsi"/>
                <w:b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%</w:t>
            </w:r>
          </w:p>
        </w:tc>
        <w:tc>
          <w:tcPr>
            <w:tcW w:w="318" w:type="pct"/>
            <w:shd w:val="clear" w:color="auto" w:fill="E7F5CF" w:themeFill="accent1" w:themeFillTint="33"/>
          </w:tcPr>
          <w:p w14:paraId="1453533C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E7F5CF" w:themeFill="accent1" w:themeFillTint="33"/>
          </w:tcPr>
          <w:p w14:paraId="5BACE310" w14:textId="77777777" w:rsidR="00F43238" w:rsidRPr="00DD6590" w:rsidRDefault="00F43238" w:rsidP="00F43238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19" w:type="pct"/>
            <w:gridSpan w:val="2"/>
            <w:shd w:val="clear" w:color="auto" w:fill="E7F5CF" w:themeFill="accent1" w:themeFillTint="33"/>
          </w:tcPr>
          <w:p w14:paraId="128FB47B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99" w:type="pct"/>
            <w:shd w:val="clear" w:color="auto" w:fill="E7F5CF" w:themeFill="accent1" w:themeFillTint="33"/>
          </w:tcPr>
          <w:p w14:paraId="2E0B9A17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E7F5CF" w:themeFill="accent1" w:themeFillTint="33"/>
          </w:tcPr>
          <w:p w14:paraId="0E23422B" w14:textId="77777777" w:rsidR="00F43238" w:rsidRPr="00DD6590" w:rsidRDefault="00F43238" w:rsidP="00F43238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14:paraId="20DB9E7E" w14:textId="2792DB93" w:rsidR="00AB7D43" w:rsidRPr="00DD6590" w:rsidRDefault="00AB7D43" w:rsidP="00B0035E">
      <w:pPr>
        <w:pStyle w:val="Heading2"/>
      </w:pPr>
      <w:bookmarkStart w:id="9" w:name="_Toc9350276"/>
      <w:r w:rsidRPr="00DD6590">
        <w:t>Vyhodnotenie plnenia výstupových, výsledkových a finančných ukazovateľov v rámci PO 4</w:t>
      </w:r>
      <w:bookmarkEnd w:id="9"/>
    </w:p>
    <w:p w14:paraId="245C0A89" w14:textId="77777777" w:rsidR="00AB7D43" w:rsidRPr="00DD6590" w:rsidRDefault="00AB7D43" w:rsidP="00AB7D43">
      <w:pPr>
        <w:rPr>
          <w:rFonts w:asciiTheme="majorHAnsi" w:hAnsiTheme="majorHAnsi"/>
          <w:i/>
          <w:szCs w:val="18"/>
          <w:u w:val="single"/>
        </w:rPr>
      </w:pPr>
      <w:r w:rsidRPr="00DD6590">
        <w:rPr>
          <w:rFonts w:asciiTheme="majorHAnsi" w:hAnsiTheme="majorHAnsi"/>
          <w:i/>
          <w:szCs w:val="18"/>
          <w:u w:val="single"/>
        </w:rPr>
        <w:t>Vyhodnotenie ukazovateľov výsledku</w:t>
      </w:r>
    </w:p>
    <w:p w14:paraId="0521A7A1" w14:textId="1C530DDD" w:rsidR="004D661F" w:rsidRPr="00DD6590" w:rsidRDefault="004D661F" w:rsidP="004D661F">
      <w:pPr>
        <w:pStyle w:val="Caption"/>
      </w:pPr>
      <w:bookmarkStart w:id="10" w:name="_Toc8805481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F77687">
        <w:rPr>
          <w:noProof/>
        </w:rPr>
        <w:t>4</w:t>
      </w:r>
      <w:r w:rsidRPr="00DD6590">
        <w:fldChar w:fldCharType="end"/>
      </w:r>
      <w:r w:rsidRPr="00DD6590">
        <w:t xml:space="preserve"> Vyhodnotenie ukazovateľov výsledku PO4</w:t>
      </w:r>
      <w:bookmarkEnd w:id="10"/>
    </w:p>
    <w:tbl>
      <w:tblPr>
        <w:tblStyle w:val="TableGrid"/>
        <w:tblW w:w="15039" w:type="dxa"/>
        <w:tblInd w:w="-27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10"/>
        <w:gridCol w:w="1355"/>
        <w:gridCol w:w="1255"/>
        <w:gridCol w:w="1350"/>
        <w:gridCol w:w="1175"/>
        <w:gridCol w:w="990"/>
        <w:gridCol w:w="5850"/>
      </w:tblGrid>
      <w:tr w:rsidR="00AB7D43" w:rsidRPr="00DD6590" w14:paraId="1631B411" w14:textId="77777777" w:rsidTr="008B1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tblHeader/>
        </w:trPr>
        <w:tc>
          <w:tcPr>
            <w:tcW w:w="454" w:type="dxa"/>
            <w:shd w:val="clear" w:color="auto" w:fill="DBDCDE" w:themeFill="text2" w:themeFillTint="33"/>
            <w:vAlign w:val="center"/>
          </w:tcPr>
          <w:p w14:paraId="7A0CFD89" w14:textId="77777777" w:rsidR="00AB7D43" w:rsidRPr="00DD6590" w:rsidRDefault="00AB7D43" w:rsidP="00D62DBA">
            <w:pPr>
              <w:spacing w:before="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610" w:type="dxa"/>
            <w:shd w:val="clear" w:color="auto" w:fill="DBDCDE" w:themeFill="text2" w:themeFillTint="33"/>
            <w:vAlign w:val="center"/>
          </w:tcPr>
          <w:p w14:paraId="5F6773D1" w14:textId="77777777" w:rsidR="00AB7D43" w:rsidRPr="00DD6590" w:rsidRDefault="00AB7D43" w:rsidP="00D62DBA">
            <w:pPr>
              <w:spacing w:before="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Špecifické ukazovatele výsledku programu zodpovedajúce špecifickému cieľu</w:t>
            </w:r>
          </w:p>
        </w:tc>
        <w:tc>
          <w:tcPr>
            <w:tcW w:w="1355" w:type="dxa"/>
            <w:shd w:val="clear" w:color="auto" w:fill="DBDCDE" w:themeFill="text2" w:themeFillTint="33"/>
            <w:vAlign w:val="center"/>
          </w:tcPr>
          <w:p w14:paraId="1ED30D4B" w14:textId="77777777" w:rsidR="00AB7D43" w:rsidRPr="00DD6590" w:rsidRDefault="00AB7D43" w:rsidP="00D62DBA">
            <w:pPr>
              <w:spacing w:before="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Východisková hodnota (2013)</w:t>
            </w:r>
          </w:p>
        </w:tc>
        <w:tc>
          <w:tcPr>
            <w:tcW w:w="1255" w:type="dxa"/>
            <w:shd w:val="clear" w:color="auto" w:fill="DBDCDE" w:themeFill="text2" w:themeFillTint="33"/>
            <w:vAlign w:val="center"/>
          </w:tcPr>
          <w:p w14:paraId="21B1AD19" w14:textId="677D7532" w:rsidR="00AB7D43" w:rsidRPr="00DD6590" w:rsidRDefault="00AB7D43" w:rsidP="00D62DBA">
            <w:pPr>
              <w:spacing w:before="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Cieľová hodnota</w:t>
            </w:r>
            <w:r w:rsidR="00E67729" w:rsidRPr="00DD6590">
              <w:rPr>
                <w:b/>
                <w:sz w:val="16"/>
                <w:szCs w:val="16"/>
              </w:rPr>
              <w:t xml:space="preserve"> OPII</w:t>
            </w:r>
            <w:r w:rsidRPr="00DD6590">
              <w:rPr>
                <w:b/>
                <w:sz w:val="16"/>
                <w:szCs w:val="16"/>
              </w:rPr>
              <w:t xml:space="preserve"> (2023)</w:t>
            </w:r>
          </w:p>
        </w:tc>
        <w:tc>
          <w:tcPr>
            <w:tcW w:w="1350" w:type="dxa"/>
            <w:shd w:val="clear" w:color="auto" w:fill="DBDCDE" w:themeFill="text2" w:themeFillTint="33"/>
            <w:vAlign w:val="center"/>
          </w:tcPr>
          <w:p w14:paraId="384A4A0F" w14:textId="77777777" w:rsidR="00AB7D43" w:rsidRPr="00DD6590" w:rsidRDefault="00AB7D43" w:rsidP="00D62DBA">
            <w:pPr>
              <w:spacing w:before="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175" w:type="dxa"/>
            <w:shd w:val="clear" w:color="auto" w:fill="DBDCDE" w:themeFill="text2" w:themeFillTint="33"/>
            <w:vAlign w:val="center"/>
          </w:tcPr>
          <w:p w14:paraId="15080136" w14:textId="77777777" w:rsidR="00AB7D43" w:rsidRPr="00DD6590" w:rsidRDefault="00AB7D43" w:rsidP="00D62DBA">
            <w:pPr>
              <w:spacing w:before="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990" w:type="dxa"/>
            <w:shd w:val="clear" w:color="auto" w:fill="DBDCDE" w:themeFill="text2" w:themeFillTint="33"/>
            <w:vAlign w:val="center"/>
          </w:tcPr>
          <w:p w14:paraId="6F232D56" w14:textId="77777777" w:rsidR="00AB7D43" w:rsidRPr="00DD6590" w:rsidRDefault="00AB7D43" w:rsidP="00D62DBA">
            <w:pPr>
              <w:spacing w:before="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5850" w:type="dxa"/>
            <w:shd w:val="clear" w:color="auto" w:fill="DBDCDE" w:themeFill="text2" w:themeFillTint="33"/>
            <w:vAlign w:val="center"/>
          </w:tcPr>
          <w:p w14:paraId="338F2957" w14:textId="77777777" w:rsidR="00AB7D43" w:rsidRPr="00DD6590" w:rsidRDefault="00AB7D43" w:rsidP="00D62DBA">
            <w:pPr>
              <w:spacing w:before="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 odporúčania</w:t>
            </w:r>
          </w:p>
        </w:tc>
      </w:tr>
      <w:tr w:rsidR="00AB7D43" w:rsidRPr="00DD6590" w14:paraId="4E4DA307" w14:textId="77777777" w:rsidTr="008B121C">
        <w:trPr>
          <w:trHeight w:val="478"/>
        </w:trPr>
        <w:tc>
          <w:tcPr>
            <w:tcW w:w="454" w:type="dxa"/>
            <w:vAlign w:val="center"/>
          </w:tcPr>
          <w:p w14:paraId="0BD5B244" w14:textId="77777777" w:rsidR="00AB7D43" w:rsidRPr="00DD6590" w:rsidRDefault="00AB7D43" w:rsidP="00D62DBA">
            <w:pPr>
              <w:spacing w:before="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2610" w:type="dxa"/>
            <w:vAlign w:val="center"/>
          </w:tcPr>
          <w:p w14:paraId="20249620" w14:textId="77777777" w:rsidR="00AB7D43" w:rsidRPr="00DD6590" w:rsidRDefault="00AB7D43" w:rsidP="00D62DBA">
            <w:pPr>
              <w:spacing w:before="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Objem zrealizovaných výkonov nákladnej dopravy vo verejnom prístave Bratislava </w:t>
            </w:r>
          </w:p>
        </w:tc>
        <w:tc>
          <w:tcPr>
            <w:tcW w:w="1355" w:type="dxa"/>
            <w:vAlign w:val="center"/>
          </w:tcPr>
          <w:p w14:paraId="369FFEAD" w14:textId="4FF4CF25" w:rsidR="00AB7D43" w:rsidRPr="00DD6590" w:rsidRDefault="00AB7D43" w:rsidP="00D62DBA">
            <w:pPr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2 078 tis. ton</w:t>
            </w:r>
          </w:p>
        </w:tc>
        <w:tc>
          <w:tcPr>
            <w:tcW w:w="1255" w:type="dxa"/>
            <w:vAlign w:val="center"/>
          </w:tcPr>
          <w:p w14:paraId="32F9FD67" w14:textId="77777777" w:rsidR="00AB7D43" w:rsidRPr="00DD6590" w:rsidRDefault="00AB7D43" w:rsidP="00D62DBA">
            <w:pPr>
              <w:spacing w:before="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3 000 tis. ton</w:t>
            </w:r>
          </w:p>
        </w:tc>
        <w:tc>
          <w:tcPr>
            <w:tcW w:w="1350" w:type="dxa"/>
            <w:vAlign w:val="center"/>
          </w:tcPr>
          <w:p w14:paraId="3B7B27FE" w14:textId="77777777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5" w:type="dxa"/>
            <w:shd w:val="clear" w:color="auto" w:fill="EF858F"/>
            <w:vAlign w:val="center"/>
          </w:tcPr>
          <w:p w14:paraId="7EBA115D" w14:textId="560E68DB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B93769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0" w:type="dxa"/>
            <w:vAlign w:val="center"/>
          </w:tcPr>
          <w:p w14:paraId="433911AC" w14:textId="77777777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850" w:type="dxa"/>
            <w:vAlign w:val="center"/>
          </w:tcPr>
          <w:p w14:paraId="1F8287C2" w14:textId="34CB7660" w:rsidR="0050296C" w:rsidRPr="00DD6590" w:rsidRDefault="007A4FB4" w:rsidP="00A6175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Tento ukazovateľ nie je vykazovaný </w:t>
            </w:r>
            <w:r w:rsidR="00B93769">
              <w:rPr>
                <w:color w:val="000000"/>
                <w:sz w:val="16"/>
                <w:szCs w:val="16"/>
              </w:rPr>
              <w:t>v</w:t>
            </w:r>
            <w:r w:rsidR="00B93769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žiadnom realizovanom, ani plánovanom projekte. Keďže sa jedná o ukazovateľ vykazovaný na makro úrovni a vzhľadom na zameranie projektov</w:t>
            </w:r>
            <w:r w:rsidR="000E3653"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color w:val="000000"/>
                <w:sz w:val="16"/>
                <w:szCs w:val="16"/>
              </w:rPr>
              <w:t xml:space="preserve"> nepredpokladáme jeho naplnenie v rámci programového obdobia 2014 – 2020.</w:t>
            </w:r>
          </w:p>
          <w:p w14:paraId="742BC1BE" w14:textId="77777777" w:rsidR="007A543C" w:rsidRPr="00DD6590" w:rsidRDefault="00B44442" w:rsidP="00B4444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Vplyv na realizáciu projektov vo VP BA majú najmä neštandardne nastavené vlastnícke vzťahy a prevádzkový model, rozsiahla časť infraštruktúry je vlastnená súkromným subjektom, ktorý je zároveň dominantným operátorom v prístave. Práve z dôvodu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nevysporiadaných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majetkovo-právnych vzťahov nemôže byť realizovaný ani plánovaný projekt „Modernizácia a výstavba verejného prístavu Bratislava“.</w:t>
            </w:r>
          </w:p>
          <w:p w14:paraId="4504E2E5" w14:textId="69F2AC2B" w:rsidR="00B44442" w:rsidRPr="00DD6590" w:rsidRDefault="00B44442" w:rsidP="00193B8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Vplyv na tento ukazovateľ má aj nízky podiel prepravených kontajnerov vnútrozemskou vodnou dopravou, k</w:t>
            </w:r>
            <w:r w:rsidR="000E3653">
              <w:rPr>
                <w:color w:val="000000"/>
                <w:sz w:val="16"/>
                <w:szCs w:val="16"/>
              </w:rPr>
              <w:t>toré</w:t>
            </w:r>
            <w:r w:rsidRPr="00DD6590">
              <w:rPr>
                <w:color w:val="000000"/>
                <w:sz w:val="16"/>
                <w:szCs w:val="16"/>
              </w:rPr>
              <w:t xml:space="preserve"> tvoria iba 0</w:t>
            </w:r>
            <w:r w:rsidR="000E3653"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color w:val="000000"/>
                <w:sz w:val="16"/>
                <w:szCs w:val="16"/>
              </w:rPr>
              <w:t>2</w:t>
            </w:r>
            <w:r w:rsidR="000E3653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% celkového objemu hlavných komodít prepravovaných v prístave Bratislava.</w:t>
            </w:r>
            <w:r w:rsidRPr="00DD6590"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Aj keď sa celkové objemy prekladaných kontajnerov vo verejnom prístave Bratislava pohybovali na úrovni 70 tis. TEU</w:t>
            </w:r>
            <w:r w:rsidR="00033FC8" w:rsidRPr="00DD6590">
              <w:rPr>
                <w:color w:val="000000"/>
                <w:sz w:val="16"/>
                <w:szCs w:val="16"/>
              </w:rPr>
              <w:t xml:space="preserve"> (2016)</w:t>
            </w:r>
            <w:r w:rsidRPr="00DD6590">
              <w:rPr>
                <w:color w:val="000000"/>
                <w:sz w:val="16"/>
                <w:szCs w:val="16"/>
              </w:rPr>
              <w:t xml:space="preserve">, majoritná väčšina je prepravovaná na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dvojmodálnej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báze cesta</w:t>
            </w:r>
            <w:r w:rsidR="00F678FC">
              <w:rPr>
                <w:color w:val="000000"/>
                <w:sz w:val="16"/>
                <w:szCs w:val="16"/>
              </w:rPr>
              <w:t xml:space="preserve"> </w:t>
            </w:r>
            <w:r w:rsidR="00F678FC" w:rsidRPr="004E1535">
              <w:rPr>
                <w:color w:val="7F7F7F" w:themeColor="text1" w:themeTint="80"/>
                <w:sz w:val="16"/>
                <w:szCs w:val="16"/>
              </w:rPr>
              <w:t>‒</w:t>
            </w:r>
            <w:r w:rsidR="00F678FC">
              <w:rPr>
                <w:color w:val="7F7F7F" w:themeColor="text1" w:themeTint="8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železnica</w:t>
            </w:r>
            <w:r w:rsidR="00033FC8" w:rsidRPr="00DD6590">
              <w:rPr>
                <w:color w:val="000000"/>
                <w:sz w:val="16"/>
                <w:szCs w:val="16"/>
              </w:rPr>
              <w:t>.</w:t>
            </w:r>
          </w:p>
          <w:p w14:paraId="122D95D2" w14:textId="77777777" w:rsidR="003D54BF" w:rsidRPr="00DD6590" w:rsidRDefault="003D54BF" w:rsidP="00193B8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7F67DB1B" w14:textId="068DDF2C" w:rsidR="003D54BF" w:rsidRPr="00DD6590" w:rsidRDefault="003D54BF" w:rsidP="003D54BF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</w:tbl>
    <w:p w14:paraId="69E57B45" w14:textId="444F7025" w:rsidR="00AB7D43" w:rsidRPr="00DD6590" w:rsidRDefault="00AB7D43" w:rsidP="00AB7D43">
      <w:pPr>
        <w:rPr>
          <w:rFonts w:asciiTheme="majorHAnsi" w:hAnsiTheme="majorHAnsi"/>
          <w:i/>
          <w:szCs w:val="18"/>
          <w:u w:val="single"/>
        </w:rPr>
      </w:pPr>
      <w:r w:rsidRPr="00DD6590">
        <w:rPr>
          <w:rFonts w:asciiTheme="majorHAnsi" w:hAnsiTheme="majorHAnsi"/>
          <w:i/>
          <w:szCs w:val="18"/>
          <w:u w:val="single"/>
        </w:rPr>
        <w:t>Vyhodnotenie ukazovateľov výstupu</w:t>
      </w:r>
    </w:p>
    <w:p w14:paraId="2C64AEE7" w14:textId="15EFB099" w:rsidR="004D661F" w:rsidRPr="00DD6590" w:rsidRDefault="004D661F" w:rsidP="004D661F">
      <w:pPr>
        <w:pStyle w:val="Caption"/>
      </w:pPr>
      <w:bookmarkStart w:id="11" w:name="_Toc8805482"/>
      <w:r w:rsidRPr="00DD6590">
        <w:lastRenderedPageBreak/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F77687">
        <w:rPr>
          <w:noProof/>
        </w:rPr>
        <w:t>5</w:t>
      </w:r>
      <w:r w:rsidRPr="00DD6590">
        <w:fldChar w:fldCharType="end"/>
      </w:r>
      <w:r w:rsidRPr="00DD6590">
        <w:t xml:space="preserve"> Vyhodnotenie ukazovateľov výstupu PO4</w:t>
      </w:r>
      <w:bookmarkEnd w:id="11"/>
      <w:r w:rsidRPr="00DD6590">
        <w:t xml:space="preserve"> </w:t>
      </w:r>
    </w:p>
    <w:tbl>
      <w:tblPr>
        <w:tblStyle w:val="TableGrid"/>
        <w:tblW w:w="15025" w:type="dxa"/>
        <w:tblInd w:w="-26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614"/>
        <w:gridCol w:w="1175"/>
        <w:gridCol w:w="1435"/>
        <w:gridCol w:w="1260"/>
        <w:gridCol w:w="1080"/>
        <w:gridCol w:w="900"/>
        <w:gridCol w:w="6120"/>
      </w:tblGrid>
      <w:tr w:rsidR="00AB7D43" w:rsidRPr="00DD6590" w14:paraId="529BB2BE" w14:textId="77777777" w:rsidTr="008B1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441" w:type="dxa"/>
            <w:shd w:val="clear" w:color="auto" w:fill="DBDCDE" w:themeFill="text2" w:themeFillTint="33"/>
            <w:vAlign w:val="center"/>
          </w:tcPr>
          <w:p w14:paraId="23B6F423" w14:textId="77777777" w:rsidR="00AB7D43" w:rsidRPr="00DD6590" w:rsidRDefault="00AB7D43" w:rsidP="00D62DBA">
            <w:pPr>
              <w:spacing w:before="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 xml:space="preserve">. </w:t>
            </w:r>
          </w:p>
        </w:tc>
        <w:tc>
          <w:tcPr>
            <w:tcW w:w="2614" w:type="dxa"/>
            <w:shd w:val="clear" w:color="auto" w:fill="DBDCDE" w:themeFill="text2" w:themeFillTint="33"/>
            <w:vAlign w:val="center"/>
          </w:tcPr>
          <w:p w14:paraId="3CC0B609" w14:textId="77777777" w:rsidR="00AB7D43" w:rsidRPr="00DD6590" w:rsidRDefault="00AB7D43" w:rsidP="00D62DBA">
            <w:pPr>
              <w:spacing w:before="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Ukazovateľ výstupu</w:t>
            </w:r>
          </w:p>
        </w:tc>
        <w:tc>
          <w:tcPr>
            <w:tcW w:w="1175" w:type="dxa"/>
            <w:shd w:val="clear" w:color="auto" w:fill="DBDCDE" w:themeFill="text2" w:themeFillTint="33"/>
            <w:vAlign w:val="center"/>
          </w:tcPr>
          <w:p w14:paraId="48145082" w14:textId="62D39034" w:rsidR="00AB7D43" w:rsidRPr="00DD6590" w:rsidRDefault="00AB7D43" w:rsidP="00D62DBA">
            <w:pPr>
              <w:spacing w:before="0" w:after="0" w:line="240" w:lineRule="auto"/>
              <w:ind w:left="7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Cieľová hodnota </w:t>
            </w:r>
            <w:r w:rsidR="00E67729" w:rsidRPr="00DD6590">
              <w:rPr>
                <w:b/>
                <w:sz w:val="16"/>
                <w:szCs w:val="16"/>
              </w:rPr>
              <w:t xml:space="preserve">OPII </w:t>
            </w: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1435" w:type="dxa"/>
            <w:shd w:val="clear" w:color="auto" w:fill="DBDCDE" w:themeFill="text2" w:themeFillTint="33"/>
            <w:vAlign w:val="center"/>
          </w:tcPr>
          <w:p w14:paraId="4E6171E1" w14:textId="77777777" w:rsidR="00AB7D43" w:rsidRPr="00DD6590" w:rsidRDefault="00AB7D43" w:rsidP="00D62DBA">
            <w:pPr>
              <w:spacing w:before="0" w:after="0" w:line="240" w:lineRule="auto"/>
              <w:ind w:left="7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260" w:type="dxa"/>
            <w:shd w:val="clear" w:color="auto" w:fill="DBDCDE" w:themeFill="text2" w:themeFillTint="33"/>
            <w:vAlign w:val="center"/>
          </w:tcPr>
          <w:p w14:paraId="0B5A98BD" w14:textId="77777777" w:rsidR="00AB7D43" w:rsidRPr="00DD6590" w:rsidRDefault="00AB7D43" w:rsidP="00D62DBA">
            <w:pPr>
              <w:spacing w:before="0" w:after="0" w:line="240" w:lineRule="auto"/>
              <w:ind w:left="42" w:hanging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Skutočné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080" w:type="dxa"/>
            <w:shd w:val="clear" w:color="auto" w:fill="DBDCDE" w:themeFill="text2" w:themeFillTint="33"/>
            <w:vAlign w:val="center"/>
          </w:tcPr>
          <w:p w14:paraId="2DA22F87" w14:textId="77777777" w:rsidR="00AB7D43" w:rsidRPr="00DD6590" w:rsidRDefault="00AB7D43" w:rsidP="00D62DBA">
            <w:pPr>
              <w:spacing w:before="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900" w:type="dxa"/>
            <w:shd w:val="clear" w:color="auto" w:fill="DBDCDE" w:themeFill="text2" w:themeFillTint="33"/>
            <w:vAlign w:val="center"/>
          </w:tcPr>
          <w:p w14:paraId="42060F9B" w14:textId="77777777" w:rsidR="00AB7D43" w:rsidRPr="00DD6590" w:rsidRDefault="00AB7D43" w:rsidP="00D62DBA">
            <w:pPr>
              <w:spacing w:before="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6120" w:type="dxa"/>
            <w:shd w:val="clear" w:color="auto" w:fill="DBDCDE" w:themeFill="text2" w:themeFillTint="33"/>
            <w:vAlign w:val="center"/>
          </w:tcPr>
          <w:p w14:paraId="7D9184AC" w14:textId="77777777" w:rsidR="00AB7D43" w:rsidRPr="00DD6590" w:rsidRDefault="00AB7D43" w:rsidP="00D62DBA">
            <w:pPr>
              <w:spacing w:before="0" w:after="0" w:line="240" w:lineRule="auto"/>
              <w:ind w:left="42" w:firstLine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 odporúčania</w:t>
            </w:r>
          </w:p>
        </w:tc>
      </w:tr>
      <w:tr w:rsidR="00AB7D43" w:rsidRPr="00DD6590" w14:paraId="0DB290FE" w14:textId="77777777" w:rsidTr="008B121C">
        <w:trPr>
          <w:trHeight w:val="20"/>
        </w:trPr>
        <w:tc>
          <w:tcPr>
            <w:tcW w:w="441" w:type="dxa"/>
            <w:vAlign w:val="center"/>
          </w:tcPr>
          <w:p w14:paraId="3A251165" w14:textId="77777777" w:rsidR="00AB7D43" w:rsidRPr="00DD6590" w:rsidRDefault="00AB7D43" w:rsidP="00D62DBA">
            <w:pPr>
              <w:pStyle w:val="Style30"/>
              <w:widowControl/>
              <w:spacing w:before="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614" w:type="dxa"/>
            <w:vAlign w:val="center"/>
          </w:tcPr>
          <w:p w14:paraId="3B191886" w14:textId="77777777" w:rsidR="00AB7D43" w:rsidRPr="00DD6590" w:rsidRDefault="00AB7D43" w:rsidP="00D62DBA">
            <w:pPr>
              <w:pStyle w:val="Style30"/>
              <w:widowControl/>
              <w:spacing w:before="0" w:after="0" w:line="240" w:lineRule="auto"/>
              <w:ind w:left="85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Počet vypracovaných štúdií realizovateľnosti (v súvislosti s rozvojom prístavov a vodných ciest TEN-T CORE)</w:t>
            </w:r>
          </w:p>
        </w:tc>
        <w:tc>
          <w:tcPr>
            <w:tcW w:w="1175" w:type="dxa"/>
            <w:vAlign w:val="center"/>
          </w:tcPr>
          <w:p w14:paraId="4CCE956F" w14:textId="77777777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35" w:type="dxa"/>
            <w:vAlign w:val="center"/>
          </w:tcPr>
          <w:p w14:paraId="2C47AB7A" w14:textId="77777777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260" w:type="dxa"/>
            <w:vAlign w:val="center"/>
          </w:tcPr>
          <w:p w14:paraId="548A2D3A" w14:textId="77777777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0" w:type="dxa"/>
            <w:shd w:val="clear" w:color="auto" w:fill="D0EC9F" w:themeFill="accent1" w:themeFillTint="66"/>
            <w:vAlign w:val="center"/>
          </w:tcPr>
          <w:p w14:paraId="53F5F5F7" w14:textId="2539C3C5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66,67</w:t>
            </w:r>
            <w:r w:rsidR="00F678FC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  <w:p w14:paraId="1DE9F427" w14:textId="48CB9BAF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483377" w14:textId="5CD3FCA3" w:rsidR="00AB7D43" w:rsidRPr="00DD6590" w:rsidRDefault="001208AE" w:rsidP="00D62DBA">
            <w:pPr>
              <w:pStyle w:val="Style30"/>
              <w:widowControl/>
              <w:spacing w:before="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120" w:type="dxa"/>
            <w:vAlign w:val="center"/>
          </w:tcPr>
          <w:p w14:paraId="73EB3804" w14:textId="1DC3D420" w:rsidR="00AB7D43" w:rsidRPr="00DD6590" w:rsidRDefault="004E3A07" w:rsidP="007A7786">
            <w:pPr>
              <w:spacing w:before="0" w:line="240" w:lineRule="auto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Do konca roka 2018</w:t>
            </w:r>
            <w:r w:rsidR="00AB7D43" w:rsidRPr="00DD6590">
              <w:rPr>
                <w:color w:val="000000" w:themeColor="text1"/>
                <w:sz w:val="16"/>
                <w:szCs w:val="16"/>
              </w:rPr>
              <w:t xml:space="preserve"> sa výstupový ukazovateľ Počet vypracovaných štúdií realizovateľnosti vykazoval </w:t>
            </w:r>
            <w:r w:rsidR="00F678FC">
              <w:rPr>
                <w:color w:val="000000" w:themeColor="text1"/>
                <w:sz w:val="16"/>
                <w:szCs w:val="16"/>
              </w:rPr>
              <w:t>v</w:t>
            </w:r>
            <w:r w:rsidR="00F678FC" w:rsidRPr="00DD6590">
              <w:rPr>
                <w:color w:val="000000" w:themeColor="text1"/>
                <w:sz w:val="16"/>
                <w:szCs w:val="16"/>
              </w:rPr>
              <w:t xml:space="preserve"> </w:t>
            </w:r>
            <w:r w:rsidR="00AB7D43" w:rsidRPr="00DD6590">
              <w:rPr>
                <w:color w:val="000000" w:themeColor="text1"/>
                <w:sz w:val="16"/>
                <w:szCs w:val="16"/>
              </w:rPr>
              <w:t>dvoch projektoch</w:t>
            </w:r>
            <w:r w:rsidR="001208AE" w:rsidRPr="00DD6590">
              <w:rPr>
                <w:color w:val="000000" w:themeColor="text1"/>
                <w:sz w:val="16"/>
                <w:szCs w:val="16"/>
              </w:rPr>
              <w:t xml:space="preserve"> a jeden bol </w:t>
            </w:r>
            <w:proofErr w:type="spellStart"/>
            <w:r w:rsidR="001208AE" w:rsidRPr="00DD6590">
              <w:rPr>
                <w:color w:val="000000" w:themeColor="text1"/>
                <w:sz w:val="16"/>
                <w:szCs w:val="16"/>
              </w:rPr>
              <w:t>zazmluv</w:t>
            </w:r>
            <w:r w:rsidR="00F678FC">
              <w:rPr>
                <w:color w:val="000000" w:themeColor="text1"/>
                <w:sz w:val="16"/>
                <w:szCs w:val="16"/>
              </w:rPr>
              <w:t>n</w:t>
            </w:r>
            <w:r w:rsidR="001208AE" w:rsidRPr="00DD6590">
              <w:rPr>
                <w:color w:val="000000" w:themeColor="text1"/>
                <w:sz w:val="16"/>
                <w:szCs w:val="16"/>
              </w:rPr>
              <w:t>ený</w:t>
            </w:r>
            <w:proofErr w:type="spellEnd"/>
            <w:r w:rsidR="001208AE" w:rsidRPr="00DD6590">
              <w:rPr>
                <w:color w:val="000000" w:themeColor="text1"/>
                <w:sz w:val="16"/>
                <w:szCs w:val="16"/>
              </w:rPr>
              <w:t xml:space="preserve"> na začiatku roka 2019</w:t>
            </w:r>
            <w:r w:rsidR="00AB7D43" w:rsidRPr="00DD6590">
              <w:rPr>
                <w:color w:val="000000" w:themeColor="text1"/>
                <w:sz w:val="16"/>
                <w:szCs w:val="16"/>
              </w:rPr>
              <w:t xml:space="preserve">. </w:t>
            </w:r>
            <w:r w:rsidR="00AB7D43" w:rsidRPr="00DD6590">
              <w:rPr>
                <w:color w:val="000000"/>
                <w:sz w:val="16"/>
                <w:szCs w:val="16"/>
              </w:rPr>
              <w:t xml:space="preserve">V prípade naplnenia cieľovej hodnoty týchto projektov bude cieľová hodnota ukazovateľa </w:t>
            </w:r>
            <w:r w:rsidR="00AB7D43" w:rsidRPr="00DD6590">
              <w:rPr>
                <w:b/>
                <w:color w:val="000000"/>
                <w:sz w:val="16"/>
                <w:szCs w:val="16"/>
              </w:rPr>
              <w:t xml:space="preserve">naplnená na </w:t>
            </w:r>
            <w:r w:rsidR="001208AE" w:rsidRPr="00DD6590">
              <w:rPr>
                <w:b/>
                <w:color w:val="000000"/>
                <w:sz w:val="16"/>
                <w:szCs w:val="16"/>
              </w:rPr>
              <w:t>100</w:t>
            </w:r>
            <w:r w:rsidR="00F678FC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AB7D43" w:rsidRPr="00DD6590">
              <w:rPr>
                <w:b/>
                <w:color w:val="000000"/>
                <w:sz w:val="16"/>
                <w:szCs w:val="16"/>
              </w:rPr>
              <w:t>%.</w:t>
            </w:r>
            <w:r w:rsidR="00AB7D43" w:rsidRPr="00DD6590">
              <w:rPr>
                <w:color w:val="000000"/>
                <w:sz w:val="16"/>
                <w:szCs w:val="16"/>
              </w:rPr>
              <w:t xml:space="preserve"> </w:t>
            </w:r>
          </w:p>
          <w:p w14:paraId="1A997F3A" w14:textId="7CAD95AE" w:rsidR="00AB7D43" w:rsidRPr="00DD6590" w:rsidRDefault="00AB7D43" w:rsidP="00F678FC">
            <w:pPr>
              <w:pStyle w:val="Style30"/>
              <w:widowControl/>
              <w:spacing w:before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Na základe dotazníkov od projektových manažérov sú naplánované tri </w:t>
            </w:r>
            <w:r w:rsidR="00A6175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ďalšie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projekty</w:t>
            </w:r>
            <w:r w:rsidR="00F678FC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F678FC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na</w:t>
            </w:r>
            <w:r w:rsidR="00F678FC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realizáciu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, ktoré by zabezpečili n</w:t>
            </w:r>
            <w:r w:rsidR="00A6175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aplnenie daného ukazovateľa na 200</w:t>
            </w:r>
            <w:r w:rsidR="00F678FC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%.</w:t>
            </w:r>
          </w:p>
        </w:tc>
      </w:tr>
      <w:tr w:rsidR="00AB7D43" w:rsidRPr="00DD6590" w14:paraId="33991F4F" w14:textId="77777777" w:rsidTr="008B121C">
        <w:trPr>
          <w:trHeight w:val="20"/>
        </w:trPr>
        <w:tc>
          <w:tcPr>
            <w:tcW w:w="441" w:type="dxa"/>
            <w:vAlign w:val="center"/>
          </w:tcPr>
          <w:p w14:paraId="1671073D" w14:textId="77777777" w:rsidR="00AB7D43" w:rsidRPr="00DD6590" w:rsidRDefault="00AB7D43" w:rsidP="00D62DBA">
            <w:pPr>
              <w:pStyle w:val="Style30"/>
              <w:widowControl/>
              <w:spacing w:before="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14" w:type="dxa"/>
            <w:vAlign w:val="center"/>
          </w:tcPr>
          <w:p w14:paraId="092F7406" w14:textId="77777777" w:rsidR="00AB7D43" w:rsidRPr="00DD6590" w:rsidRDefault="00AB7D43" w:rsidP="00D62DBA">
            <w:pPr>
              <w:pStyle w:val="Style30"/>
              <w:widowControl/>
              <w:spacing w:before="0" w:after="0" w:line="240" w:lineRule="auto"/>
              <w:ind w:left="85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Počet zmodernizovaných verejných prístavov na sieti TEN-T CORE</w:t>
            </w:r>
          </w:p>
        </w:tc>
        <w:tc>
          <w:tcPr>
            <w:tcW w:w="1175" w:type="dxa"/>
            <w:vAlign w:val="center"/>
          </w:tcPr>
          <w:p w14:paraId="7C82BAE1" w14:textId="77777777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35" w:type="dxa"/>
            <w:vAlign w:val="center"/>
          </w:tcPr>
          <w:p w14:paraId="3E484C7D" w14:textId="77777777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60" w:type="dxa"/>
            <w:vAlign w:val="center"/>
          </w:tcPr>
          <w:p w14:paraId="76AB2FE6" w14:textId="77777777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0" w:type="dxa"/>
            <w:shd w:val="clear" w:color="auto" w:fill="EF858F"/>
            <w:vAlign w:val="center"/>
          </w:tcPr>
          <w:p w14:paraId="20597841" w14:textId="6B0859C7" w:rsidR="00AB7D43" w:rsidRPr="00DD6590" w:rsidRDefault="00AB7D43" w:rsidP="00D62DBA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  <w:r w:rsidR="00F678FC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3670618" w14:textId="77777777" w:rsidR="00AB7D43" w:rsidRPr="00DD6590" w:rsidRDefault="00AB7D43" w:rsidP="00D62DBA">
            <w:pPr>
              <w:pStyle w:val="Style30"/>
              <w:widowControl/>
              <w:spacing w:before="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120" w:type="dxa"/>
            <w:vAlign w:val="center"/>
          </w:tcPr>
          <w:p w14:paraId="32DBB0C7" w14:textId="739726DC" w:rsidR="00A61755" w:rsidRPr="00DD6590" w:rsidRDefault="004E3A07" w:rsidP="007A7786">
            <w:pPr>
              <w:pStyle w:val="Style30"/>
              <w:widowControl/>
              <w:spacing w:before="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Do konca roka 2018</w:t>
            </w:r>
            <w:r w:rsidR="005D4F99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neboli </w:t>
            </w:r>
            <w:r w:rsidR="00A6175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zazmluvnené žiadne projekty, ktoré by napĺňali cieľové hodnoty tohto ukazovateľa. </w:t>
            </w:r>
          </w:p>
          <w:p w14:paraId="0BE66032" w14:textId="6259445D" w:rsidR="00D42B09" w:rsidRPr="00DD6590" w:rsidRDefault="00A61755" w:rsidP="00E625F2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 rámci plánovaných projektov sú dva projekty, ktoré by tento ukazovateľ mohli napĺňať. </w:t>
            </w:r>
            <w:r w:rsidR="00F678FC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I</w:t>
            </w:r>
            <w:r w:rsidR="00D42B09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ch </w:t>
            </w:r>
            <w:r w:rsidR="007A4FB4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realizácii</w:t>
            </w:r>
            <w:r w:rsidR="00F678FC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však</w:t>
            </w:r>
            <w:r w:rsidR="007A4FB4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predchádza </w:t>
            </w:r>
            <w:r w:rsidR="007A4FB4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príprava projektovej dokumentácie, resp. štúdie realizovateľnosti</w:t>
            </w:r>
            <w:r w:rsidR="00FB579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a časovo náročný proces verejného obstarávania</w:t>
            </w:r>
            <w:r w:rsidR="00FB579B" w:rsidRPr="00DD6590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r w:rsidR="00FB579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preto nepredpokladáme naplnenie tohto ukazovateľa</w:t>
            </w:r>
            <w:r w:rsidR="00D42B09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</w:t>
            </w:r>
            <w:r w:rsidR="00FB579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4AD96F4D" w14:textId="2E5889AA" w:rsidR="00E625F2" w:rsidRPr="00DD6590" w:rsidRDefault="003B7B77" w:rsidP="00E625F2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Z dôvodu </w:t>
            </w:r>
            <w:proofErr w:type="spellStart"/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nevysporiadaných</w:t>
            </w:r>
            <w:proofErr w:type="spellEnd"/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majetkovo-právnych vzťahov nebude realizovaný projekt „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Modernizácia a výstavba verejného prístavu Bratislava</w:t>
            </w:r>
            <w:r w:rsidR="00FB579B" w:rsidRPr="00DD6590">
              <w:rPr>
                <w:rFonts w:asciiTheme="minorHAnsi" w:hAnsiTheme="minorHAnsi"/>
                <w:sz w:val="16"/>
                <w:szCs w:val="16"/>
              </w:rPr>
              <w:t>“</w:t>
            </w:r>
            <w:r w:rsidR="00E625F2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. </w:t>
            </w:r>
            <w:r w:rsidR="003D54BF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Preto v prípade realizácie investičných projektov dôjde len k čiastočnej modernizácii verejného prístavu. </w:t>
            </w:r>
          </w:p>
          <w:p w14:paraId="6DF0AC61" w14:textId="77777777" w:rsidR="003D0493" w:rsidRPr="00DD6590" w:rsidRDefault="003D0493" w:rsidP="003D0493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Odporúčanie:</w:t>
            </w:r>
          </w:p>
          <w:p w14:paraId="5BD77145" w14:textId="3AB0BE66" w:rsidR="003D0493" w:rsidRPr="00DD6590" w:rsidRDefault="003D54BF" w:rsidP="003D54BF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V rámci schvaľovania projektov zamerať sa na projekty, ktoré prispejú k rekonštrukcii verejného prístavu a</w:t>
            </w:r>
            <w:r w:rsidR="007A4FB4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prehodnotiť ukazovateľ vo vzťahu k rozšíreniu aktivít aj pre prístav Komárno</w:t>
            </w:r>
            <w:r w:rsidR="00D42B09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  <w:p w14:paraId="42618E33" w14:textId="4DB49E9C" w:rsidR="003D54BF" w:rsidRPr="00DD6590" w:rsidRDefault="003D54BF" w:rsidP="00F678F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Prerokovať s EK, či </w:t>
            </w:r>
            <w:r w:rsidR="00D62704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plánované projekty </w:t>
            </w:r>
            <w:r w:rsidR="00F678FC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dostatočne </w:t>
            </w:r>
            <w:r w:rsidR="00D62704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prispejú k modernizácii verejného prístavu a</w:t>
            </w:r>
            <w:r w:rsidR="00F678FC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  <w:r w:rsidR="00D62704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naplneniu daného ukazovateľa</w:t>
            </w:r>
            <w:r w:rsidR="0029558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</w:tc>
      </w:tr>
    </w:tbl>
    <w:p w14:paraId="0313CF0B" w14:textId="74727EAD" w:rsidR="00AB7D43" w:rsidRPr="00DD6590" w:rsidRDefault="00AB7D43" w:rsidP="00B0035E">
      <w:pPr>
        <w:pStyle w:val="Heading2"/>
      </w:pPr>
      <w:bookmarkStart w:id="12" w:name="_Toc9350277"/>
      <w:r w:rsidRPr="00DD6590">
        <w:t>Vyhodnotenie napĺňania cieľov a výkonnostného rámca pre PO</w:t>
      </w:r>
      <w:bookmarkEnd w:id="12"/>
    </w:p>
    <w:p w14:paraId="5E89BDAF" w14:textId="0E1D3867" w:rsidR="004D661F" w:rsidRPr="00DD6590" w:rsidRDefault="004D661F" w:rsidP="004D661F">
      <w:pPr>
        <w:pStyle w:val="Caption"/>
        <w:rPr>
          <w:b/>
        </w:rPr>
      </w:pPr>
      <w:bookmarkStart w:id="13" w:name="_Toc8805483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F77687">
        <w:rPr>
          <w:noProof/>
        </w:rPr>
        <w:t>6</w:t>
      </w:r>
      <w:r w:rsidRPr="00DD6590">
        <w:fldChar w:fldCharType="end"/>
      </w:r>
      <w:r w:rsidRPr="00DD6590">
        <w:t xml:space="preserve"> Vyhodnotenie výkonnostného rámca PO4</w:t>
      </w:r>
      <w:bookmarkEnd w:id="13"/>
    </w:p>
    <w:tbl>
      <w:tblPr>
        <w:tblStyle w:val="TableGrid"/>
        <w:tblW w:w="5265" w:type="pct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20"/>
        <w:gridCol w:w="3417"/>
        <w:gridCol w:w="1621"/>
        <w:gridCol w:w="1170"/>
        <w:gridCol w:w="6931"/>
      </w:tblGrid>
      <w:tr w:rsidR="007A7786" w:rsidRPr="00DD6590" w14:paraId="6CBCE891" w14:textId="77777777" w:rsidTr="008B1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549" w:type="pct"/>
            <w:shd w:val="clear" w:color="auto" w:fill="DBDCDE" w:themeFill="text2" w:themeFillTint="33"/>
            <w:vAlign w:val="center"/>
          </w:tcPr>
          <w:p w14:paraId="29FA9551" w14:textId="77777777" w:rsidR="00AB7D43" w:rsidRPr="00DD6590" w:rsidRDefault="00AB7D43" w:rsidP="007A7786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Typ ukazovateľa</w:t>
            </w:r>
          </w:p>
        </w:tc>
        <w:tc>
          <w:tcPr>
            <w:tcW w:w="1158" w:type="pct"/>
            <w:shd w:val="clear" w:color="auto" w:fill="DBDCDE" w:themeFill="text2" w:themeFillTint="33"/>
            <w:vAlign w:val="center"/>
          </w:tcPr>
          <w:p w14:paraId="0D3F0060" w14:textId="77777777" w:rsidR="00AB7D43" w:rsidRPr="00DD6590" w:rsidRDefault="00AB7D43" w:rsidP="007A7786">
            <w:pPr>
              <w:spacing w:before="60" w:after="0" w:line="240" w:lineRule="auto"/>
              <w:ind w:left="60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549" w:type="pct"/>
            <w:shd w:val="clear" w:color="auto" w:fill="DBDCDE" w:themeFill="text2" w:themeFillTint="33"/>
            <w:vAlign w:val="center"/>
          </w:tcPr>
          <w:p w14:paraId="44FE12FB" w14:textId="77777777" w:rsidR="00AB7D43" w:rsidRPr="00DD6590" w:rsidRDefault="00AB7D43" w:rsidP="007A7786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Zámer</w:t>
            </w:r>
          </w:p>
          <w:p w14:paraId="622AF22F" w14:textId="77777777" w:rsidR="00AB7D43" w:rsidRPr="00DD6590" w:rsidRDefault="00AB7D43" w:rsidP="007A7786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396" w:type="pct"/>
            <w:tcBorders>
              <w:bottom w:val="single" w:sz="2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2499EE76" w14:textId="77777777" w:rsidR="00AB7D43" w:rsidRPr="00DD6590" w:rsidRDefault="00AB7D43" w:rsidP="007A7786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 naplnenosti</w:t>
            </w:r>
          </w:p>
        </w:tc>
        <w:tc>
          <w:tcPr>
            <w:tcW w:w="2348" w:type="pct"/>
            <w:shd w:val="clear" w:color="auto" w:fill="DBDCDE" w:themeFill="text2" w:themeFillTint="33"/>
            <w:vAlign w:val="center"/>
          </w:tcPr>
          <w:p w14:paraId="405DE23C" w14:textId="77777777" w:rsidR="00AB7D43" w:rsidRPr="00DD6590" w:rsidRDefault="00AB7D43" w:rsidP="007A7786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Komentár</w:t>
            </w:r>
          </w:p>
        </w:tc>
      </w:tr>
      <w:tr w:rsidR="007A7786" w:rsidRPr="00DD6590" w14:paraId="4E7ED3FD" w14:textId="77777777" w:rsidTr="008B121C">
        <w:trPr>
          <w:trHeight w:val="454"/>
        </w:trPr>
        <w:tc>
          <w:tcPr>
            <w:tcW w:w="549" w:type="pct"/>
            <w:vAlign w:val="center"/>
          </w:tcPr>
          <w:p w14:paraId="2632FB89" w14:textId="77777777" w:rsidR="00AB7D43" w:rsidRPr="00DD6590" w:rsidRDefault="00AB7D43" w:rsidP="007A778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Finančný ukazovateľ</w:t>
            </w:r>
          </w:p>
        </w:tc>
        <w:tc>
          <w:tcPr>
            <w:tcW w:w="1158" w:type="pct"/>
            <w:vAlign w:val="center"/>
          </w:tcPr>
          <w:p w14:paraId="0CE8902A" w14:textId="77777777" w:rsidR="00AB7D43" w:rsidRPr="00DD6590" w:rsidRDefault="00AB7D43" w:rsidP="007A7786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549" w:type="pct"/>
            <w:vAlign w:val="center"/>
          </w:tcPr>
          <w:p w14:paraId="50EF431E" w14:textId="77777777" w:rsidR="00AB7D43" w:rsidRPr="00DD6590" w:rsidRDefault="00AB7D43" w:rsidP="007A7786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137 000 000 EUR</w:t>
            </w:r>
          </w:p>
        </w:tc>
        <w:tc>
          <w:tcPr>
            <w:tcW w:w="396" w:type="pct"/>
            <w:shd w:val="clear" w:color="auto" w:fill="EF858F"/>
            <w:vAlign w:val="center"/>
          </w:tcPr>
          <w:p w14:paraId="05EEC805" w14:textId="2E630484" w:rsidR="00AB7D43" w:rsidRPr="00DD6590" w:rsidRDefault="00AB7D43" w:rsidP="007A7786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0,35</w:t>
            </w:r>
            <w:r w:rsidR="00F678FC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 kontrahované, 0,06</w:t>
            </w:r>
            <w:r w:rsidR="00F678FC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 čerpané</w:t>
            </w:r>
          </w:p>
        </w:tc>
        <w:tc>
          <w:tcPr>
            <w:tcW w:w="2348" w:type="pct"/>
            <w:vAlign w:val="center"/>
          </w:tcPr>
          <w:p w14:paraId="347C0D6E" w14:textId="153BF4B0" w:rsidR="00AB7D43" w:rsidRPr="00DD6590" w:rsidRDefault="00AB7D43" w:rsidP="007A778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V súčasnosti je v rámci prebiehajúcich projektov </w:t>
            </w:r>
            <w:r w:rsidRPr="00DD6590">
              <w:rPr>
                <w:b/>
                <w:sz w:val="16"/>
                <w:szCs w:val="16"/>
              </w:rPr>
              <w:t xml:space="preserve">kontrahovaných </w:t>
            </w:r>
            <w:r w:rsidR="00854AD0" w:rsidRPr="00DD6590">
              <w:rPr>
                <w:b/>
                <w:sz w:val="16"/>
                <w:szCs w:val="16"/>
              </w:rPr>
              <w:t xml:space="preserve">485 </w:t>
            </w:r>
            <w:r w:rsidRPr="00DD6590">
              <w:rPr>
                <w:b/>
                <w:sz w:val="16"/>
                <w:szCs w:val="16"/>
              </w:rPr>
              <w:t>tis. EUR, z toho 412 tis.</w:t>
            </w:r>
            <w:r w:rsidR="00F678FC">
              <w:rPr>
                <w:b/>
                <w:sz w:val="16"/>
                <w:szCs w:val="16"/>
              </w:rPr>
              <w:t xml:space="preserve"> EUR</w:t>
            </w:r>
            <w:r w:rsidRPr="00DD6590">
              <w:rPr>
                <w:b/>
                <w:sz w:val="16"/>
                <w:szCs w:val="16"/>
              </w:rPr>
              <w:t xml:space="preserve"> z EÚ zdrojov</w:t>
            </w:r>
            <w:r w:rsidRPr="00DD6590">
              <w:rPr>
                <w:sz w:val="16"/>
                <w:szCs w:val="16"/>
              </w:rPr>
              <w:t xml:space="preserve">. Na základe dotazníka vyplneného projektovými manažérmi je plánovaných </w:t>
            </w:r>
            <w:r w:rsidR="000709B9" w:rsidRPr="00DD6590">
              <w:rPr>
                <w:sz w:val="16"/>
                <w:szCs w:val="16"/>
              </w:rPr>
              <w:t xml:space="preserve">13 </w:t>
            </w:r>
            <w:r w:rsidRPr="00DD6590">
              <w:rPr>
                <w:sz w:val="16"/>
                <w:szCs w:val="16"/>
              </w:rPr>
              <w:t xml:space="preserve">projektov, pričom ich celková hodnota </w:t>
            </w:r>
            <w:r w:rsidR="00FF58C8" w:rsidRPr="00DD6590">
              <w:rPr>
                <w:sz w:val="16"/>
                <w:szCs w:val="16"/>
              </w:rPr>
              <w:t xml:space="preserve">je odhadovaná na približne </w:t>
            </w:r>
            <w:r w:rsidR="00DF41FD" w:rsidRPr="00DD6590">
              <w:rPr>
                <w:sz w:val="16"/>
                <w:szCs w:val="16"/>
              </w:rPr>
              <w:t>149</w:t>
            </w:r>
            <w:r w:rsidR="00FF58C8" w:rsidRPr="00DD6590">
              <w:rPr>
                <w:sz w:val="16"/>
                <w:szCs w:val="16"/>
              </w:rPr>
              <w:t xml:space="preserve"> mil. EUR</w:t>
            </w:r>
            <w:r w:rsidRPr="00DD6590">
              <w:rPr>
                <w:sz w:val="16"/>
                <w:szCs w:val="16"/>
              </w:rPr>
              <w:t>.</w:t>
            </w:r>
            <w:r w:rsidR="00FF58C8" w:rsidRPr="00DD6590">
              <w:rPr>
                <w:sz w:val="16"/>
                <w:szCs w:val="16"/>
              </w:rPr>
              <w:t xml:space="preserve"> </w:t>
            </w:r>
            <w:r w:rsidR="00F678FC">
              <w:rPr>
                <w:sz w:val="16"/>
                <w:szCs w:val="16"/>
              </w:rPr>
              <w:t>T</w:t>
            </w:r>
            <w:r w:rsidR="00FF58C8" w:rsidRPr="00DD6590">
              <w:rPr>
                <w:sz w:val="16"/>
                <w:szCs w:val="16"/>
              </w:rPr>
              <w:t>ieto projekty</w:t>
            </w:r>
            <w:r w:rsidR="00F678FC">
              <w:rPr>
                <w:sz w:val="16"/>
                <w:szCs w:val="16"/>
              </w:rPr>
              <w:t xml:space="preserve"> však</w:t>
            </w:r>
            <w:r w:rsidR="00FF58C8" w:rsidRPr="00DD6590">
              <w:rPr>
                <w:sz w:val="16"/>
                <w:szCs w:val="16"/>
              </w:rPr>
              <w:t xml:space="preserve"> ešte nemajú reálny harmonogram realizácie. Hodnota investičných projektov bude stanovená až na základe štúdie uskutočniteľnosti a projektovej </w:t>
            </w:r>
            <w:r w:rsidR="000709B9" w:rsidRPr="00DD6590">
              <w:rPr>
                <w:sz w:val="16"/>
                <w:szCs w:val="16"/>
              </w:rPr>
              <w:t>dokumentácie</w:t>
            </w:r>
            <w:r w:rsidR="00FF58C8" w:rsidRPr="00DD6590">
              <w:rPr>
                <w:sz w:val="16"/>
                <w:szCs w:val="16"/>
              </w:rPr>
              <w:t>.</w:t>
            </w:r>
            <w:r w:rsidR="00751A2E" w:rsidRPr="00DD6590">
              <w:rPr>
                <w:sz w:val="16"/>
                <w:szCs w:val="16"/>
              </w:rPr>
              <w:t xml:space="preserve"> </w:t>
            </w:r>
          </w:p>
          <w:p w14:paraId="1AA49D02" w14:textId="3826BDEF" w:rsidR="00295586" w:rsidRPr="00DD6590" w:rsidRDefault="00AB7D43" w:rsidP="0029558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 xml:space="preserve">Pozn.: </w:t>
            </w:r>
            <w:r w:rsidR="00F678FC">
              <w:rPr>
                <w:sz w:val="16"/>
                <w:szCs w:val="16"/>
              </w:rPr>
              <w:t>Na</w:t>
            </w:r>
            <w:r w:rsidR="00F678FC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 xml:space="preserve">dosiahnutie hodnoty plánovanej v roku 2023 je potrebné </w:t>
            </w:r>
            <w:proofErr w:type="spellStart"/>
            <w:r w:rsidRPr="00DD6590">
              <w:rPr>
                <w:sz w:val="16"/>
                <w:szCs w:val="16"/>
              </w:rPr>
              <w:t>zazmluvniť</w:t>
            </w:r>
            <w:proofErr w:type="spellEnd"/>
            <w:r w:rsidRPr="00DD6590">
              <w:rPr>
                <w:sz w:val="16"/>
                <w:szCs w:val="16"/>
              </w:rPr>
              <w:t xml:space="preserve"> </w:t>
            </w:r>
            <w:r w:rsidR="00D42B09" w:rsidRPr="00DD6590">
              <w:rPr>
                <w:sz w:val="16"/>
                <w:szCs w:val="16"/>
              </w:rPr>
              <w:t xml:space="preserve">projekty </w:t>
            </w:r>
            <w:r w:rsidR="000709B9" w:rsidRPr="00DD6590">
              <w:rPr>
                <w:sz w:val="16"/>
                <w:szCs w:val="16"/>
              </w:rPr>
              <w:t xml:space="preserve">a vyčerpať </w:t>
            </w:r>
            <w:r w:rsidR="00D42B09" w:rsidRPr="00DD6590">
              <w:rPr>
                <w:sz w:val="16"/>
                <w:szCs w:val="16"/>
              </w:rPr>
              <w:t xml:space="preserve">finančné prostriedky </w:t>
            </w:r>
            <w:r w:rsidR="009A758F" w:rsidRPr="00DD6590">
              <w:rPr>
                <w:sz w:val="16"/>
                <w:szCs w:val="16"/>
              </w:rPr>
              <w:t>v PO4 v hodnote 136,5 mil. EUR</w:t>
            </w:r>
            <w:r w:rsidR="00295586" w:rsidRPr="00DD6590">
              <w:rPr>
                <w:sz w:val="16"/>
                <w:szCs w:val="16"/>
              </w:rPr>
              <w:t>.</w:t>
            </w:r>
            <w:r w:rsidR="009A758F" w:rsidRPr="00DD6590">
              <w:rPr>
                <w:sz w:val="16"/>
                <w:szCs w:val="16"/>
              </w:rPr>
              <w:t xml:space="preserve"> </w:t>
            </w:r>
          </w:p>
          <w:p w14:paraId="0CEC04DC" w14:textId="77777777" w:rsidR="00295586" w:rsidRPr="00DD6590" w:rsidRDefault="00295586" w:rsidP="0029558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Odporúčanie:</w:t>
            </w:r>
          </w:p>
          <w:p w14:paraId="161C15D9" w14:textId="65A7CD96" w:rsidR="00AB7D43" w:rsidRPr="00DD6590" w:rsidRDefault="00295586" w:rsidP="00F678F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Vypracovať akčný plán, ktorý povedie k posunu implementácie kľúčových projektov smerujúcich k naplneniu cieľov OPII. V</w:t>
            </w:r>
            <w:r w:rsidR="00F678FC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>prípade</w:t>
            </w:r>
            <w:r w:rsidR="00F678FC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 xml:space="preserve"> ak nebudú ciele stanovené akčným plánom </w:t>
            </w:r>
            <w:r w:rsidR="00F678FC" w:rsidRPr="00DD6590">
              <w:rPr>
                <w:sz w:val="16"/>
                <w:szCs w:val="16"/>
              </w:rPr>
              <w:t xml:space="preserve">splnené </w:t>
            </w:r>
            <w:r w:rsidRPr="00DD6590">
              <w:rPr>
                <w:sz w:val="16"/>
                <w:szCs w:val="16"/>
              </w:rPr>
              <w:t>v stanovenom termíne, odporúčame</w:t>
            </w:r>
            <w:r w:rsidR="009A758F" w:rsidRPr="00DD6590">
              <w:rPr>
                <w:sz w:val="16"/>
                <w:szCs w:val="16"/>
              </w:rPr>
              <w:t xml:space="preserve"> </w:t>
            </w:r>
            <w:proofErr w:type="spellStart"/>
            <w:r w:rsidR="009A758F" w:rsidRPr="00DD6590">
              <w:rPr>
                <w:sz w:val="16"/>
                <w:szCs w:val="16"/>
              </w:rPr>
              <w:t>realokovať</w:t>
            </w:r>
            <w:proofErr w:type="spellEnd"/>
            <w:r w:rsidR="009A758F" w:rsidRPr="00DD6590">
              <w:rPr>
                <w:sz w:val="16"/>
                <w:szCs w:val="16"/>
              </w:rPr>
              <w:t xml:space="preserve"> voľné finančné prostriedky do </w:t>
            </w:r>
            <w:r w:rsidR="00EC7D17" w:rsidRPr="00DD6590">
              <w:rPr>
                <w:sz w:val="16"/>
                <w:szCs w:val="16"/>
              </w:rPr>
              <w:t xml:space="preserve">prioritnej osi, ktorá vykazuje vyššiu pripravenosť, tzn. </w:t>
            </w:r>
            <w:r w:rsidR="000709B9" w:rsidRPr="00DD6590">
              <w:rPr>
                <w:sz w:val="16"/>
                <w:szCs w:val="16"/>
              </w:rPr>
              <w:t xml:space="preserve">PO3, resp. </w:t>
            </w:r>
            <w:r w:rsidR="009A758F" w:rsidRPr="00DD6590">
              <w:rPr>
                <w:sz w:val="16"/>
                <w:szCs w:val="16"/>
              </w:rPr>
              <w:t>PO2</w:t>
            </w:r>
            <w:r w:rsidR="00EC7D17" w:rsidRPr="00DD6590">
              <w:rPr>
                <w:sz w:val="16"/>
                <w:szCs w:val="16"/>
              </w:rPr>
              <w:t>.</w:t>
            </w:r>
          </w:p>
        </w:tc>
      </w:tr>
      <w:tr w:rsidR="007A7786" w:rsidRPr="00DD6590" w14:paraId="24A8C667" w14:textId="77777777" w:rsidTr="008B121C">
        <w:trPr>
          <w:trHeight w:val="454"/>
        </w:trPr>
        <w:tc>
          <w:tcPr>
            <w:tcW w:w="549" w:type="pct"/>
            <w:vAlign w:val="center"/>
          </w:tcPr>
          <w:p w14:paraId="7297668D" w14:textId="77777777" w:rsidR="00AB7D43" w:rsidRPr="00DD6590" w:rsidRDefault="00AB7D43" w:rsidP="007A778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Výstupový ukazovateľ</w:t>
            </w:r>
          </w:p>
        </w:tc>
        <w:tc>
          <w:tcPr>
            <w:tcW w:w="1158" w:type="pct"/>
            <w:vAlign w:val="center"/>
          </w:tcPr>
          <w:p w14:paraId="354620AA" w14:textId="77777777" w:rsidR="00AB7D43" w:rsidRPr="00DD6590" w:rsidRDefault="00AB7D43" w:rsidP="007A7786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Počet zmodernizovaných verejných prístavov na sieti TEN-T CORE </w:t>
            </w:r>
          </w:p>
        </w:tc>
        <w:tc>
          <w:tcPr>
            <w:tcW w:w="549" w:type="pct"/>
            <w:vAlign w:val="center"/>
          </w:tcPr>
          <w:p w14:paraId="5E5FF3E5" w14:textId="77777777" w:rsidR="00AB7D43" w:rsidRPr="00DD6590" w:rsidRDefault="00AB7D43" w:rsidP="007A7786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396" w:type="pct"/>
            <w:shd w:val="clear" w:color="auto" w:fill="EF858F"/>
            <w:vAlign w:val="center"/>
          </w:tcPr>
          <w:p w14:paraId="221C85BD" w14:textId="12C95B2B" w:rsidR="00AB7D43" w:rsidRPr="00DD6590" w:rsidRDefault="00AB7D43" w:rsidP="007A7786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F678FC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2348" w:type="pct"/>
            <w:vAlign w:val="center"/>
          </w:tcPr>
          <w:p w14:paraId="5FCF84B8" w14:textId="7186E24F" w:rsidR="005145CC" w:rsidRPr="00DD6590" w:rsidRDefault="00AB7D43" w:rsidP="005145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Výstupový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 xml:space="preserve">Počet zmodernizovaných verejných prístavov na sieti TEN-T CORE sa </w:t>
            </w:r>
            <w:r w:rsidR="004E3A07" w:rsidRPr="00DD6590">
              <w:rPr>
                <w:color w:val="000000" w:themeColor="text1"/>
                <w:sz w:val="16"/>
                <w:szCs w:val="16"/>
              </w:rPr>
              <w:t>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nevykazuje ani </w:t>
            </w:r>
            <w:r w:rsidR="00F678FC">
              <w:rPr>
                <w:color w:val="000000"/>
                <w:sz w:val="16"/>
                <w:szCs w:val="16"/>
              </w:rPr>
              <w:t>v</w:t>
            </w:r>
            <w:r w:rsidR="00F678FC" w:rsidRPr="00DD6590">
              <w:rPr>
                <w:color w:val="000000"/>
                <w:sz w:val="16"/>
                <w:szCs w:val="16"/>
              </w:rPr>
              <w:t xml:space="preserve"> </w:t>
            </w:r>
            <w:r w:rsidR="00D42B09" w:rsidRPr="00DD6590">
              <w:rPr>
                <w:color w:val="000000"/>
                <w:sz w:val="16"/>
                <w:szCs w:val="16"/>
              </w:rPr>
              <w:t xml:space="preserve">jednom </w:t>
            </w:r>
            <w:r w:rsidRPr="00DD6590">
              <w:rPr>
                <w:color w:val="000000"/>
                <w:sz w:val="16"/>
                <w:szCs w:val="16"/>
              </w:rPr>
              <w:t>projekt</w:t>
            </w:r>
            <w:r w:rsidR="00D42B09" w:rsidRPr="00DD6590">
              <w:rPr>
                <w:color w:val="000000"/>
                <w:sz w:val="16"/>
                <w:szCs w:val="16"/>
              </w:rPr>
              <w:t>e</w:t>
            </w:r>
            <w:r w:rsidRPr="00DD6590">
              <w:rPr>
                <w:color w:val="000000"/>
                <w:sz w:val="16"/>
                <w:szCs w:val="16"/>
              </w:rPr>
              <w:t xml:space="preserve">. </w:t>
            </w:r>
          </w:p>
          <w:p w14:paraId="3DEE76BF" w14:textId="32C61EC7" w:rsidR="00D42B09" w:rsidRPr="00DD6590" w:rsidRDefault="00D42B09" w:rsidP="008F694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 rámci plánovaných projektov uviedli projektoví manažéri </w:t>
            </w:r>
            <w:r w:rsidR="00295586" w:rsidRPr="00DD6590">
              <w:rPr>
                <w:color w:val="000000"/>
                <w:sz w:val="16"/>
                <w:szCs w:val="16"/>
              </w:rPr>
              <w:t>tri</w:t>
            </w:r>
            <w:r w:rsidRPr="00DD6590">
              <w:rPr>
                <w:color w:val="000000"/>
                <w:sz w:val="16"/>
                <w:szCs w:val="16"/>
              </w:rPr>
              <w:t xml:space="preserve"> projekty, ktoré by tento ukazovateľ mali naplniť </w:t>
            </w:r>
            <w:r w:rsidR="00F678FC">
              <w:rPr>
                <w:color w:val="000000"/>
                <w:sz w:val="16"/>
                <w:szCs w:val="16"/>
              </w:rPr>
              <w:t>‒</w:t>
            </w:r>
            <w:r w:rsidRPr="00DD6590">
              <w:rPr>
                <w:color w:val="000000"/>
                <w:sz w:val="16"/>
                <w:szCs w:val="16"/>
              </w:rPr>
              <w:t xml:space="preserve"> „Bezpečnostná ochrana prístavov – realizácia“</w:t>
            </w:r>
            <w:r w:rsidR="00295586" w:rsidRPr="00DD6590">
              <w:rPr>
                <w:color w:val="000000"/>
                <w:sz w:val="16"/>
                <w:szCs w:val="16"/>
              </w:rPr>
              <w:t xml:space="preserve">, </w:t>
            </w:r>
            <w:r w:rsidRPr="00DD6590">
              <w:rPr>
                <w:color w:val="000000"/>
                <w:sz w:val="16"/>
                <w:szCs w:val="16"/>
              </w:rPr>
              <w:t xml:space="preserve"> „Vybudovanie terminálu LNG vo verejnom prístave Bratislava – realizácia“</w:t>
            </w:r>
            <w:r w:rsidR="00295586" w:rsidRPr="00DD6590">
              <w:rPr>
                <w:color w:val="000000"/>
                <w:sz w:val="16"/>
                <w:szCs w:val="16"/>
              </w:rPr>
              <w:t xml:space="preserve"> a „Vybudovanie zázemia pre plavidlá vo verejnom prístave Bratislava – realizácia“</w:t>
            </w:r>
            <w:r w:rsidRPr="00DD6590">
              <w:rPr>
                <w:color w:val="000000"/>
                <w:sz w:val="16"/>
                <w:szCs w:val="16"/>
              </w:rPr>
              <w:t>. Tieto projekty nemajú stanovený termín predloženia a realizácie. V</w:t>
            </w:r>
            <w:r w:rsidR="005145CC" w:rsidRPr="00DD6590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súčasnosti</w:t>
            </w:r>
            <w:r w:rsidR="005145CC" w:rsidRPr="00DD6590">
              <w:rPr>
                <w:color w:val="000000"/>
                <w:sz w:val="16"/>
                <w:szCs w:val="16"/>
              </w:rPr>
              <w:t xml:space="preserve"> </w:t>
            </w:r>
            <w:r w:rsidR="00F678FC" w:rsidRPr="00DD6590">
              <w:rPr>
                <w:color w:val="000000"/>
                <w:sz w:val="16"/>
                <w:szCs w:val="16"/>
              </w:rPr>
              <w:t xml:space="preserve">plánujú </w:t>
            </w:r>
            <w:r w:rsidR="005145CC" w:rsidRPr="00DD6590">
              <w:rPr>
                <w:color w:val="000000"/>
                <w:sz w:val="16"/>
                <w:szCs w:val="16"/>
              </w:rPr>
              <w:t xml:space="preserve">Verejné prístavy a.s. </w:t>
            </w:r>
            <w:r w:rsidR="00C44E92" w:rsidRPr="00DD6590">
              <w:rPr>
                <w:color w:val="000000"/>
                <w:sz w:val="16"/>
                <w:szCs w:val="16"/>
              </w:rPr>
              <w:t>realizáciu</w:t>
            </w:r>
            <w:r w:rsidR="005145CC" w:rsidRPr="00DD6590">
              <w:rPr>
                <w:color w:val="000000"/>
                <w:sz w:val="16"/>
                <w:szCs w:val="16"/>
              </w:rPr>
              <w:t xml:space="preserve"> projek</w:t>
            </w:r>
            <w:r w:rsidR="00C44E92" w:rsidRPr="00DD6590">
              <w:rPr>
                <w:color w:val="000000"/>
                <w:sz w:val="16"/>
                <w:szCs w:val="16"/>
              </w:rPr>
              <w:t>tov</w:t>
            </w:r>
            <w:r w:rsidR="005145CC" w:rsidRPr="00DD6590">
              <w:rPr>
                <w:color w:val="000000"/>
                <w:sz w:val="16"/>
                <w:szCs w:val="16"/>
              </w:rPr>
              <w:t xml:space="preserve"> na </w:t>
            </w:r>
            <w:r w:rsidR="00C44E92" w:rsidRPr="00DD6590">
              <w:rPr>
                <w:color w:val="000000"/>
                <w:sz w:val="16"/>
                <w:szCs w:val="16"/>
              </w:rPr>
              <w:t>pred</w:t>
            </w:r>
            <w:r w:rsidR="005145CC" w:rsidRPr="00DD6590">
              <w:rPr>
                <w:color w:val="000000"/>
                <w:sz w:val="16"/>
                <w:szCs w:val="16"/>
              </w:rPr>
              <w:t xml:space="preserve">projektovú </w:t>
            </w:r>
            <w:r w:rsidR="00C44E92" w:rsidRPr="00DD6590">
              <w:rPr>
                <w:color w:val="000000"/>
                <w:sz w:val="16"/>
                <w:szCs w:val="16"/>
              </w:rPr>
              <w:t>prípravu</w:t>
            </w:r>
            <w:r w:rsidR="005145CC" w:rsidRPr="00DD6590">
              <w:rPr>
                <w:color w:val="000000"/>
                <w:sz w:val="16"/>
                <w:szCs w:val="16"/>
              </w:rPr>
              <w:t>.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</w:p>
          <w:p w14:paraId="47A076A5" w14:textId="239B8610" w:rsidR="00AB7D43" w:rsidRPr="00DD6590" w:rsidRDefault="00DA7085" w:rsidP="008F6942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</w:t>
            </w:r>
            <w:r w:rsidR="009A758F" w:rsidRPr="00DD6590">
              <w:rPr>
                <w:sz w:val="16"/>
                <w:szCs w:val="16"/>
              </w:rPr>
              <w:t xml:space="preserve">zhľadom </w:t>
            </w:r>
            <w:r w:rsidR="00F678FC">
              <w:rPr>
                <w:sz w:val="16"/>
                <w:szCs w:val="16"/>
              </w:rPr>
              <w:t>na</w:t>
            </w:r>
            <w:r w:rsidR="00F678FC" w:rsidRPr="00DD6590">
              <w:rPr>
                <w:sz w:val="16"/>
                <w:szCs w:val="16"/>
              </w:rPr>
              <w:t> časov</w:t>
            </w:r>
            <w:r w:rsidR="00F678FC">
              <w:rPr>
                <w:sz w:val="16"/>
                <w:szCs w:val="16"/>
              </w:rPr>
              <w:t>ý</w:t>
            </w:r>
            <w:r w:rsidR="00F678FC" w:rsidRPr="00DD6590">
              <w:rPr>
                <w:sz w:val="16"/>
                <w:szCs w:val="16"/>
              </w:rPr>
              <w:t xml:space="preserve"> </w:t>
            </w:r>
            <w:r w:rsidR="009A758F" w:rsidRPr="00DD6590">
              <w:rPr>
                <w:sz w:val="16"/>
                <w:szCs w:val="16"/>
              </w:rPr>
              <w:t>harmonogram a </w:t>
            </w:r>
            <w:r w:rsidR="00F678FC" w:rsidRPr="00DD6590">
              <w:rPr>
                <w:sz w:val="16"/>
                <w:szCs w:val="16"/>
              </w:rPr>
              <w:t>plánovan</w:t>
            </w:r>
            <w:r w:rsidR="00F678FC">
              <w:rPr>
                <w:sz w:val="16"/>
                <w:szCs w:val="16"/>
              </w:rPr>
              <w:t>é</w:t>
            </w:r>
            <w:r w:rsidR="00F678FC" w:rsidRPr="00DD6590">
              <w:rPr>
                <w:sz w:val="16"/>
                <w:szCs w:val="16"/>
              </w:rPr>
              <w:t xml:space="preserve"> projekt</w:t>
            </w:r>
            <w:r w:rsidR="00F678FC">
              <w:rPr>
                <w:sz w:val="16"/>
                <w:szCs w:val="16"/>
              </w:rPr>
              <w:t>y</w:t>
            </w:r>
            <w:r w:rsidR="009A758F" w:rsidRPr="00DD6590">
              <w:rPr>
                <w:sz w:val="16"/>
                <w:szCs w:val="16"/>
              </w:rPr>
              <w:t xml:space="preserve"> </w:t>
            </w:r>
            <w:r w:rsidR="00F678FC">
              <w:rPr>
                <w:sz w:val="16"/>
                <w:szCs w:val="16"/>
              </w:rPr>
              <w:t>existuje</w:t>
            </w:r>
            <w:r w:rsidR="00F678FC" w:rsidRPr="00DD6590">
              <w:rPr>
                <w:sz w:val="16"/>
                <w:szCs w:val="16"/>
              </w:rPr>
              <w:t xml:space="preserve"> </w:t>
            </w:r>
            <w:r w:rsidR="005145CC" w:rsidRPr="00DD6590">
              <w:rPr>
                <w:sz w:val="16"/>
                <w:szCs w:val="16"/>
              </w:rPr>
              <w:t>riziko nenaplnenia ukazovateľa</w:t>
            </w:r>
            <w:r w:rsidR="009A758F" w:rsidRPr="00DD6590">
              <w:rPr>
                <w:sz w:val="16"/>
                <w:szCs w:val="16"/>
              </w:rPr>
              <w:t>.</w:t>
            </w:r>
          </w:p>
          <w:p w14:paraId="6656E9C3" w14:textId="1D6874FA" w:rsidR="0037660E" w:rsidRPr="00DD6590" w:rsidRDefault="0037660E" w:rsidP="008F6942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Odporúčanie:</w:t>
            </w:r>
          </w:p>
          <w:p w14:paraId="3B436C91" w14:textId="2072E915" w:rsidR="00090C7A" w:rsidRPr="00DD6590" w:rsidRDefault="00090C7A" w:rsidP="00F678F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eastAsiaTheme="minorHAnsi" w:hAnsiTheme="minorHAnsi" w:cstheme="minorBidi"/>
                <w:color w:val="000000"/>
                <w:sz w:val="16"/>
                <w:szCs w:val="16"/>
                <w:lang w:eastAsia="en-US"/>
              </w:rPr>
              <w:t xml:space="preserve">Pri schvaľovaní projektov </w:t>
            </w:r>
            <w:proofErr w:type="spellStart"/>
            <w:r w:rsidRPr="00DD6590">
              <w:rPr>
                <w:rFonts w:asciiTheme="minorHAnsi" w:eastAsiaTheme="minorHAnsi" w:hAnsiTheme="minorHAnsi" w:cstheme="minorBidi"/>
                <w:color w:val="000000"/>
                <w:sz w:val="16"/>
                <w:szCs w:val="16"/>
                <w:lang w:eastAsia="en-US"/>
              </w:rPr>
              <w:t>prioritizovať</w:t>
            </w:r>
            <w:proofErr w:type="spellEnd"/>
            <w:r w:rsidRPr="00DD6590">
              <w:rPr>
                <w:rFonts w:asciiTheme="minorHAnsi" w:eastAsiaTheme="minorHAnsi" w:hAnsiTheme="minorHAnsi" w:cstheme="minorBidi"/>
                <w:color w:val="000000"/>
                <w:sz w:val="16"/>
                <w:szCs w:val="16"/>
                <w:lang w:eastAsia="en-US"/>
              </w:rPr>
              <w:t xml:space="preserve"> projekty zamerané na modernizáciu verejných prístavov</w:t>
            </w:r>
            <w:r w:rsidR="00295586" w:rsidRPr="00DD6590">
              <w:rPr>
                <w:rFonts w:asciiTheme="minorHAnsi" w:eastAsiaTheme="minorHAnsi" w:hAnsiTheme="minorHAnsi" w:cstheme="minorBidi"/>
                <w:color w:val="000000"/>
                <w:sz w:val="16"/>
                <w:szCs w:val="16"/>
                <w:lang w:eastAsia="en-US"/>
              </w:rPr>
              <w:t xml:space="preserve"> a</w:t>
            </w:r>
            <w:r w:rsidRPr="00DD6590">
              <w:rPr>
                <w:rFonts w:asciiTheme="minorHAnsi" w:eastAsiaTheme="minorHAnsi" w:hAnsiTheme="minorHAnsi" w:cstheme="minorBidi"/>
                <w:color w:val="000000"/>
                <w:sz w:val="16"/>
                <w:szCs w:val="16"/>
                <w:lang w:eastAsia="en-US"/>
              </w:rPr>
              <w:t xml:space="preserve"> prehodnotiť ukazovateľ aj vo vzťahu k navrhovanému rozšíreniu aktivít pre prístav Komárno.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7A7786" w:rsidRPr="00DD6590" w14:paraId="0CF5F0B2" w14:textId="77777777" w:rsidTr="008B121C">
        <w:trPr>
          <w:trHeight w:val="454"/>
        </w:trPr>
        <w:tc>
          <w:tcPr>
            <w:tcW w:w="549" w:type="pct"/>
            <w:vAlign w:val="center"/>
          </w:tcPr>
          <w:p w14:paraId="79D01B15" w14:textId="77777777" w:rsidR="00AB7D43" w:rsidRPr="00DD6590" w:rsidRDefault="00AB7D43" w:rsidP="007A778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Implementačný krok</w:t>
            </w:r>
          </w:p>
        </w:tc>
        <w:tc>
          <w:tcPr>
            <w:tcW w:w="1158" w:type="pct"/>
            <w:vAlign w:val="center"/>
          </w:tcPr>
          <w:p w14:paraId="3FABE146" w14:textId="77777777" w:rsidR="00AB7D43" w:rsidRPr="00DD6590" w:rsidRDefault="00AB7D43" w:rsidP="007A7786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Počet vyhlásených VO na projekty verejného prístavu Bratislava v súlade s vypracovanou štúdiou realizovateľnosti</w:t>
            </w:r>
          </w:p>
        </w:tc>
        <w:tc>
          <w:tcPr>
            <w:tcW w:w="549" w:type="pct"/>
            <w:vAlign w:val="center"/>
          </w:tcPr>
          <w:p w14:paraId="3FEE22F4" w14:textId="77777777" w:rsidR="00AB7D43" w:rsidRPr="00DD6590" w:rsidRDefault="00AB7D43" w:rsidP="007A7786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396" w:type="pct"/>
            <w:shd w:val="clear" w:color="auto" w:fill="EF858F"/>
            <w:vAlign w:val="center"/>
          </w:tcPr>
          <w:p w14:paraId="2DBFD364" w14:textId="63988965" w:rsidR="00AB7D43" w:rsidRPr="00DD6590" w:rsidRDefault="00AB7D43" w:rsidP="007A7786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F678FC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2348" w:type="pct"/>
            <w:shd w:val="clear" w:color="auto" w:fill="auto"/>
            <w:vAlign w:val="center"/>
          </w:tcPr>
          <w:p w14:paraId="745715A4" w14:textId="755734A9" w:rsidR="005145CC" w:rsidRPr="00DD6590" w:rsidRDefault="005145CC" w:rsidP="00DA708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 rámci plánovaných projektov uviedli projektoví manažéri </w:t>
            </w:r>
            <w:r w:rsidR="00295586" w:rsidRPr="00DD6590">
              <w:rPr>
                <w:rFonts w:asciiTheme="minorHAnsi" w:hAnsiTheme="minorHAnsi"/>
                <w:sz w:val="16"/>
                <w:szCs w:val="16"/>
              </w:rPr>
              <w:t>tri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projekty, ktoré by tento ukazovateľ mali naplniť </w:t>
            </w:r>
            <w:r w:rsidR="00F678FC">
              <w:rPr>
                <w:color w:val="000000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„Bezpečnostná ochrana prístavov – realizácia“</w:t>
            </w:r>
            <w:r w:rsidR="00295586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„Vybudovanie terminálu LNG vo verejnom prístave Bratislava – realizácia“</w:t>
            </w:r>
            <w:r w:rsidR="00295586" w:rsidRPr="00DD6590">
              <w:rPr>
                <w:rFonts w:asciiTheme="minorHAnsi" w:hAnsiTheme="minorHAnsi"/>
                <w:sz w:val="16"/>
                <w:szCs w:val="16"/>
              </w:rPr>
              <w:t xml:space="preserve"> a „Vybudovanie zázemia pre plavidlá vo verejnom prístave Bratislava – realizácia“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. Tieto projekty nemajú stanovený termín predloženia a realizácie. V súčasnosti Verejné prístavy a.s. majú v pláne predložiť projekt na projektovú dokumentáciu.</w:t>
            </w:r>
          </w:p>
          <w:p w14:paraId="7D0A7766" w14:textId="3BF3EBCE" w:rsidR="00295586" w:rsidRPr="00DD6590" w:rsidRDefault="005145CC" w:rsidP="00DA708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Vzhľadom </w:t>
            </w:r>
            <w:r w:rsidR="00F678FC">
              <w:rPr>
                <w:rFonts w:asciiTheme="minorHAnsi" w:hAnsiTheme="minorHAnsi"/>
                <w:sz w:val="16"/>
                <w:szCs w:val="16"/>
              </w:rPr>
              <w:t>na</w:t>
            </w:r>
            <w:r w:rsidR="00F678FC" w:rsidRPr="00DD6590">
              <w:rPr>
                <w:rFonts w:asciiTheme="minorHAnsi" w:hAnsiTheme="minorHAnsi"/>
                <w:sz w:val="16"/>
                <w:szCs w:val="16"/>
              </w:rPr>
              <w:t> časov</w:t>
            </w:r>
            <w:r w:rsidR="00F678FC">
              <w:rPr>
                <w:rFonts w:asciiTheme="minorHAnsi" w:hAnsiTheme="minorHAnsi"/>
                <w:sz w:val="16"/>
                <w:szCs w:val="16"/>
              </w:rPr>
              <w:t>ý</w:t>
            </w:r>
            <w:r w:rsidR="00F678F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harmonogram a </w:t>
            </w:r>
            <w:r w:rsidR="00F678FC" w:rsidRPr="00DD6590">
              <w:rPr>
                <w:rFonts w:asciiTheme="minorHAnsi" w:hAnsiTheme="minorHAnsi"/>
                <w:sz w:val="16"/>
                <w:szCs w:val="16"/>
              </w:rPr>
              <w:t>plánovan</w:t>
            </w:r>
            <w:r w:rsidR="00F678FC">
              <w:rPr>
                <w:rFonts w:asciiTheme="minorHAnsi" w:hAnsiTheme="minorHAnsi"/>
                <w:sz w:val="16"/>
                <w:szCs w:val="16"/>
              </w:rPr>
              <w:t>é</w:t>
            </w:r>
            <w:r w:rsidR="00F678F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projekt</w:t>
            </w:r>
            <w:r w:rsidR="00F678FC">
              <w:rPr>
                <w:rFonts w:asciiTheme="minorHAnsi" w:hAnsiTheme="minorHAnsi"/>
                <w:sz w:val="16"/>
                <w:szCs w:val="16"/>
              </w:rPr>
              <w:t>y existuje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riziko nenaplnenia ukazovateľa.</w:t>
            </w:r>
            <w:r w:rsidR="00295586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6F4EA0DD" w14:textId="3CD4AF00" w:rsidR="008918F4" w:rsidRPr="00DD6590" w:rsidRDefault="008918F4" w:rsidP="00DA708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Odporúčanie:</w:t>
            </w:r>
          </w:p>
          <w:p w14:paraId="331D7A9F" w14:textId="12AF8B3E" w:rsidR="00AB7D43" w:rsidRPr="00DD6590" w:rsidRDefault="008918F4" w:rsidP="009A3208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Vzhľadom </w:t>
            </w:r>
            <w:r w:rsidR="009A3208">
              <w:rPr>
                <w:rFonts w:asciiTheme="minorHAnsi" w:hAnsiTheme="minorHAnsi"/>
                <w:sz w:val="16"/>
                <w:szCs w:val="16"/>
              </w:rPr>
              <w:t>na</w:t>
            </w:r>
            <w:r w:rsidR="009A3208" w:rsidRPr="00DD6590">
              <w:rPr>
                <w:rFonts w:asciiTheme="minorHAnsi" w:hAnsiTheme="minorHAnsi"/>
                <w:sz w:val="16"/>
                <w:szCs w:val="16"/>
              </w:rPr>
              <w:t> zmen</w:t>
            </w:r>
            <w:r w:rsidR="009A3208">
              <w:rPr>
                <w:rFonts w:asciiTheme="minorHAnsi" w:hAnsiTheme="minorHAnsi"/>
                <w:sz w:val="16"/>
                <w:szCs w:val="16"/>
              </w:rPr>
              <w:t>u</w:t>
            </w:r>
            <w:r w:rsidR="009A3208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prijímateľov a aktivít odporúčame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vyrokovať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s EK zmenu ukazovateľa aj na základe plánovanej realizácie projektu „Pravidelná osobná lodná doprava na Dunaji </w:t>
            </w:r>
            <w:r w:rsidR="009A3208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Dunajbus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– realizácia“ </w:t>
            </w:r>
          </w:p>
        </w:tc>
      </w:tr>
    </w:tbl>
    <w:p w14:paraId="1935D47D" w14:textId="77777777" w:rsidR="00337AB0" w:rsidRPr="00DD6590" w:rsidRDefault="00337AB0" w:rsidP="005A4DB1">
      <w:pPr>
        <w:sectPr w:rsidR="00337AB0" w:rsidRPr="00DD6590" w:rsidSect="000D4D54">
          <w:pgSz w:w="16838" w:h="11906" w:orient="landscape" w:code="9"/>
          <w:pgMar w:top="1260" w:right="1411" w:bottom="1411" w:left="1411" w:header="677" w:footer="562" w:gutter="0"/>
          <w:cols w:space="284"/>
          <w:titlePg/>
          <w:docGrid w:linePitch="360"/>
        </w:sectPr>
      </w:pPr>
    </w:p>
    <w:bookmarkEnd w:id="2"/>
    <w:p w14:paraId="2DC612B6" w14:textId="77777777" w:rsidR="008C6F86" w:rsidRPr="00DD6590" w:rsidRDefault="008C6F86" w:rsidP="000D4D54">
      <w:pPr>
        <w:spacing w:after="200" w:line="276" w:lineRule="auto"/>
      </w:pPr>
    </w:p>
    <w:sectPr w:rsidR="008C6F86" w:rsidRPr="00DD6590" w:rsidSect="000D4D54">
      <w:type w:val="continuous"/>
      <w:pgSz w:w="16838" w:h="11906" w:orient="landscape" w:code="9"/>
      <w:pgMar w:top="1411" w:right="1987" w:bottom="1138" w:left="1138" w:header="677" w:footer="562" w:gutter="0"/>
      <w:cols w:num="3" w:space="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ED4AF" w14:textId="77777777" w:rsidR="00F678FC" w:rsidRDefault="00F678FC" w:rsidP="00C702C7">
      <w:r>
        <w:separator/>
      </w:r>
    </w:p>
  </w:endnote>
  <w:endnote w:type="continuationSeparator" w:id="0">
    <w:p w14:paraId="48BD6A56" w14:textId="77777777" w:rsidR="00F678FC" w:rsidRDefault="00F678FC" w:rsidP="00C7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651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AD8A33" w14:textId="625E0A4A" w:rsidR="006219CE" w:rsidRDefault="006219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68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B4A9D3" w14:textId="77777777" w:rsidR="00F678FC" w:rsidRPr="00335CF3" w:rsidRDefault="00F678FC" w:rsidP="00D21B5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7171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985C60" w14:textId="4E452A21" w:rsidR="006219CE" w:rsidRDefault="006219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6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C27993" w14:textId="77777777" w:rsidR="00F678FC" w:rsidRDefault="00F678FC" w:rsidP="00D21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B7C5" w14:textId="77777777" w:rsidR="00F678FC" w:rsidRDefault="00F678FC" w:rsidP="00C702C7">
      <w:r>
        <w:separator/>
      </w:r>
    </w:p>
  </w:footnote>
  <w:footnote w:type="continuationSeparator" w:id="0">
    <w:p w14:paraId="09316071" w14:textId="77777777" w:rsidR="00F678FC" w:rsidRDefault="00F678FC" w:rsidP="00C702C7">
      <w:r>
        <w:continuationSeparator/>
      </w:r>
    </w:p>
  </w:footnote>
  <w:footnote w:id="1">
    <w:p w14:paraId="2D381BAF" w14:textId="77777777" w:rsidR="00F678FC" w:rsidRPr="001C487B" w:rsidRDefault="00F678FC" w:rsidP="00EC7D17">
      <w:pPr>
        <w:pStyle w:val="FootnoteText"/>
      </w:pPr>
      <w:r w:rsidRPr="001C487B">
        <w:rPr>
          <w:rStyle w:val="FootnoteReference"/>
        </w:rPr>
        <w:footnoteRef/>
      </w:r>
      <w:r w:rsidRPr="001C487B">
        <w:t xml:space="preserve"> Zámer je plánovaná konečná hodnota ukazovateľa k termínu splnenia 31. 12. 2023. Dosiahnutie zámeru sa vyhodnocuje v roku 2025 pri uzatváraní programového obdobia.</w:t>
      </w:r>
    </w:p>
  </w:footnote>
  <w:footnote w:id="2">
    <w:p w14:paraId="2A4D3857" w14:textId="460C6787" w:rsidR="00F678FC" w:rsidRPr="00B122A8" w:rsidRDefault="00F678FC" w:rsidP="00F43238">
      <w:pPr>
        <w:pStyle w:val="FootnoteText"/>
        <w:spacing w:before="0" w:after="0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r w:rsidRPr="00B122A8">
        <w:t>Zdroj: Údaje čerpané z Monitorovacích správ dostupn</w:t>
      </w:r>
      <w:r w:rsidR="00C23DEE">
        <w:t>ý</w:t>
      </w:r>
      <w:r>
        <w:t>ch</w:t>
      </w:r>
      <w:r w:rsidRPr="00B122A8">
        <w:t xml:space="preserve"> v ITMS k 31. 1. 2019 a z informácií k projektom poskytnutým zadávateľom. (Pozn.: MS za rok 2018 musia byť poskytnuté do 31. </w:t>
      </w:r>
      <w:r>
        <w:t>1</w:t>
      </w:r>
      <w:r w:rsidRPr="00B122A8">
        <w:t>. 2019</w:t>
      </w:r>
      <w:r>
        <w:t>)</w:t>
      </w:r>
      <w:r w:rsidRPr="00B122A8">
        <w:t>.</w:t>
      </w:r>
      <w:r>
        <w:rPr>
          <w:lang w:val="cs-CZ"/>
        </w:rPr>
        <w:t xml:space="preserve"> </w:t>
      </w:r>
    </w:p>
  </w:footnote>
  <w:footnote w:id="3">
    <w:p w14:paraId="6F771D78" w14:textId="77777777" w:rsidR="00F678FC" w:rsidRPr="00966CAD" w:rsidRDefault="00F678FC" w:rsidP="00F43238">
      <w:pPr>
        <w:pStyle w:val="FootnoteText"/>
        <w:spacing w:before="0" w:after="0"/>
      </w:pPr>
      <w:r w:rsidRPr="00966CAD">
        <w:rPr>
          <w:rStyle w:val="FootnoteReference"/>
        </w:rPr>
        <w:footnoteRef/>
      </w:r>
      <w:r w:rsidRPr="00966CAD">
        <w:t xml:space="preserve"> </w:t>
      </w:r>
      <w:r w:rsidRPr="00966CAD">
        <w:t>Od začiatku projektu do 31.</w:t>
      </w:r>
      <w:r>
        <w:t xml:space="preserve"> </w:t>
      </w:r>
      <w:r w:rsidRPr="00966CAD">
        <w:t>12.</w:t>
      </w:r>
      <w:r>
        <w:t xml:space="preserve"> </w:t>
      </w:r>
      <w:r w:rsidRPr="00966CAD">
        <w:t>2018.</w:t>
      </w:r>
    </w:p>
  </w:footnote>
  <w:footnote w:id="4">
    <w:p w14:paraId="47B289D1" w14:textId="77777777" w:rsidR="00F678FC" w:rsidRPr="00966CAD" w:rsidRDefault="00F678FC" w:rsidP="00F43238">
      <w:pPr>
        <w:pStyle w:val="FootnoteText"/>
        <w:spacing w:before="0" w:after="0"/>
      </w:pPr>
      <w:r w:rsidRPr="00966CAD">
        <w:rPr>
          <w:rStyle w:val="FootnoteReference"/>
        </w:rPr>
        <w:footnoteRef/>
      </w:r>
      <w:r w:rsidRPr="00966CAD">
        <w:t xml:space="preserve"> </w:t>
      </w:r>
      <w:r w:rsidRPr="00C0506C">
        <w:t xml:space="preserve">Percentuálny podiel </w:t>
      </w:r>
      <w:r>
        <w:t xml:space="preserve">a stav </w:t>
      </w:r>
      <w:r w:rsidRPr="00C0506C">
        <w:t xml:space="preserve">vecného plnenia </w:t>
      </w:r>
      <w:r>
        <w:t>podľa</w:t>
      </w:r>
      <w:r w:rsidRPr="00C0506C">
        <w:t xml:space="preserve"> odhadu projektových manažérov.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B8A3B" w14:textId="4E6E14EB" w:rsidR="00F678FC" w:rsidRDefault="00F77687">
    <w:pPr>
      <w:pStyle w:val="Header"/>
    </w:pPr>
    <w:r>
      <w:rPr>
        <w:noProof/>
      </w:rPr>
      <w:pict w14:anchorId="600582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3441647" o:spid="_x0000_s2056" type="#_x0000_t136" style="position:absolute;margin-left:0;margin-top:0;width:494.7pt;height:164.9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69C5C" w14:textId="29F59A88" w:rsidR="00F678FC" w:rsidRPr="000D4D54" w:rsidRDefault="00F678FC" w:rsidP="000D4D54">
    <w:pPr>
      <w:pStyle w:val="Header"/>
      <w:rPr>
        <w:b w:val="0"/>
        <w:sz w:val="16"/>
        <w:szCs w:val="16"/>
        <w:lang w:val="sk-SK"/>
      </w:rPr>
    </w:pPr>
    <w:r w:rsidRPr="000D4D54">
      <w:rPr>
        <w:b w:val="0"/>
        <w:sz w:val="16"/>
        <w:szCs w:val="16"/>
        <w:lang w:val="sk-SK"/>
      </w:rPr>
      <w:t xml:space="preserve">Príloha č. 7 výsledky analýzy prioritnej osi </w:t>
    </w:r>
    <w:r w:rsidR="009C3E2F">
      <w:rPr>
        <w:b w:val="0"/>
        <w:sz w:val="16"/>
        <w:szCs w:val="16"/>
        <w:lang w:val="sk-SK"/>
      </w:rPr>
      <w:t xml:space="preserve">4 </w:t>
    </w:r>
    <w:r w:rsidR="009C3E2F" w:rsidRPr="00D76E8D">
      <w:rPr>
        <w:sz w:val="16"/>
        <w:szCs w:val="16"/>
      </w:rPr>
      <w:t>–</w:t>
    </w:r>
    <w:r w:rsidR="009C3E2F">
      <w:rPr>
        <w:sz w:val="16"/>
        <w:szCs w:val="16"/>
      </w:rPr>
      <w:t xml:space="preserve"> </w:t>
    </w:r>
    <w:r w:rsidRPr="000D4D54">
      <w:rPr>
        <w:b w:val="0"/>
        <w:sz w:val="16"/>
        <w:szCs w:val="16"/>
        <w:lang w:val="sk-SK"/>
      </w:rPr>
      <w:t>Infraštruktúra vodnej dopravy (TEN-T CORE)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CD23D" w14:textId="7460D73C" w:rsidR="00F678FC" w:rsidRPr="000D4D54" w:rsidRDefault="00F678FC" w:rsidP="000D4D54">
    <w:pPr>
      <w:pStyle w:val="Header"/>
      <w:rPr>
        <w:b w:val="0"/>
        <w:sz w:val="16"/>
        <w:szCs w:val="16"/>
        <w:lang w:val="sk-SK"/>
      </w:rPr>
    </w:pPr>
    <w:r>
      <w:rPr>
        <w:b w:val="0"/>
        <w:sz w:val="16"/>
        <w:szCs w:val="16"/>
        <w:lang w:val="sk-SK"/>
      </w:rPr>
      <w:t>Príloha č. 7 V</w:t>
    </w:r>
    <w:r w:rsidRPr="000D4D54">
      <w:rPr>
        <w:b w:val="0"/>
        <w:sz w:val="16"/>
        <w:szCs w:val="16"/>
        <w:lang w:val="sk-SK"/>
      </w:rPr>
      <w:t>ýsledky analýzy prioritnej osi</w:t>
    </w:r>
    <w:r w:rsidR="009C3E2F">
      <w:rPr>
        <w:b w:val="0"/>
        <w:sz w:val="16"/>
        <w:szCs w:val="16"/>
        <w:lang w:val="sk-SK"/>
      </w:rPr>
      <w:t xml:space="preserve"> 4 </w:t>
    </w:r>
    <w:r w:rsidR="009C3E2F" w:rsidRPr="00D76E8D">
      <w:rPr>
        <w:sz w:val="16"/>
        <w:szCs w:val="16"/>
      </w:rPr>
      <w:t>–</w:t>
    </w:r>
    <w:r w:rsidRPr="000D4D54">
      <w:rPr>
        <w:b w:val="0"/>
        <w:sz w:val="16"/>
        <w:szCs w:val="16"/>
        <w:lang w:val="sk-SK"/>
      </w:rPr>
      <w:t xml:space="preserve"> Infraštruktúra vodnej dopravy (TEN-T CORE)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4D4E6FE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1" w15:restartNumberingAfterBreak="0">
    <w:nsid w:val="FFFFFF83"/>
    <w:multiLevelType w:val="singleLevel"/>
    <w:tmpl w:val="8EAA911C"/>
    <w:lvl w:ilvl="0">
      <w:start w:val="1"/>
      <w:numFmt w:val="bullet"/>
      <w:pStyle w:val="ListBullet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 w15:restartNumberingAfterBreak="0">
    <w:nsid w:val="FFFFFF88"/>
    <w:multiLevelType w:val="singleLevel"/>
    <w:tmpl w:val="F716B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2A402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F1546E"/>
    <w:multiLevelType w:val="hybridMultilevel"/>
    <w:tmpl w:val="9390A5D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D659F"/>
    <w:multiLevelType w:val="hybridMultilevel"/>
    <w:tmpl w:val="BD70E5B8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5EC5B65"/>
    <w:multiLevelType w:val="multilevel"/>
    <w:tmpl w:val="F5FA3D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60D3F35"/>
    <w:multiLevelType w:val="hybridMultilevel"/>
    <w:tmpl w:val="3A623CA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D6749D"/>
    <w:multiLevelType w:val="hybridMultilevel"/>
    <w:tmpl w:val="0F3E426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1400AD66">
      <w:start w:val="1"/>
      <w:numFmt w:val="decimal"/>
      <w:lvlText w:val="%3."/>
      <w:lvlJc w:val="left"/>
      <w:pPr>
        <w:ind w:left="20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0737687E"/>
    <w:multiLevelType w:val="hybridMultilevel"/>
    <w:tmpl w:val="DFC2D8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8E0551"/>
    <w:multiLevelType w:val="hybridMultilevel"/>
    <w:tmpl w:val="02C22996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B5C13"/>
    <w:multiLevelType w:val="hybridMultilevel"/>
    <w:tmpl w:val="FECA117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71487"/>
    <w:multiLevelType w:val="hybridMultilevel"/>
    <w:tmpl w:val="674E8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592C5D"/>
    <w:multiLevelType w:val="hybridMultilevel"/>
    <w:tmpl w:val="32A426C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6A00"/>
    <w:multiLevelType w:val="hybridMultilevel"/>
    <w:tmpl w:val="9EACC5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4B3A54"/>
    <w:multiLevelType w:val="hybridMultilevel"/>
    <w:tmpl w:val="3C7A9D5C"/>
    <w:lvl w:ilvl="0" w:tplc="287A5174">
      <w:numFmt w:val="bullet"/>
      <w:lvlText w:val="•"/>
      <w:lvlJc w:val="left"/>
      <w:pPr>
        <w:ind w:left="1080" w:hanging="720"/>
      </w:pPr>
      <w:rPr>
        <w:rFonts w:ascii="Verdana" w:eastAsia="Verdan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16083"/>
    <w:multiLevelType w:val="hybridMultilevel"/>
    <w:tmpl w:val="BC06C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73EC0"/>
    <w:multiLevelType w:val="hybridMultilevel"/>
    <w:tmpl w:val="3D8C7D9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675BC"/>
    <w:multiLevelType w:val="hybridMultilevel"/>
    <w:tmpl w:val="1AEC1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E6309"/>
    <w:multiLevelType w:val="hybridMultilevel"/>
    <w:tmpl w:val="3FFAE18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169D5"/>
    <w:multiLevelType w:val="hybridMultilevel"/>
    <w:tmpl w:val="96B41E02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21174A"/>
    <w:multiLevelType w:val="hybridMultilevel"/>
    <w:tmpl w:val="6C5A504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1F437708"/>
    <w:multiLevelType w:val="hybridMultilevel"/>
    <w:tmpl w:val="371CA554"/>
    <w:lvl w:ilvl="0" w:tplc="2D72B276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10102"/>
    <w:multiLevelType w:val="hybridMultilevel"/>
    <w:tmpl w:val="B0229B58"/>
    <w:lvl w:ilvl="0" w:tplc="48D6B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41826D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61CE5"/>
    <w:multiLevelType w:val="hybridMultilevel"/>
    <w:tmpl w:val="5B286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6C77F0"/>
    <w:multiLevelType w:val="hybridMultilevel"/>
    <w:tmpl w:val="16D8B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BD71E5"/>
    <w:multiLevelType w:val="hybridMultilevel"/>
    <w:tmpl w:val="B35C766E"/>
    <w:lvl w:ilvl="0" w:tplc="D410EC44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6B478AA"/>
    <w:multiLevelType w:val="hybridMultilevel"/>
    <w:tmpl w:val="EA36D00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7D12D11"/>
    <w:multiLevelType w:val="hybridMultilevel"/>
    <w:tmpl w:val="21F074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98214CF"/>
    <w:multiLevelType w:val="hybridMultilevel"/>
    <w:tmpl w:val="85ACB9DC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BAC20C4">
      <w:numFmt w:val="bullet"/>
      <w:lvlText w:val="–"/>
      <w:lvlJc w:val="left"/>
      <w:pPr>
        <w:ind w:left="207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2B35497D"/>
    <w:multiLevelType w:val="hybridMultilevel"/>
    <w:tmpl w:val="12442D9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654486"/>
    <w:multiLevelType w:val="hybridMultilevel"/>
    <w:tmpl w:val="2AF43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337363"/>
    <w:multiLevelType w:val="hybridMultilevel"/>
    <w:tmpl w:val="6A0E2A74"/>
    <w:lvl w:ilvl="0" w:tplc="2F1C8C5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51AA7"/>
    <w:multiLevelType w:val="hybridMultilevel"/>
    <w:tmpl w:val="7DB27FA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AC20C4">
      <w:numFmt w:val="bullet"/>
      <w:lvlText w:val="–"/>
      <w:lvlJc w:val="left"/>
      <w:pPr>
        <w:ind w:left="198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4C1642"/>
    <w:multiLevelType w:val="hybridMultilevel"/>
    <w:tmpl w:val="1D38391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1BC3B9D"/>
    <w:multiLevelType w:val="hybridMultilevel"/>
    <w:tmpl w:val="4C245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F1335D"/>
    <w:multiLevelType w:val="multilevel"/>
    <w:tmpl w:val="6A8275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324D76EE"/>
    <w:multiLevelType w:val="hybridMultilevel"/>
    <w:tmpl w:val="9C6EB8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556F30"/>
    <w:multiLevelType w:val="hybridMultilevel"/>
    <w:tmpl w:val="1ACEC30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AA3B54"/>
    <w:multiLevelType w:val="hybridMultilevel"/>
    <w:tmpl w:val="FEF82A5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B27DE5"/>
    <w:multiLevelType w:val="hybridMultilevel"/>
    <w:tmpl w:val="1E4E01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4415317"/>
    <w:multiLevelType w:val="hybridMultilevel"/>
    <w:tmpl w:val="A5484C6E"/>
    <w:lvl w:ilvl="0" w:tplc="D10C504E">
      <w:numFmt w:val="bullet"/>
      <w:lvlText w:val="-"/>
      <w:lvlJc w:val="left"/>
      <w:pPr>
        <w:ind w:left="108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54D0EAC"/>
    <w:multiLevelType w:val="multilevel"/>
    <w:tmpl w:val="263ACD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9C57EC0"/>
    <w:multiLevelType w:val="hybridMultilevel"/>
    <w:tmpl w:val="9D345DB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1826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D3D15"/>
    <w:multiLevelType w:val="hybridMultilevel"/>
    <w:tmpl w:val="B2C0E5E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5800C7"/>
    <w:multiLevelType w:val="hybridMultilevel"/>
    <w:tmpl w:val="F182CAC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BAC20C4">
      <w:numFmt w:val="bullet"/>
      <w:lvlText w:val="–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53CD7"/>
    <w:multiLevelType w:val="hybridMultilevel"/>
    <w:tmpl w:val="8E78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7F1B9D"/>
    <w:multiLevelType w:val="hybridMultilevel"/>
    <w:tmpl w:val="973A261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4A2B22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212B4"/>
    <w:multiLevelType w:val="multilevel"/>
    <w:tmpl w:val="4DCE3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457C67BE"/>
    <w:multiLevelType w:val="hybridMultilevel"/>
    <w:tmpl w:val="6EAEA3C8"/>
    <w:lvl w:ilvl="0" w:tplc="2E444D5E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E76697"/>
    <w:multiLevelType w:val="hybridMultilevel"/>
    <w:tmpl w:val="D5B28564"/>
    <w:lvl w:ilvl="0" w:tplc="2752CD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D6439F"/>
    <w:multiLevelType w:val="hybridMultilevel"/>
    <w:tmpl w:val="00925A92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126BD0"/>
    <w:multiLevelType w:val="hybridMultilevel"/>
    <w:tmpl w:val="31E6CFB2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4B2E76AA"/>
    <w:multiLevelType w:val="hybridMultilevel"/>
    <w:tmpl w:val="4DA899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A46E84"/>
    <w:multiLevelType w:val="hybridMultilevel"/>
    <w:tmpl w:val="A8647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194850"/>
    <w:multiLevelType w:val="hybridMultilevel"/>
    <w:tmpl w:val="CE320C8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F5825BB"/>
    <w:multiLevelType w:val="hybridMultilevel"/>
    <w:tmpl w:val="758032A4"/>
    <w:lvl w:ilvl="0" w:tplc="FBB4B35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7" w15:restartNumberingAfterBreak="0">
    <w:nsid w:val="4FAE0B2F"/>
    <w:multiLevelType w:val="hybridMultilevel"/>
    <w:tmpl w:val="64DA5C3E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3A36787"/>
    <w:multiLevelType w:val="hybridMultilevel"/>
    <w:tmpl w:val="D6FE7CC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35B43"/>
    <w:multiLevelType w:val="hybridMultilevel"/>
    <w:tmpl w:val="E6F6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F9450B"/>
    <w:multiLevelType w:val="hybridMultilevel"/>
    <w:tmpl w:val="F240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CB7673"/>
    <w:multiLevelType w:val="multilevel"/>
    <w:tmpl w:val="EDAC9F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5DDD2C74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DA112A"/>
    <w:multiLevelType w:val="hybridMultilevel"/>
    <w:tmpl w:val="8C9A9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557AFB"/>
    <w:multiLevelType w:val="hybridMultilevel"/>
    <w:tmpl w:val="7248A71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9152D5"/>
    <w:multiLevelType w:val="hybridMultilevel"/>
    <w:tmpl w:val="DDA0FDEA"/>
    <w:lvl w:ilvl="0" w:tplc="03565C20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9634AC"/>
    <w:multiLevelType w:val="hybridMultilevel"/>
    <w:tmpl w:val="A4CE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EA0CD6"/>
    <w:multiLevelType w:val="hybridMultilevel"/>
    <w:tmpl w:val="6444101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3464AFC"/>
    <w:multiLevelType w:val="hybridMultilevel"/>
    <w:tmpl w:val="5A6C46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4029A3"/>
    <w:multiLevelType w:val="multilevel"/>
    <w:tmpl w:val="EDAC9F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6075D94"/>
    <w:multiLevelType w:val="hybridMultilevel"/>
    <w:tmpl w:val="47527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884CE7"/>
    <w:multiLevelType w:val="multilevel"/>
    <w:tmpl w:val="085059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668A0B60"/>
    <w:multiLevelType w:val="hybridMultilevel"/>
    <w:tmpl w:val="12AA7456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890F48"/>
    <w:multiLevelType w:val="hybridMultilevel"/>
    <w:tmpl w:val="BB7AC77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87B48"/>
    <w:multiLevelType w:val="hybridMultilevel"/>
    <w:tmpl w:val="BD887F5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0C504E">
      <w:numFmt w:val="bullet"/>
      <w:lvlText w:val="-"/>
      <w:lvlJc w:val="left"/>
      <w:pPr>
        <w:ind w:left="1800" w:hanging="360"/>
      </w:pPr>
      <w:rPr>
        <w:rFonts w:ascii="Calibri" w:eastAsiaTheme="minorHAns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9FE08F0"/>
    <w:multiLevelType w:val="hybridMultilevel"/>
    <w:tmpl w:val="3A9A870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AE5293E"/>
    <w:multiLevelType w:val="hybridMultilevel"/>
    <w:tmpl w:val="D4FE8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073FDE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FC6346"/>
    <w:multiLevelType w:val="hybridMultilevel"/>
    <w:tmpl w:val="6E20202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E0A408A"/>
    <w:multiLevelType w:val="hybridMultilevel"/>
    <w:tmpl w:val="57B6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445FF8"/>
    <w:multiLevelType w:val="hybridMultilevel"/>
    <w:tmpl w:val="13F4DC0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6B264B"/>
    <w:multiLevelType w:val="hybridMultilevel"/>
    <w:tmpl w:val="439ABF50"/>
    <w:lvl w:ilvl="0" w:tplc="D234A1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930BE4"/>
    <w:multiLevelType w:val="hybridMultilevel"/>
    <w:tmpl w:val="2B1A0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1244D69"/>
    <w:multiLevelType w:val="hybridMultilevel"/>
    <w:tmpl w:val="8A2EA7F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CB1609"/>
    <w:multiLevelType w:val="hybridMultilevel"/>
    <w:tmpl w:val="043E2A0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4327D4A"/>
    <w:multiLevelType w:val="hybridMultilevel"/>
    <w:tmpl w:val="7AAECCA4"/>
    <w:lvl w:ilvl="0" w:tplc="8FCE68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5648D5"/>
    <w:multiLevelType w:val="hybridMultilevel"/>
    <w:tmpl w:val="2E1C68FC"/>
    <w:lvl w:ilvl="0" w:tplc="D592D7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9655FE"/>
    <w:multiLevelType w:val="hybridMultilevel"/>
    <w:tmpl w:val="896A2454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744493C"/>
    <w:multiLevelType w:val="multilevel"/>
    <w:tmpl w:val="7C0EC0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9" w15:restartNumberingAfterBreak="0">
    <w:nsid w:val="77567C51"/>
    <w:multiLevelType w:val="hybridMultilevel"/>
    <w:tmpl w:val="EBEA2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7C0445C"/>
    <w:multiLevelType w:val="hybridMultilevel"/>
    <w:tmpl w:val="A8182902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7C878A5"/>
    <w:multiLevelType w:val="hybridMultilevel"/>
    <w:tmpl w:val="4538DE76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2" w15:restartNumberingAfterBreak="0">
    <w:nsid w:val="79EC25C9"/>
    <w:multiLevelType w:val="hybridMultilevel"/>
    <w:tmpl w:val="75E2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AC41260"/>
    <w:multiLevelType w:val="hybridMultilevel"/>
    <w:tmpl w:val="407C3F1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4" w15:restartNumberingAfterBreak="0">
    <w:nsid w:val="7CE66048"/>
    <w:multiLevelType w:val="hybridMultilevel"/>
    <w:tmpl w:val="CA9C59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9"/>
  </w:num>
  <w:num w:numId="6">
    <w:abstractNumId w:val="65"/>
  </w:num>
  <w:num w:numId="7">
    <w:abstractNumId w:val="48"/>
  </w:num>
  <w:num w:numId="8">
    <w:abstractNumId w:val="23"/>
  </w:num>
  <w:num w:numId="9">
    <w:abstractNumId w:val="6"/>
  </w:num>
  <w:num w:numId="10">
    <w:abstractNumId w:val="93"/>
  </w:num>
  <w:num w:numId="11">
    <w:abstractNumId w:val="16"/>
  </w:num>
  <w:num w:numId="12">
    <w:abstractNumId w:val="50"/>
  </w:num>
  <w:num w:numId="13">
    <w:abstractNumId w:val="35"/>
  </w:num>
  <w:num w:numId="14">
    <w:abstractNumId w:val="82"/>
  </w:num>
  <w:num w:numId="15">
    <w:abstractNumId w:val="37"/>
  </w:num>
  <w:num w:numId="16">
    <w:abstractNumId w:val="56"/>
  </w:num>
  <w:num w:numId="17">
    <w:abstractNumId w:val="52"/>
  </w:num>
  <w:num w:numId="18">
    <w:abstractNumId w:val="42"/>
  </w:num>
  <w:num w:numId="19">
    <w:abstractNumId w:val="76"/>
  </w:num>
  <w:num w:numId="20">
    <w:abstractNumId w:val="63"/>
  </w:num>
  <w:num w:numId="21">
    <w:abstractNumId w:val="26"/>
  </w:num>
  <w:num w:numId="22">
    <w:abstractNumId w:val="54"/>
  </w:num>
  <w:num w:numId="23">
    <w:abstractNumId w:val="77"/>
  </w:num>
  <w:num w:numId="24">
    <w:abstractNumId w:val="62"/>
  </w:num>
  <w:num w:numId="25">
    <w:abstractNumId w:val="36"/>
  </w:num>
  <w:num w:numId="26">
    <w:abstractNumId w:val="70"/>
  </w:num>
  <w:num w:numId="27">
    <w:abstractNumId w:val="18"/>
  </w:num>
  <w:num w:numId="28">
    <w:abstractNumId w:val="71"/>
  </w:num>
  <w:num w:numId="29">
    <w:abstractNumId w:val="14"/>
  </w:num>
  <w:num w:numId="30">
    <w:abstractNumId w:val="68"/>
  </w:num>
  <w:num w:numId="31">
    <w:abstractNumId w:val="9"/>
  </w:num>
  <w:num w:numId="32">
    <w:abstractNumId w:val="32"/>
  </w:num>
  <w:num w:numId="33">
    <w:abstractNumId w:val="61"/>
  </w:num>
  <w:num w:numId="34">
    <w:abstractNumId w:val="69"/>
  </w:num>
  <w:num w:numId="35">
    <w:abstractNumId w:val="15"/>
  </w:num>
  <w:num w:numId="36">
    <w:abstractNumId w:val="72"/>
  </w:num>
  <w:num w:numId="37">
    <w:abstractNumId w:val="90"/>
  </w:num>
  <w:num w:numId="38">
    <w:abstractNumId w:val="5"/>
  </w:num>
  <w:num w:numId="39">
    <w:abstractNumId w:val="75"/>
  </w:num>
  <w:num w:numId="40">
    <w:abstractNumId w:val="87"/>
  </w:num>
  <w:num w:numId="41">
    <w:abstractNumId w:val="4"/>
  </w:num>
  <w:num w:numId="42">
    <w:abstractNumId w:val="41"/>
  </w:num>
  <w:num w:numId="43">
    <w:abstractNumId w:val="88"/>
  </w:num>
  <w:num w:numId="44">
    <w:abstractNumId w:val="47"/>
  </w:num>
  <w:num w:numId="45">
    <w:abstractNumId w:val="58"/>
  </w:num>
  <w:num w:numId="46">
    <w:abstractNumId w:val="53"/>
  </w:num>
  <w:num w:numId="47">
    <w:abstractNumId w:val="29"/>
  </w:num>
  <w:num w:numId="48">
    <w:abstractNumId w:val="91"/>
  </w:num>
  <w:num w:numId="49">
    <w:abstractNumId w:val="8"/>
  </w:num>
  <w:num w:numId="50">
    <w:abstractNumId w:val="21"/>
  </w:num>
  <w:num w:numId="51">
    <w:abstractNumId w:val="38"/>
  </w:num>
  <w:num w:numId="52">
    <w:abstractNumId w:val="20"/>
  </w:num>
  <w:num w:numId="53">
    <w:abstractNumId w:val="17"/>
  </w:num>
  <w:num w:numId="54">
    <w:abstractNumId w:val="43"/>
  </w:num>
  <w:num w:numId="55">
    <w:abstractNumId w:val="13"/>
  </w:num>
  <w:num w:numId="56">
    <w:abstractNumId w:val="64"/>
  </w:num>
  <w:num w:numId="57">
    <w:abstractNumId w:val="11"/>
  </w:num>
  <w:num w:numId="58">
    <w:abstractNumId w:val="33"/>
  </w:num>
  <w:num w:numId="59">
    <w:abstractNumId w:val="67"/>
  </w:num>
  <w:num w:numId="60">
    <w:abstractNumId w:val="22"/>
  </w:num>
  <w:num w:numId="61">
    <w:abstractNumId w:val="27"/>
  </w:num>
  <w:num w:numId="62">
    <w:abstractNumId w:val="45"/>
  </w:num>
  <w:num w:numId="63">
    <w:abstractNumId w:val="7"/>
  </w:num>
  <w:num w:numId="64">
    <w:abstractNumId w:val="83"/>
  </w:num>
  <w:num w:numId="65">
    <w:abstractNumId w:val="34"/>
  </w:num>
  <w:num w:numId="66">
    <w:abstractNumId w:val="84"/>
  </w:num>
  <w:num w:numId="67">
    <w:abstractNumId w:val="44"/>
  </w:num>
  <w:num w:numId="68">
    <w:abstractNumId w:val="74"/>
  </w:num>
  <w:num w:numId="69">
    <w:abstractNumId w:val="78"/>
  </w:num>
  <w:num w:numId="70">
    <w:abstractNumId w:val="80"/>
  </w:num>
  <w:num w:numId="71">
    <w:abstractNumId w:val="55"/>
  </w:num>
  <w:num w:numId="72">
    <w:abstractNumId w:val="30"/>
  </w:num>
  <w:num w:numId="73">
    <w:abstractNumId w:val="57"/>
  </w:num>
  <w:num w:numId="74">
    <w:abstractNumId w:val="39"/>
  </w:num>
  <w:num w:numId="75">
    <w:abstractNumId w:val="10"/>
  </w:num>
  <w:num w:numId="76">
    <w:abstractNumId w:val="12"/>
  </w:num>
  <w:num w:numId="77">
    <w:abstractNumId w:val="89"/>
  </w:num>
  <w:num w:numId="78">
    <w:abstractNumId w:val="31"/>
  </w:num>
  <w:num w:numId="79">
    <w:abstractNumId w:val="24"/>
  </w:num>
  <w:num w:numId="80">
    <w:abstractNumId w:val="86"/>
  </w:num>
  <w:num w:numId="81">
    <w:abstractNumId w:val="25"/>
  </w:num>
  <w:num w:numId="82">
    <w:abstractNumId w:val="51"/>
  </w:num>
  <w:num w:numId="83">
    <w:abstractNumId w:val="19"/>
  </w:num>
  <w:num w:numId="84">
    <w:abstractNumId w:val="73"/>
  </w:num>
  <w:num w:numId="85">
    <w:abstractNumId w:val="40"/>
  </w:num>
  <w:num w:numId="86">
    <w:abstractNumId w:val="94"/>
  </w:num>
  <w:num w:numId="87">
    <w:abstractNumId w:val="28"/>
  </w:num>
  <w:num w:numId="88">
    <w:abstractNumId w:val="85"/>
  </w:num>
  <w:num w:numId="89">
    <w:abstractNumId w:val="81"/>
  </w:num>
  <w:num w:numId="90">
    <w:abstractNumId w:val="46"/>
  </w:num>
  <w:num w:numId="91">
    <w:abstractNumId w:val="59"/>
  </w:num>
  <w:num w:numId="92">
    <w:abstractNumId w:val="60"/>
  </w:num>
  <w:num w:numId="93">
    <w:abstractNumId w:val="92"/>
  </w:num>
  <w:num w:numId="94">
    <w:abstractNumId w:val="79"/>
  </w:num>
  <w:num w:numId="95">
    <w:abstractNumId w:val="6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SortMethod w:val="0000"/>
  <w:defaultTabStop w:val="720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FE"/>
    <w:rsid w:val="00000334"/>
    <w:rsid w:val="000005FE"/>
    <w:rsid w:val="00005680"/>
    <w:rsid w:val="000058A1"/>
    <w:rsid w:val="000063C9"/>
    <w:rsid w:val="00006B9F"/>
    <w:rsid w:val="00011550"/>
    <w:rsid w:val="00011DD4"/>
    <w:rsid w:val="00012E5A"/>
    <w:rsid w:val="000131A3"/>
    <w:rsid w:val="000135F9"/>
    <w:rsid w:val="00014B89"/>
    <w:rsid w:val="00017256"/>
    <w:rsid w:val="000172FC"/>
    <w:rsid w:val="000173B3"/>
    <w:rsid w:val="00020D44"/>
    <w:rsid w:val="00021A39"/>
    <w:rsid w:val="00022715"/>
    <w:rsid w:val="000229EF"/>
    <w:rsid w:val="00022E1D"/>
    <w:rsid w:val="000251F1"/>
    <w:rsid w:val="00025E7D"/>
    <w:rsid w:val="00031F08"/>
    <w:rsid w:val="00032B71"/>
    <w:rsid w:val="00033FC8"/>
    <w:rsid w:val="00035845"/>
    <w:rsid w:val="00035DBA"/>
    <w:rsid w:val="00037C17"/>
    <w:rsid w:val="00040464"/>
    <w:rsid w:val="00041DB4"/>
    <w:rsid w:val="000429AC"/>
    <w:rsid w:val="00042B6A"/>
    <w:rsid w:val="00042B99"/>
    <w:rsid w:val="00043BD3"/>
    <w:rsid w:val="00043CF2"/>
    <w:rsid w:val="00045ECD"/>
    <w:rsid w:val="00045FE8"/>
    <w:rsid w:val="000516C4"/>
    <w:rsid w:val="000517C0"/>
    <w:rsid w:val="00052768"/>
    <w:rsid w:val="00052EA7"/>
    <w:rsid w:val="00053D7B"/>
    <w:rsid w:val="0005400F"/>
    <w:rsid w:val="00055C2E"/>
    <w:rsid w:val="000576C3"/>
    <w:rsid w:val="00057C98"/>
    <w:rsid w:val="000604BF"/>
    <w:rsid w:val="00061C6E"/>
    <w:rsid w:val="000637A6"/>
    <w:rsid w:val="00065D26"/>
    <w:rsid w:val="00066BBA"/>
    <w:rsid w:val="000709B9"/>
    <w:rsid w:val="00071509"/>
    <w:rsid w:val="000726EA"/>
    <w:rsid w:val="00072858"/>
    <w:rsid w:val="00072B76"/>
    <w:rsid w:val="000730F3"/>
    <w:rsid w:val="0007715B"/>
    <w:rsid w:val="000808A3"/>
    <w:rsid w:val="000810F6"/>
    <w:rsid w:val="00081C31"/>
    <w:rsid w:val="00083DD5"/>
    <w:rsid w:val="00084DFA"/>
    <w:rsid w:val="00090C7A"/>
    <w:rsid w:val="0009224F"/>
    <w:rsid w:val="00092341"/>
    <w:rsid w:val="00092877"/>
    <w:rsid w:val="00093F81"/>
    <w:rsid w:val="0009411F"/>
    <w:rsid w:val="0009444A"/>
    <w:rsid w:val="00094645"/>
    <w:rsid w:val="00094F54"/>
    <w:rsid w:val="00095A8D"/>
    <w:rsid w:val="000961D8"/>
    <w:rsid w:val="00096C42"/>
    <w:rsid w:val="000A05DB"/>
    <w:rsid w:val="000A39BD"/>
    <w:rsid w:val="000A3D42"/>
    <w:rsid w:val="000A44F3"/>
    <w:rsid w:val="000A5514"/>
    <w:rsid w:val="000A61CB"/>
    <w:rsid w:val="000A66A9"/>
    <w:rsid w:val="000A783D"/>
    <w:rsid w:val="000A7F05"/>
    <w:rsid w:val="000B1D31"/>
    <w:rsid w:val="000B2077"/>
    <w:rsid w:val="000B2E3C"/>
    <w:rsid w:val="000B438F"/>
    <w:rsid w:val="000B4403"/>
    <w:rsid w:val="000B493A"/>
    <w:rsid w:val="000B5F92"/>
    <w:rsid w:val="000B60AC"/>
    <w:rsid w:val="000B6C05"/>
    <w:rsid w:val="000B6D74"/>
    <w:rsid w:val="000C1BB4"/>
    <w:rsid w:val="000C20BD"/>
    <w:rsid w:val="000C2750"/>
    <w:rsid w:val="000C2B24"/>
    <w:rsid w:val="000C3230"/>
    <w:rsid w:val="000C3C7F"/>
    <w:rsid w:val="000C4E5A"/>
    <w:rsid w:val="000C5EA5"/>
    <w:rsid w:val="000D1B02"/>
    <w:rsid w:val="000D2DE0"/>
    <w:rsid w:val="000D4D54"/>
    <w:rsid w:val="000D5A99"/>
    <w:rsid w:val="000D67AE"/>
    <w:rsid w:val="000E2C94"/>
    <w:rsid w:val="000E3653"/>
    <w:rsid w:val="000E4AA4"/>
    <w:rsid w:val="000E4B03"/>
    <w:rsid w:val="000E6138"/>
    <w:rsid w:val="000F31B2"/>
    <w:rsid w:val="000F3629"/>
    <w:rsid w:val="000F37D4"/>
    <w:rsid w:val="000F3BFF"/>
    <w:rsid w:val="000F3C7C"/>
    <w:rsid w:val="000F4404"/>
    <w:rsid w:val="000F5A5C"/>
    <w:rsid w:val="000F5C22"/>
    <w:rsid w:val="000F71BD"/>
    <w:rsid w:val="000F785A"/>
    <w:rsid w:val="001008F5"/>
    <w:rsid w:val="00100F61"/>
    <w:rsid w:val="0010113D"/>
    <w:rsid w:val="001016CC"/>
    <w:rsid w:val="001018AB"/>
    <w:rsid w:val="00102A6C"/>
    <w:rsid w:val="0010462B"/>
    <w:rsid w:val="00106067"/>
    <w:rsid w:val="00110C92"/>
    <w:rsid w:val="00110F65"/>
    <w:rsid w:val="001142BC"/>
    <w:rsid w:val="0011439F"/>
    <w:rsid w:val="00115A15"/>
    <w:rsid w:val="00117DC5"/>
    <w:rsid w:val="00120523"/>
    <w:rsid w:val="00120650"/>
    <w:rsid w:val="001208AE"/>
    <w:rsid w:val="00120B4B"/>
    <w:rsid w:val="00123AD3"/>
    <w:rsid w:val="0012599A"/>
    <w:rsid w:val="001265CF"/>
    <w:rsid w:val="00127AE6"/>
    <w:rsid w:val="00130191"/>
    <w:rsid w:val="00132576"/>
    <w:rsid w:val="0013283B"/>
    <w:rsid w:val="00132A29"/>
    <w:rsid w:val="00134E92"/>
    <w:rsid w:val="001351C0"/>
    <w:rsid w:val="00136294"/>
    <w:rsid w:val="001362AF"/>
    <w:rsid w:val="00137513"/>
    <w:rsid w:val="001411CB"/>
    <w:rsid w:val="00143A60"/>
    <w:rsid w:val="00144AD8"/>
    <w:rsid w:val="001457BC"/>
    <w:rsid w:val="00147347"/>
    <w:rsid w:val="00147CE0"/>
    <w:rsid w:val="00153E97"/>
    <w:rsid w:val="00156FD1"/>
    <w:rsid w:val="00157BD7"/>
    <w:rsid w:val="00157E6E"/>
    <w:rsid w:val="001616A1"/>
    <w:rsid w:val="00162B0D"/>
    <w:rsid w:val="00163881"/>
    <w:rsid w:val="00165112"/>
    <w:rsid w:val="001657EF"/>
    <w:rsid w:val="001659E4"/>
    <w:rsid w:val="00166337"/>
    <w:rsid w:val="00167200"/>
    <w:rsid w:val="001708B9"/>
    <w:rsid w:val="00171273"/>
    <w:rsid w:val="0017280D"/>
    <w:rsid w:val="0017318A"/>
    <w:rsid w:val="00174FEF"/>
    <w:rsid w:val="001757CE"/>
    <w:rsid w:val="0017585F"/>
    <w:rsid w:val="001808D2"/>
    <w:rsid w:val="00180BDA"/>
    <w:rsid w:val="00180E1E"/>
    <w:rsid w:val="0018108F"/>
    <w:rsid w:val="00183E0D"/>
    <w:rsid w:val="0018451F"/>
    <w:rsid w:val="001845D0"/>
    <w:rsid w:val="00186929"/>
    <w:rsid w:val="00186FC8"/>
    <w:rsid w:val="0019043F"/>
    <w:rsid w:val="0019144B"/>
    <w:rsid w:val="001925C1"/>
    <w:rsid w:val="00193B84"/>
    <w:rsid w:val="00193D43"/>
    <w:rsid w:val="001945F9"/>
    <w:rsid w:val="00195734"/>
    <w:rsid w:val="00195CAE"/>
    <w:rsid w:val="00195F15"/>
    <w:rsid w:val="00195F7B"/>
    <w:rsid w:val="00197155"/>
    <w:rsid w:val="001975EF"/>
    <w:rsid w:val="0019765A"/>
    <w:rsid w:val="001A0292"/>
    <w:rsid w:val="001A0962"/>
    <w:rsid w:val="001A45CF"/>
    <w:rsid w:val="001A4DEE"/>
    <w:rsid w:val="001A582C"/>
    <w:rsid w:val="001A65CF"/>
    <w:rsid w:val="001B0F94"/>
    <w:rsid w:val="001B21F8"/>
    <w:rsid w:val="001B4781"/>
    <w:rsid w:val="001B49AF"/>
    <w:rsid w:val="001B52AB"/>
    <w:rsid w:val="001B535E"/>
    <w:rsid w:val="001B5C19"/>
    <w:rsid w:val="001B73AD"/>
    <w:rsid w:val="001B7E58"/>
    <w:rsid w:val="001C0133"/>
    <w:rsid w:val="001C3BE7"/>
    <w:rsid w:val="001C487B"/>
    <w:rsid w:val="001C7535"/>
    <w:rsid w:val="001D03A7"/>
    <w:rsid w:val="001D2671"/>
    <w:rsid w:val="001D4B22"/>
    <w:rsid w:val="001D50C3"/>
    <w:rsid w:val="001D6822"/>
    <w:rsid w:val="001D6F81"/>
    <w:rsid w:val="001D7490"/>
    <w:rsid w:val="001E016B"/>
    <w:rsid w:val="001E125E"/>
    <w:rsid w:val="001E293A"/>
    <w:rsid w:val="001E4462"/>
    <w:rsid w:val="001E450C"/>
    <w:rsid w:val="001E6E19"/>
    <w:rsid w:val="001E7D3E"/>
    <w:rsid w:val="001F0AC6"/>
    <w:rsid w:val="001F1079"/>
    <w:rsid w:val="001F38BE"/>
    <w:rsid w:val="001F4B59"/>
    <w:rsid w:val="001F61B8"/>
    <w:rsid w:val="001F6839"/>
    <w:rsid w:val="002019FC"/>
    <w:rsid w:val="00202F6F"/>
    <w:rsid w:val="00204CBA"/>
    <w:rsid w:val="00212852"/>
    <w:rsid w:val="00212CDB"/>
    <w:rsid w:val="00213931"/>
    <w:rsid w:val="00214566"/>
    <w:rsid w:val="00215563"/>
    <w:rsid w:val="002164ED"/>
    <w:rsid w:val="002167D2"/>
    <w:rsid w:val="00216CF6"/>
    <w:rsid w:val="00217747"/>
    <w:rsid w:val="00220492"/>
    <w:rsid w:val="00220CCF"/>
    <w:rsid w:val="00220CE4"/>
    <w:rsid w:val="00220CEC"/>
    <w:rsid w:val="0022232D"/>
    <w:rsid w:val="0022322B"/>
    <w:rsid w:val="002239BD"/>
    <w:rsid w:val="00227F1F"/>
    <w:rsid w:val="00230B49"/>
    <w:rsid w:val="00230B7E"/>
    <w:rsid w:val="00231B44"/>
    <w:rsid w:val="0023344F"/>
    <w:rsid w:val="002340B6"/>
    <w:rsid w:val="00234BA2"/>
    <w:rsid w:val="00235284"/>
    <w:rsid w:val="00235582"/>
    <w:rsid w:val="0023699A"/>
    <w:rsid w:val="002370AB"/>
    <w:rsid w:val="00237872"/>
    <w:rsid w:val="00242795"/>
    <w:rsid w:val="00244010"/>
    <w:rsid w:val="00244915"/>
    <w:rsid w:val="002512EF"/>
    <w:rsid w:val="00252514"/>
    <w:rsid w:val="00253D2A"/>
    <w:rsid w:val="00254E12"/>
    <w:rsid w:val="00255D53"/>
    <w:rsid w:val="00260CDE"/>
    <w:rsid w:val="00261E3B"/>
    <w:rsid w:val="00261E5F"/>
    <w:rsid w:val="002624DF"/>
    <w:rsid w:val="00262F61"/>
    <w:rsid w:val="00263DAE"/>
    <w:rsid w:val="002651BD"/>
    <w:rsid w:val="00267D70"/>
    <w:rsid w:val="002713F0"/>
    <w:rsid w:val="00271695"/>
    <w:rsid w:val="00272A78"/>
    <w:rsid w:val="00274949"/>
    <w:rsid w:val="00274C23"/>
    <w:rsid w:val="00275C4A"/>
    <w:rsid w:val="00284D72"/>
    <w:rsid w:val="002866FF"/>
    <w:rsid w:val="00292D75"/>
    <w:rsid w:val="002930B2"/>
    <w:rsid w:val="002937CD"/>
    <w:rsid w:val="00294819"/>
    <w:rsid w:val="00294BBA"/>
    <w:rsid w:val="00295586"/>
    <w:rsid w:val="00295ECD"/>
    <w:rsid w:val="002962BF"/>
    <w:rsid w:val="00297214"/>
    <w:rsid w:val="002A0E97"/>
    <w:rsid w:val="002A13EF"/>
    <w:rsid w:val="002A2AE2"/>
    <w:rsid w:val="002A4002"/>
    <w:rsid w:val="002B13EC"/>
    <w:rsid w:val="002B1B99"/>
    <w:rsid w:val="002B2376"/>
    <w:rsid w:val="002B25BF"/>
    <w:rsid w:val="002B37E9"/>
    <w:rsid w:val="002B4054"/>
    <w:rsid w:val="002B4D02"/>
    <w:rsid w:val="002B6284"/>
    <w:rsid w:val="002B63DA"/>
    <w:rsid w:val="002B6D2E"/>
    <w:rsid w:val="002B6E06"/>
    <w:rsid w:val="002C18DA"/>
    <w:rsid w:val="002C3BCC"/>
    <w:rsid w:val="002C4B75"/>
    <w:rsid w:val="002C5FEA"/>
    <w:rsid w:val="002C690A"/>
    <w:rsid w:val="002C6E97"/>
    <w:rsid w:val="002C6F50"/>
    <w:rsid w:val="002C72AA"/>
    <w:rsid w:val="002C7C62"/>
    <w:rsid w:val="002D085E"/>
    <w:rsid w:val="002D41F7"/>
    <w:rsid w:val="002D7BFB"/>
    <w:rsid w:val="002E022C"/>
    <w:rsid w:val="002E1C00"/>
    <w:rsid w:val="002E25A0"/>
    <w:rsid w:val="002E3538"/>
    <w:rsid w:val="002E3BAE"/>
    <w:rsid w:val="002E55B0"/>
    <w:rsid w:val="002E7099"/>
    <w:rsid w:val="002E79C6"/>
    <w:rsid w:val="002F0388"/>
    <w:rsid w:val="002F2771"/>
    <w:rsid w:val="002F4450"/>
    <w:rsid w:val="002F5462"/>
    <w:rsid w:val="002F56C8"/>
    <w:rsid w:val="002F75BC"/>
    <w:rsid w:val="002F7BAE"/>
    <w:rsid w:val="0030357B"/>
    <w:rsid w:val="00304105"/>
    <w:rsid w:val="00305EA5"/>
    <w:rsid w:val="00305EEE"/>
    <w:rsid w:val="00310AB4"/>
    <w:rsid w:val="00312097"/>
    <w:rsid w:val="003121C1"/>
    <w:rsid w:val="0032044D"/>
    <w:rsid w:val="0032066E"/>
    <w:rsid w:val="00320D28"/>
    <w:rsid w:val="003213F3"/>
    <w:rsid w:val="00321AE1"/>
    <w:rsid w:val="00322F91"/>
    <w:rsid w:val="0032373B"/>
    <w:rsid w:val="00324D59"/>
    <w:rsid w:val="00325FD9"/>
    <w:rsid w:val="003273E7"/>
    <w:rsid w:val="00331D1F"/>
    <w:rsid w:val="00333D70"/>
    <w:rsid w:val="00336C0D"/>
    <w:rsid w:val="00337680"/>
    <w:rsid w:val="00337AB0"/>
    <w:rsid w:val="00343F35"/>
    <w:rsid w:val="003503DF"/>
    <w:rsid w:val="00350A24"/>
    <w:rsid w:val="00351C61"/>
    <w:rsid w:val="003522BF"/>
    <w:rsid w:val="003536B5"/>
    <w:rsid w:val="0035442D"/>
    <w:rsid w:val="00356E52"/>
    <w:rsid w:val="00357A3C"/>
    <w:rsid w:val="00357E4F"/>
    <w:rsid w:val="003612CF"/>
    <w:rsid w:val="00361D85"/>
    <w:rsid w:val="00362CEB"/>
    <w:rsid w:val="00363ABD"/>
    <w:rsid w:val="00363C7B"/>
    <w:rsid w:val="00363FAB"/>
    <w:rsid w:val="00365C40"/>
    <w:rsid w:val="00366C89"/>
    <w:rsid w:val="003672A5"/>
    <w:rsid w:val="0036797A"/>
    <w:rsid w:val="0037019A"/>
    <w:rsid w:val="00372D47"/>
    <w:rsid w:val="00375393"/>
    <w:rsid w:val="00375D3D"/>
    <w:rsid w:val="00375EB8"/>
    <w:rsid w:val="00376134"/>
    <w:rsid w:val="00376317"/>
    <w:rsid w:val="0037660E"/>
    <w:rsid w:val="00377AE4"/>
    <w:rsid w:val="00377B4C"/>
    <w:rsid w:val="00377D44"/>
    <w:rsid w:val="003810B3"/>
    <w:rsid w:val="0038122E"/>
    <w:rsid w:val="00382B24"/>
    <w:rsid w:val="00384353"/>
    <w:rsid w:val="003853E2"/>
    <w:rsid w:val="003863C7"/>
    <w:rsid w:val="0039181B"/>
    <w:rsid w:val="003918B4"/>
    <w:rsid w:val="003923FD"/>
    <w:rsid w:val="0039267B"/>
    <w:rsid w:val="003973F8"/>
    <w:rsid w:val="003A064B"/>
    <w:rsid w:val="003A0AF6"/>
    <w:rsid w:val="003A1C6F"/>
    <w:rsid w:val="003A360C"/>
    <w:rsid w:val="003A3A4D"/>
    <w:rsid w:val="003A494E"/>
    <w:rsid w:val="003A7C27"/>
    <w:rsid w:val="003B3379"/>
    <w:rsid w:val="003B3987"/>
    <w:rsid w:val="003B3C47"/>
    <w:rsid w:val="003B3F96"/>
    <w:rsid w:val="003B6522"/>
    <w:rsid w:val="003B679F"/>
    <w:rsid w:val="003B7B77"/>
    <w:rsid w:val="003C12AF"/>
    <w:rsid w:val="003C34B8"/>
    <w:rsid w:val="003C4BE4"/>
    <w:rsid w:val="003C4DE4"/>
    <w:rsid w:val="003C4E87"/>
    <w:rsid w:val="003C65FF"/>
    <w:rsid w:val="003C77AB"/>
    <w:rsid w:val="003D0493"/>
    <w:rsid w:val="003D16ED"/>
    <w:rsid w:val="003D1A80"/>
    <w:rsid w:val="003D54BF"/>
    <w:rsid w:val="003D5AD9"/>
    <w:rsid w:val="003D6E98"/>
    <w:rsid w:val="003D7F8B"/>
    <w:rsid w:val="003E108C"/>
    <w:rsid w:val="003E138D"/>
    <w:rsid w:val="003E1820"/>
    <w:rsid w:val="003E1CD0"/>
    <w:rsid w:val="003E2349"/>
    <w:rsid w:val="003E3540"/>
    <w:rsid w:val="003E49BA"/>
    <w:rsid w:val="003E761D"/>
    <w:rsid w:val="003F0749"/>
    <w:rsid w:val="003F2224"/>
    <w:rsid w:val="003F2F79"/>
    <w:rsid w:val="003F4EDC"/>
    <w:rsid w:val="003F5A01"/>
    <w:rsid w:val="003F7332"/>
    <w:rsid w:val="00402CBB"/>
    <w:rsid w:val="00402D56"/>
    <w:rsid w:val="00404077"/>
    <w:rsid w:val="004041A9"/>
    <w:rsid w:val="00404297"/>
    <w:rsid w:val="004052BC"/>
    <w:rsid w:val="0040530D"/>
    <w:rsid w:val="004056F8"/>
    <w:rsid w:val="004066C3"/>
    <w:rsid w:val="00411284"/>
    <w:rsid w:val="00412EA0"/>
    <w:rsid w:val="004160D6"/>
    <w:rsid w:val="00420811"/>
    <w:rsid w:val="00420E07"/>
    <w:rsid w:val="00425F9A"/>
    <w:rsid w:val="004260CE"/>
    <w:rsid w:val="004265FD"/>
    <w:rsid w:val="0043006A"/>
    <w:rsid w:val="004312D5"/>
    <w:rsid w:val="004314E1"/>
    <w:rsid w:val="00431E74"/>
    <w:rsid w:val="00432002"/>
    <w:rsid w:val="00434B3C"/>
    <w:rsid w:val="00436B1D"/>
    <w:rsid w:val="00436E4A"/>
    <w:rsid w:val="00440582"/>
    <w:rsid w:val="0044117C"/>
    <w:rsid w:val="004427DE"/>
    <w:rsid w:val="00442BFF"/>
    <w:rsid w:val="00444397"/>
    <w:rsid w:val="0044558B"/>
    <w:rsid w:val="00447916"/>
    <w:rsid w:val="004509E3"/>
    <w:rsid w:val="00451AD9"/>
    <w:rsid w:val="00451C51"/>
    <w:rsid w:val="00452ABB"/>
    <w:rsid w:val="00452BD2"/>
    <w:rsid w:val="004533F9"/>
    <w:rsid w:val="0045650C"/>
    <w:rsid w:val="0045730E"/>
    <w:rsid w:val="004627B0"/>
    <w:rsid w:val="00465882"/>
    <w:rsid w:val="004677F8"/>
    <w:rsid w:val="00470C21"/>
    <w:rsid w:val="00472F0F"/>
    <w:rsid w:val="00473614"/>
    <w:rsid w:val="00473B91"/>
    <w:rsid w:val="00484356"/>
    <w:rsid w:val="0048498B"/>
    <w:rsid w:val="0048525B"/>
    <w:rsid w:val="004860A3"/>
    <w:rsid w:val="0048624A"/>
    <w:rsid w:val="00486736"/>
    <w:rsid w:val="00487EB8"/>
    <w:rsid w:val="00491526"/>
    <w:rsid w:val="00492028"/>
    <w:rsid w:val="00494A36"/>
    <w:rsid w:val="00495619"/>
    <w:rsid w:val="004977BE"/>
    <w:rsid w:val="00497CFA"/>
    <w:rsid w:val="004A0742"/>
    <w:rsid w:val="004A0DCC"/>
    <w:rsid w:val="004A4506"/>
    <w:rsid w:val="004A5145"/>
    <w:rsid w:val="004A5EA8"/>
    <w:rsid w:val="004A6133"/>
    <w:rsid w:val="004A6C1B"/>
    <w:rsid w:val="004B0B22"/>
    <w:rsid w:val="004B55AE"/>
    <w:rsid w:val="004B6258"/>
    <w:rsid w:val="004C0E4D"/>
    <w:rsid w:val="004C1017"/>
    <w:rsid w:val="004C183C"/>
    <w:rsid w:val="004C2616"/>
    <w:rsid w:val="004C623A"/>
    <w:rsid w:val="004D0D6D"/>
    <w:rsid w:val="004D159E"/>
    <w:rsid w:val="004D1F57"/>
    <w:rsid w:val="004D2EA9"/>
    <w:rsid w:val="004D3B8A"/>
    <w:rsid w:val="004D49FC"/>
    <w:rsid w:val="004D661F"/>
    <w:rsid w:val="004E0A2C"/>
    <w:rsid w:val="004E0D08"/>
    <w:rsid w:val="004E3A07"/>
    <w:rsid w:val="004E6992"/>
    <w:rsid w:val="004E71C0"/>
    <w:rsid w:val="004E7BDE"/>
    <w:rsid w:val="004E7FA3"/>
    <w:rsid w:val="004F290D"/>
    <w:rsid w:val="004F2CEE"/>
    <w:rsid w:val="004F3CBB"/>
    <w:rsid w:val="004F47B4"/>
    <w:rsid w:val="004F4A4B"/>
    <w:rsid w:val="004F5380"/>
    <w:rsid w:val="004F7EAB"/>
    <w:rsid w:val="005004C0"/>
    <w:rsid w:val="005015F0"/>
    <w:rsid w:val="00501EFF"/>
    <w:rsid w:val="00502154"/>
    <w:rsid w:val="0050296C"/>
    <w:rsid w:val="00503157"/>
    <w:rsid w:val="00504856"/>
    <w:rsid w:val="00507A71"/>
    <w:rsid w:val="00507E6C"/>
    <w:rsid w:val="00511CC5"/>
    <w:rsid w:val="00512D5A"/>
    <w:rsid w:val="00512F8F"/>
    <w:rsid w:val="005145CC"/>
    <w:rsid w:val="00520A0C"/>
    <w:rsid w:val="00520B86"/>
    <w:rsid w:val="00522423"/>
    <w:rsid w:val="00523F6F"/>
    <w:rsid w:val="00526863"/>
    <w:rsid w:val="00526D31"/>
    <w:rsid w:val="005270F9"/>
    <w:rsid w:val="00527BCC"/>
    <w:rsid w:val="00527D72"/>
    <w:rsid w:val="00530886"/>
    <w:rsid w:val="005308BE"/>
    <w:rsid w:val="00530F84"/>
    <w:rsid w:val="00531801"/>
    <w:rsid w:val="00532F51"/>
    <w:rsid w:val="00542505"/>
    <w:rsid w:val="00543BA8"/>
    <w:rsid w:val="005454BC"/>
    <w:rsid w:val="00545593"/>
    <w:rsid w:val="005473F3"/>
    <w:rsid w:val="0054741F"/>
    <w:rsid w:val="005513EB"/>
    <w:rsid w:val="00560C96"/>
    <w:rsid w:val="00560D57"/>
    <w:rsid w:val="00561C52"/>
    <w:rsid w:val="00563C6F"/>
    <w:rsid w:val="00564F21"/>
    <w:rsid w:val="00566556"/>
    <w:rsid w:val="00566C4C"/>
    <w:rsid w:val="005676F0"/>
    <w:rsid w:val="00570C44"/>
    <w:rsid w:val="00573556"/>
    <w:rsid w:val="00573D2F"/>
    <w:rsid w:val="0057510A"/>
    <w:rsid w:val="0057637C"/>
    <w:rsid w:val="00576E93"/>
    <w:rsid w:val="005775F7"/>
    <w:rsid w:val="005810D9"/>
    <w:rsid w:val="005843DE"/>
    <w:rsid w:val="005847CD"/>
    <w:rsid w:val="00585853"/>
    <w:rsid w:val="00586F3E"/>
    <w:rsid w:val="005902D8"/>
    <w:rsid w:val="0059053C"/>
    <w:rsid w:val="00590694"/>
    <w:rsid w:val="00592E11"/>
    <w:rsid w:val="00592E6C"/>
    <w:rsid w:val="00593BF7"/>
    <w:rsid w:val="00593CD9"/>
    <w:rsid w:val="00595170"/>
    <w:rsid w:val="005951FB"/>
    <w:rsid w:val="005967D7"/>
    <w:rsid w:val="0059682F"/>
    <w:rsid w:val="005969FB"/>
    <w:rsid w:val="00596AE3"/>
    <w:rsid w:val="00596E75"/>
    <w:rsid w:val="005975D8"/>
    <w:rsid w:val="00597AE6"/>
    <w:rsid w:val="005A29A3"/>
    <w:rsid w:val="005A35AB"/>
    <w:rsid w:val="005A45C7"/>
    <w:rsid w:val="005A4733"/>
    <w:rsid w:val="005A4C04"/>
    <w:rsid w:val="005A4DB1"/>
    <w:rsid w:val="005A4FDE"/>
    <w:rsid w:val="005A6464"/>
    <w:rsid w:val="005A6E7A"/>
    <w:rsid w:val="005B0592"/>
    <w:rsid w:val="005B0EA1"/>
    <w:rsid w:val="005B39FA"/>
    <w:rsid w:val="005B5956"/>
    <w:rsid w:val="005B6911"/>
    <w:rsid w:val="005B6B53"/>
    <w:rsid w:val="005C205F"/>
    <w:rsid w:val="005C2D89"/>
    <w:rsid w:val="005C4CE4"/>
    <w:rsid w:val="005C6341"/>
    <w:rsid w:val="005D05CF"/>
    <w:rsid w:val="005D3CF7"/>
    <w:rsid w:val="005D4417"/>
    <w:rsid w:val="005D4F99"/>
    <w:rsid w:val="005D52FD"/>
    <w:rsid w:val="005D5512"/>
    <w:rsid w:val="005D5CF6"/>
    <w:rsid w:val="005D77DA"/>
    <w:rsid w:val="005E03AF"/>
    <w:rsid w:val="005E3501"/>
    <w:rsid w:val="005E64D5"/>
    <w:rsid w:val="005E65DB"/>
    <w:rsid w:val="005F1968"/>
    <w:rsid w:val="005F1CDE"/>
    <w:rsid w:val="005F2159"/>
    <w:rsid w:val="005F2C8D"/>
    <w:rsid w:val="005F3082"/>
    <w:rsid w:val="005F3D7B"/>
    <w:rsid w:val="005F525A"/>
    <w:rsid w:val="005F54F5"/>
    <w:rsid w:val="005F5563"/>
    <w:rsid w:val="005F5A7D"/>
    <w:rsid w:val="005F5F5B"/>
    <w:rsid w:val="005F68FD"/>
    <w:rsid w:val="005F74C0"/>
    <w:rsid w:val="00601161"/>
    <w:rsid w:val="006023A0"/>
    <w:rsid w:val="00602782"/>
    <w:rsid w:val="00604D90"/>
    <w:rsid w:val="00605199"/>
    <w:rsid w:val="00605C16"/>
    <w:rsid w:val="0061057F"/>
    <w:rsid w:val="00610D63"/>
    <w:rsid w:val="00611821"/>
    <w:rsid w:val="00612222"/>
    <w:rsid w:val="006144AD"/>
    <w:rsid w:val="006219CE"/>
    <w:rsid w:val="00621D34"/>
    <w:rsid w:val="00624AB9"/>
    <w:rsid w:val="00624C5E"/>
    <w:rsid w:val="00626FD8"/>
    <w:rsid w:val="006316A8"/>
    <w:rsid w:val="006320DB"/>
    <w:rsid w:val="006325C6"/>
    <w:rsid w:val="00633BD0"/>
    <w:rsid w:val="00634260"/>
    <w:rsid w:val="0063441D"/>
    <w:rsid w:val="006346F9"/>
    <w:rsid w:val="00634F2D"/>
    <w:rsid w:val="0063693E"/>
    <w:rsid w:val="00636F50"/>
    <w:rsid w:val="00640E86"/>
    <w:rsid w:val="00641C24"/>
    <w:rsid w:val="006436E5"/>
    <w:rsid w:val="006464CD"/>
    <w:rsid w:val="00650D85"/>
    <w:rsid w:val="006528C9"/>
    <w:rsid w:val="006540ED"/>
    <w:rsid w:val="0065467D"/>
    <w:rsid w:val="00655889"/>
    <w:rsid w:val="00657E9F"/>
    <w:rsid w:val="006609D8"/>
    <w:rsid w:val="00660C0C"/>
    <w:rsid w:val="00661EAF"/>
    <w:rsid w:val="00662DAD"/>
    <w:rsid w:val="0066395C"/>
    <w:rsid w:val="00665515"/>
    <w:rsid w:val="006673E8"/>
    <w:rsid w:val="00671645"/>
    <w:rsid w:val="00671CBD"/>
    <w:rsid w:val="00671EC0"/>
    <w:rsid w:val="006759E4"/>
    <w:rsid w:val="00675ACB"/>
    <w:rsid w:val="00676F48"/>
    <w:rsid w:val="0067770B"/>
    <w:rsid w:val="00680A72"/>
    <w:rsid w:val="00684A9E"/>
    <w:rsid w:val="00684B44"/>
    <w:rsid w:val="006855C0"/>
    <w:rsid w:val="006856D4"/>
    <w:rsid w:val="00685E83"/>
    <w:rsid w:val="00686056"/>
    <w:rsid w:val="00686763"/>
    <w:rsid w:val="00690C1E"/>
    <w:rsid w:val="00691C32"/>
    <w:rsid w:val="006944FB"/>
    <w:rsid w:val="00695590"/>
    <w:rsid w:val="00695628"/>
    <w:rsid w:val="00695F18"/>
    <w:rsid w:val="006A27B4"/>
    <w:rsid w:val="006A27FF"/>
    <w:rsid w:val="006A3A79"/>
    <w:rsid w:val="006A473D"/>
    <w:rsid w:val="006A579E"/>
    <w:rsid w:val="006B0513"/>
    <w:rsid w:val="006B06F3"/>
    <w:rsid w:val="006B16E0"/>
    <w:rsid w:val="006B1D99"/>
    <w:rsid w:val="006B24BB"/>
    <w:rsid w:val="006B30D1"/>
    <w:rsid w:val="006B3C11"/>
    <w:rsid w:val="006B4816"/>
    <w:rsid w:val="006B6D9C"/>
    <w:rsid w:val="006B729F"/>
    <w:rsid w:val="006C02E4"/>
    <w:rsid w:val="006C0B23"/>
    <w:rsid w:val="006C1B91"/>
    <w:rsid w:val="006C37CF"/>
    <w:rsid w:val="006C392F"/>
    <w:rsid w:val="006C439F"/>
    <w:rsid w:val="006C4A21"/>
    <w:rsid w:val="006C4B84"/>
    <w:rsid w:val="006C5AD3"/>
    <w:rsid w:val="006C617F"/>
    <w:rsid w:val="006C647F"/>
    <w:rsid w:val="006C6C33"/>
    <w:rsid w:val="006D01E3"/>
    <w:rsid w:val="006D1220"/>
    <w:rsid w:val="006D1F76"/>
    <w:rsid w:val="006D6A17"/>
    <w:rsid w:val="006D77C7"/>
    <w:rsid w:val="006D7902"/>
    <w:rsid w:val="006E0085"/>
    <w:rsid w:val="006E2B34"/>
    <w:rsid w:val="006E34F5"/>
    <w:rsid w:val="006E6FAC"/>
    <w:rsid w:val="006F0DBC"/>
    <w:rsid w:val="006F65CA"/>
    <w:rsid w:val="006F6F8B"/>
    <w:rsid w:val="006F72B6"/>
    <w:rsid w:val="007013A8"/>
    <w:rsid w:val="00701494"/>
    <w:rsid w:val="00702E31"/>
    <w:rsid w:val="00705766"/>
    <w:rsid w:val="0070591E"/>
    <w:rsid w:val="00705E85"/>
    <w:rsid w:val="007066F2"/>
    <w:rsid w:val="007071A0"/>
    <w:rsid w:val="0071077B"/>
    <w:rsid w:val="00713E1F"/>
    <w:rsid w:val="00714470"/>
    <w:rsid w:val="007144F4"/>
    <w:rsid w:val="00714778"/>
    <w:rsid w:val="0071610A"/>
    <w:rsid w:val="007172D9"/>
    <w:rsid w:val="00717D06"/>
    <w:rsid w:val="00720888"/>
    <w:rsid w:val="0072138D"/>
    <w:rsid w:val="007237AF"/>
    <w:rsid w:val="00724194"/>
    <w:rsid w:val="00725323"/>
    <w:rsid w:val="00725CA5"/>
    <w:rsid w:val="007263D5"/>
    <w:rsid w:val="0072746D"/>
    <w:rsid w:val="007303A8"/>
    <w:rsid w:val="00730CCA"/>
    <w:rsid w:val="007312AA"/>
    <w:rsid w:val="007339D0"/>
    <w:rsid w:val="00734C1B"/>
    <w:rsid w:val="00734EAB"/>
    <w:rsid w:val="00736A98"/>
    <w:rsid w:val="0074207A"/>
    <w:rsid w:val="00743491"/>
    <w:rsid w:val="00744F8E"/>
    <w:rsid w:val="00745DF4"/>
    <w:rsid w:val="007460A4"/>
    <w:rsid w:val="0075094A"/>
    <w:rsid w:val="00750D3B"/>
    <w:rsid w:val="0075159B"/>
    <w:rsid w:val="007516F0"/>
    <w:rsid w:val="00751A2E"/>
    <w:rsid w:val="007525D3"/>
    <w:rsid w:val="00753A99"/>
    <w:rsid w:val="007550AB"/>
    <w:rsid w:val="007553AA"/>
    <w:rsid w:val="0076022E"/>
    <w:rsid w:val="007640E7"/>
    <w:rsid w:val="007653DA"/>
    <w:rsid w:val="0076614E"/>
    <w:rsid w:val="007667B1"/>
    <w:rsid w:val="00772986"/>
    <w:rsid w:val="00773725"/>
    <w:rsid w:val="00774BBB"/>
    <w:rsid w:val="007752A1"/>
    <w:rsid w:val="00777313"/>
    <w:rsid w:val="00777893"/>
    <w:rsid w:val="007815C1"/>
    <w:rsid w:val="00782608"/>
    <w:rsid w:val="007844FD"/>
    <w:rsid w:val="0078478C"/>
    <w:rsid w:val="00785215"/>
    <w:rsid w:val="0078691E"/>
    <w:rsid w:val="00790AF8"/>
    <w:rsid w:val="0079305A"/>
    <w:rsid w:val="007947A4"/>
    <w:rsid w:val="00795F3B"/>
    <w:rsid w:val="00796A12"/>
    <w:rsid w:val="00796B77"/>
    <w:rsid w:val="007A1421"/>
    <w:rsid w:val="007A3B2F"/>
    <w:rsid w:val="007A4FB4"/>
    <w:rsid w:val="007A543C"/>
    <w:rsid w:val="007A6B2B"/>
    <w:rsid w:val="007A7786"/>
    <w:rsid w:val="007A7918"/>
    <w:rsid w:val="007B0AB5"/>
    <w:rsid w:val="007B0CF2"/>
    <w:rsid w:val="007B11EC"/>
    <w:rsid w:val="007B29C4"/>
    <w:rsid w:val="007B2FB1"/>
    <w:rsid w:val="007B343F"/>
    <w:rsid w:val="007B4243"/>
    <w:rsid w:val="007B4261"/>
    <w:rsid w:val="007B4321"/>
    <w:rsid w:val="007C008A"/>
    <w:rsid w:val="007C0A4D"/>
    <w:rsid w:val="007C0C20"/>
    <w:rsid w:val="007C1087"/>
    <w:rsid w:val="007C1289"/>
    <w:rsid w:val="007C60E0"/>
    <w:rsid w:val="007C6EB8"/>
    <w:rsid w:val="007C7944"/>
    <w:rsid w:val="007C7C55"/>
    <w:rsid w:val="007D2207"/>
    <w:rsid w:val="007D58A7"/>
    <w:rsid w:val="007D5ED1"/>
    <w:rsid w:val="007D6B43"/>
    <w:rsid w:val="007D72F6"/>
    <w:rsid w:val="007E03C0"/>
    <w:rsid w:val="007E0DF3"/>
    <w:rsid w:val="007E2034"/>
    <w:rsid w:val="007E2836"/>
    <w:rsid w:val="007E4060"/>
    <w:rsid w:val="007E568A"/>
    <w:rsid w:val="007E62E6"/>
    <w:rsid w:val="007F0AFF"/>
    <w:rsid w:val="007F0D03"/>
    <w:rsid w:val="007F14C1"/>
    <w:rsid w:val="007F1B61"/>
    <w:rsid w:val="007F4828"/>
    <w:rsid w:val="007F57DA"/>
    <w:rsid w:val="008005C8"/>
    <w:rsid w:val="008006BE"/>
    <w:rsid w:val="00800C1E"/>
    <w:rsid w:val="0080397A"/>
    <w:rsid w:val="00803BBF"/>
    <w:rsid w:val="00804059"/>
    <w:rsid w:val="00807054"/>
    <w:rsid w:val="0080728A"/>
    <w:rsid w:val="00813086"/>
    <w:rsid w:val="0081335F"/>
    <w:rsid w:val="00813DBC"/>
    <w:rsid w:val="00813F7A"/>
    <w:rsid w:val="0081481E"/>
    <w:rsid w:val="008159D8"/>
    <w:rsid w:val="00815EBA"/>
    <w:rsid w:val="00816491"/>
    <w:rsid w:val="0082155F"/>
    <w:rsid w:val="00821DD2"/>
    <w:rsid w:val="00821F18"/>
    <w:rsid w:val="00822203"/>
    <w:rsid w:val="00822995"/>
    <w:rsid w:val="00822FC7"/>
    <w:rsid w:val="00825CB7"/>
    <w:rsid w:val="00827A4F"/>
    <w:rsid w:val="00827B37"/>
    <w:rsid w:val="00827CCD"/>
    <w:rsid w:val="008311FE"/>
    <w:rsid w:val="008312BF"/>
    <w:rsid w:val="00833378"/>
    <w:rsid w:val="008376C0"/>
    <w:rsid w:val="0083779A"/>
    <w:rsid w:val="00837F81"/>
    <w:rsid w:val="00840081"/>
    <w:rsid w:val="00840F1B"/>
    <w:rsid w:val="008424E8"/>
    <w:rsid w:val="00842866"/>
    <w:rsid w:val="00845238"/>
    <w:rsid w:val="00846875"/>
    <w:rsid w:val="00847AD7"/>
    <w:rsid w:val="00853C21"/>
    <w:rsid w:val="00854AD0"/>
    <w:rsid w:val="00855368"/>
    <w:rsid w:val="00855A9A"/>
    <w:rsid w:val="00856A0E"/>
    <w:rsid w:val="00857388"/>
    <w:rsid w:val="00860174"/>
    <w:rsid w:val="0086185E"/>
    <w:rsid w:val="008630F5"/>
    <w:rsid w:val="008631CE"/>
    <w:rsid w:val="00863209"/>
    <w:rsid w:val="00863DEC"/>
    <w:rsid w:val="0086409B"/>
    <w:rsid w:val="0086443E"/>
    <w:rsid w:val="0086541B"/>
    <w:rsid w:val="00870271"/>
    <w:rsid w:val="00871B4E"/>
    <w:rsid w:val="00872809"/>
    <w:rsid w:val="00872FD2"/>
    <w:rsid w:val="00873D35"/>
    <w:rsid w:val="0087436F"/>
    <w:rsid w:val="00874675"/>
    <w:rsid w:val="0087651F"/>
    <w:rsid w:val="00876869"/>
    <w:rsid w:val="00876B01"/>
    <w:rsid w:val="008817CC"/>
    <w:rsid w:val="00882E5D"/>
    <w:rsid w:val="00883BB1"/>
    <w:rsid w:val="008841C9"/>
    <w:rsid w:val="008845D6"/>
    <w:rsid w:val="008872F5"/>
    <w:rsid w:val="00887516"/>
    <w:rsid w:val="0088764F"/>
    <w:rsid w:val="00887A0C"/>
    <w:rsid w:val="008918F4"/>
    <w:rsid w:val="00891CB1"/>
    <w:rsid w:val="00894AFA"/>
    <w:rsid w:val="00894F9A"/>
    <w:rsid w:val="00895D5E"/>
    <w:rsid w:val="00896925"/>
    <w:rsid w:val="00896BD0"/>
    <w:rsid w:val="008A1D1E"/>
    <w:rsid w:val="008A23EF"/>
    <w:rsid w:val="008A3416"/>
    <w:rsid w:val="008A3A8C"/>
    <w:rsid w:val="008A3FD3"/>
    <w:rsid w:val="008A4970"/>
    <w:rsid w:val="008A4CAC"/>
    <w:rsid w:val="008A4FF3"/>
    <w:rsid w:val="008B0472"/>
    <w:rsid w:val="008B121C"/>
    <w:rsid w:val="008B26FD"/>
    <w:rsid w:val="008B2D10"/>
    <w:rsid w:val="008B2E86"/>
    <w:rsid w:val="008B6334"/>
    <w:rsid w:val="008B6CA1"/>
    <w:rsid w:val="008B7A37"/>
    <w:rsid w:val="008C06C2"/>
    <w:rsid w:val="008C0CF0"/>
    <w:rsid w:val="008C0EAA"/>
    <w:rsid w:val="008C2CBB"/>
    <w:rsid w:val="008C3676"/>
    <w:rsid w:val="008C41C4"/>
    <w:rsid w:val="008C469B"/>
    <w:rsid w:val="008C5A91"/>
    <w:rsid w:val="008C638F"/>
    <w:rsid w:val="008C6F86"/>
    <w:rsid w:val="008C7B07"/>
    <w:rsid w:val="008D1146"/>
    <w:rsid w:val="008D1403"/>
    <w:rsid w:val="008D1BBA"/>
    <w:rsid w:val="008D1CBD"/>
    <w:rsid w:val="008D2A44"/>
    <w:rsid w:val="008D2E5B"/>
    <w:rsid w:val="008D3AA6"/>
    <w:rsid w:val="008D3D9D"/>
    <w:rsid w:val="008D5CCB"/>
    <w:rsid w:val="008D772A"/>
    <w:rsid w:val="008E1E5B"/>
    <w:rsid w:val="008E2BE9"/>
    <w:rsid w:val="008E3123"/>
    <w:rsid w:val="008E784F"/>
    <w:rsid w:val="008E7B8E"/>
    <w:rsid w:val="008E7ED3"/>
    <w:rsid w:val="008F0F12"/>
    <w:rsid w:val="008F31BA"/>
    <w:rsid w:val="008F3793"/>
    <w:rsid w:val="008F6942"/>
    <w:rsid w:val="00904097"/>
    <w:rsid w:val="009045C9"/>
    <w:rsid w:val="009053F7"/>
    <w:rsid w:val="00905422"/>
    <w:rsid w:val="00905A5C"/>
    <w:rsid w:val="00906283"/>
    <w:rsid w:val="00906505"/>
    <w:rsid w:val="0091035D"/>
    <w:rsid w:val="009108CC"/>
    <w:rsid w:val="00911AE1"/>
    <w:rsid w:val="00916949"/>
    <w:rsid w:val="00923BF5"/>
    <w:rsid w:val="0092418C"/>
    <w:rsid w:val="00925EA9"/>
    <w:rsid w:val="00926C2B"/>
    <w:rsid w:val="009273C8"/>
    <w:rsid w:val="00930258"/>
    <w:rsid w:val="00930A39"/>
    <w:rsid w:val="009350F0"/>
    <w:rsid w:val="0094113A"/>
    <w:rsid w:val="009419A4"/>
    <w:rsid w:val="00942658"/>
    <w:rsid w:val="009427F1"/>
    <w:rsid w:val="0094400C"/>
    <w:rsid w:val="009443AA"/>
    <w:rsid w:val="00944C63"/>
    <w:rsid w:val="00950E5E"/>
    <w:rsid w:val="00951207"/>
    <w:rsid w:val="00952D6E"/>
    <w:rsid w:val="009534DE"/>
    <w:rsid w:val="00953C25"/>
    <w:rsid w:val="009544EB"/>
    <w:rsid w:val="00954DA2"/>
    <w:rsid w:val="009569ED"/>
    <w:rsid w:val="009574E3"/>
    <w:rsid w:val="00957BA0"/>
    <w:rsid w:val="00960D1D"/>
    <w:rsid w:val="00961697"/>
    <w:rsid w:val="009648C5"/>
    <w:rsid w:val="00966540"/>
    <w:rsid w:val="00971EDF"/>
    <w:rsid w:val="0097280D"/>
    <w:rsid w:val="00972D96"/>
    <w:rsid w:val="0097413B"/>
    <w:rsid w:val="009749C6"/>
    <w:rsid w:val="00976FDD"/>
    <w:rsid w:val="00977BEA"/>
    <w:rsid w:val="00980D10"/>
    <w:rsid w:val="00981061"/>
    <w:rsid w:val="0098171B"/>
    <w:rsid w:val="00982C63"/>
    <w:rsid w:val="0098596A"/>
    <w:rsid w:val="0098739F"/>
    <w:rsid w:val="00991230"/>
    <w:rsid w:val="00991538"/>
    <w:rsid w:val="009917EA"/>
    <w:rsid w:val="00993041"/>
    <w:rsid w:val="0099372E"/>
    <w:rsid w:val="00994438"/>
    <w:rsid w:val="0099461B"/>
    <w:rsid w:val="00994C96"/>
    <w:rsid w:val="00995104"/>
    <w:rsid w:val="0099689F"/>
    <w:rsid w:val="009A0464"/>
    <w:rsid w:val="009A0909"/>
    <w:rsid w:val="009A0DE3"/>
    <w:rsid w:val="009A2C42"/>
    <w:rsid w:val="009A302B"/>
    <w:rsid w:val="009A3208"/>
    <w:rsid w:val="009A44A5"/>
    <w:rsid w:val="009A5B1A"/>
    <w:rsid w:val="009A7585"/>
    <w:rsid w:val="009A758F"/>
    <w:rsid w:val="009B058D"/>
    <w:rsid w:val="009B139F"/>
    <w:rsid w:val="009B1A70"/>
    <w:rsid w:val="009B2B48"/>
    <w:rsid w:val="009B2D95"/>
    <w:rsid w:val="009B4048"/>
    <w:rsid w:val="009B57C3"/>
    <w:rsid w:val="009B588C"/>
    <w:rsid w:val="009B5EF0"/>
    <w:rsid w:val="009B60B8"/>
    <w:rsid w:val="009B7940"/>
    <w:rsid w:val="009C2AFC"/>
    <w:rsid w:val="009C3447"/>
    <w:rsid w:val="009C3E2F"/>
    <w:rsid w:val="009C403B"/>
    <w:rsid w:val="009C51F2"/>
    <w:rsid w:val="009C5691"/>
    <w:rsid w:val="009C5B69"/>
    <w:rsid w:val="009C67F5"/>
    <w:rsid w:val="009D3564"/>
    <w:rsid w:val="009D5174"/>
    <w:rsid w:val="009D57E3"/>
    <w:rsid w:val="009E006D"/>
    <w:rsid w:val="009E042B"/>
    <w:rsid w:val="009E0A65"/>
    <w:rsid w:val="009E0E00"/>
    <w:rsid w:val="009E24F0"/>
    <w:rsid w:val="009E265C"/>
    <w:rsid w:val="009E3BD6"/>
    <w:rsid w:val="009E3D88"/>
    <w:rsid w:val="009E5122"/>
    <w:rsid w:val="009F1507"/>
    <w:rsid w:val="009F40A1"/>
    <w:rsid w:val="009F420E"/>
    <w:rsid w:val="00A01182"/>
    <w:rsid w:val="00A02087"/>
    <w:rsid w:val="00A04195"/>
    <w:rsid w:val="00A0456E"/>
    <w:rsid w:val="00A05548"/>
    <w:rsid w:val="00A063EE"/>
    <w:rsid w:val="00A11DDF"/>
    <w:rsid w:val="00A161A4"/>
    <w:rsid w:val="00A17957"/>
    <w:rsid w:val="00A20A30"/>
    <w:rsid w:val="00A22C63"/>
    <w:rsid w:val="00A23EE9"/>
    <w:rsid w:val="00A242F0"/>
    <w:rsid w:val="00A268FE"/>
    <w:rsid w:val="00A275D2"/>
    <w:rsid w:val="00A32258"/>
    <w:rsid w:val="00A33333"/>
    <w:rsid w:val="00A33567"/>
    <w:rsid w:val="00A34500"/>
    <w:rsid w:val="00A36C76"/>
    <w:rsid w:val="00A37554"/>
    <w:rsid w:val="00A40396"/>
    <w:rsid w:val="00A428E5"/>
    <w:rsid w:val="00A433FF"/>
    <w:rsid w:val="00A43B3E"/>
    <w:rsid w:val="00A4659B"/>
    <w:rsid w:val="00A47263"/>
    <w:rsid w:val="00A50A1F"/>
    <w:rsid w:val="00A52411"/>
    <w:rsid w:val="00A555F7"/>
    <w:rsid w:val="00A55F8F"/>
    <w:rsid w:val="00A57077"/>
    <w:rsid w:val="00A57241"/>
    <w:rsid w:val="00A57617"/>
    <w:rsid w:val="00A6059A"/>
    <w:rsid w:val="00A60D48"/>
    <w:rsid w:val="00A61755"/>
    <w:rsid w:val="00A622A2"/>
    <w:rsid w:val="00A63114"/>
    <w:rsid w:val="00A63338"/>
    <w:rsid w:val="00A64AAC"/>
    <w:rsid w:val="00A64CF0"/>
    <w:rsid w:val="00A659E1"/>
    <w:rsid w:val="00A66F12"/>
    <w:rsid w:val="00A67918"/>
    <w:rsid w:val="00A70055"/>
    <w:rsid w:val="00A70401"/>
    <w:rsid w:val="00A70FC3"/>
    <w:rsid w:val="00A7281A"/>
    <w:rsid w:val="00A73B67"/>
    <w:rsid w:val="00A74D5C"/>
    <w:rsid w:val="00A75C5F"/>
    <w:rsid w:val="00A76BB7"/>
    <w:rsid w:val="00A8060B"/>
    <w:rsid w:val="00A80E0A"/>
    <w:rsid w:val="00A80E26"/>
    <w:rsid w:val="00A82D46"/>
    <w:rsid w:val="00A830B5"/>
    <w:rsid w:val="00A85445"/>
    <w:rsid w:val="00A900CC"/>
    <w:rsid w:val="00A9095F"/>
    <w:rsid w:val="00A90D78"/>
    <w:rsid w:val="00A9425C"/>
    <w:rsid w:val="00A944FA"/>
    <w:rsid w:val="00A947AC"/>
    <w:rsid w:val="00A97CA0"/>
    <w:rsid w:val="00A97EDE"/>
    <w:rsid w:val="00AA0521"/>
    <w:rsid w:val="00AA21DE"/>
    <w:rsid w:val="00AA3442"/>
    <w:rsid w:val="00AA34E3"/>
    <w:rsid w:val="00AA40CD"/>
    <w:rsid w:val="00AA4905"/>
    <w:rsid w:val="00AA6542"/>
    <w:rsid w:val="00AB1D46"/>
    <w:rsid w:val="00AB2538"/>
    <w:rsid w:val="00AB32A9"/>
    <w:rsid w:val="00AB3C32"/>
    <w:rsid w:val="00AB3DD5"/>
    <w:rsid w:val="00AB4C8D"/>
    <w:rsid w:val="00AB7D43"/>
    <w:rsid w:val="00AC02AA"/>
    <w:rsid w:val="00AC1A43"/>
    <w:rsid w:val="00AC1D94"/>
    <w:rsid w:val="00AC2081"/>
    <w:rsid w:val="00AC4A49"/>
    <w:rsid w:val="00AC5C42"/>
    <w:rsid w:val="00AC6D57"/>
    <w:rsid w:val="00AD3290"/>
    <w:rsid w:val="00AE05E4"/>
    <w:rsid w:val="00AE0FC7"/>
    <w:rsid w:val="00AE1162"/>
    <w:rsid w:val="00AE16C3"/>
    <w:rsid w:val="00AE2E4D"/>
    <w:rsid w:val="00AE369B"/>
    <w:rsid w:val="00AE3DF8"/>
    <w:rsid w:val="00AE4BC5"/>
    <w:rsid w:val="00AE6C40"/>
    <w:rsid w:val="00AE710A"/>
    <w:rsid w:val="00AE724D"/>
    <w:rsid w:val="00AF0076"/>
    <w:rsid w:val="00AF1CE5"/>
    <w:rsid w:val="00AF27DD"/>
    <w:rsid w:val="00AF3446"/>
    <w:rsid w:val="00AF585D"/>
    <w:rsid w:val="00AF7A91"/>
    <w:rsid w:val="00B0035E"/>
    <w:rsid w:val="00B00C60"/>
    <w:rsid w:val="00B01AB7"/>
    <w:rsid w:val="00B020E4"/>
    <w:rsid w:val="00B02432"/>
    <w:rsid w:val="00B04C34"/>
    <w:rsid w:val="00B055B1"/>
    <w:rsid w:val="00B065A2"/>
    <w:rsid w:val="00B0660D"/>
    <w:rsid w:val="00B06697"/>
    <w:rsid w:val="00B10920"/>
    <w:rsid w:val="00B10A72"/>
    <w:rsid w:val="00B134B9"/>
    <w:rsid w:val="00B13EA2"/>
    <w:rsid w:val="00B14890"/>
    <w:rsid w:val="00B14E48"/>
    <w:rsid w:val="00B1516F"/>
    <w:rsid w:val="00B160F8"/>
    <w:rsid w:val="00B176C3"/>
    <w:rsid w:val="00B20167"/>
    <w:rsid w:val="00B202AD"/>
    <w:rsid w:val="00B20E03"/>
    <w:rsid w:val="00B22103"/>
    <w:rsid w:val="00B22F4F"/>
    <w:rsid w:val="00B2534C"/>
    <w:rsid w:val="00B253A1"/>
    <w:rsid w:val="00B2599F"/>
    <w:rsid w:val="00B262AB"/>
    <w:rsid w:val="00B26C06"/>
    <w:rsid w:val="00B30DD4"/>
    <w:rsid w:val="00B33CB7"/>
    <w:rsid w:val="00B33D34"/>
    <w:rsid w:val="00B352FA"/>
    <w:rsid w:val="00B36B5C"/>
    <w:rsid w:val="00B36D31"/>
    <w:rsid w:val="00B41E21"/>
    <w:rsid w:val="00B43146"/>
    <w:rsid w:val="00B44208"/>
    <w:rsid w:val="00B44442"/>
    <w:rsid w:val="00B44EDB"/>
    <w:rsid w:val="00B46969"/>
    <w:rsid w:val="00B47A1D"/>
    <w:rsid w:val="00B515B7"/>
    <w:rsid w:val="00B53183"/>
    <w:rsid w:val="00B5356B"/>
    <w:rsid w:val="00B539F7"/>
    <w:rsid w:val="00B53B6A"/>
    <w:rsid w:val="00B544D6"/>
    <w:rsid w:val="00B56812"/>
    <w:rsid w:val="00B57491"/>
    <w:rsid w:val="00B617CD"/>
    <w:rsid w:val="00B666AD"/>
    <w:rsid w:val="00B667DA"/>
    <w:rsid w:val="00B66A05"/>
    <w:rsid w:val="00B66C5A"/>
    <w:rsid w:val="00B672A8"/>
    <w:rsid w:val="00B7210C"/>
    <w:rsid w:val="00B726CB"/>
    <w:rsid w:val="00B7473F"/>
    <w:rsid w:val="00B76AF5"/>
    <w:rsid w:val="00B76E4D"/>
    <w:rsid w:val="00B775D9"/>
    <w:rsid w:val="00B77EDB"/>
    <w:rsid w:val="00B800FB"/>
    <w:rsid w:val="00B80124"/>
    <w:rsid w:val="00B805E0"/>
    <w:rsid w:val="00B82026"/>
    <w:rsid w:val="00B8513F"/>
    <w:rsid w:val="00B9021B"/>
    <w:rsid w:val="00B91705"/>
    <w:rsid w:val="00B91C47"/>
    <w:rsid w:val="00B92DE1"/>
    <w:rsid w:val="00B93599"/>
    <w:rsid w:val="00B93769"/>
    <w:rsid w:val="00B943CD"/>
    <w:rsid w:val="00B955FF"/>
    <w:rsid w:val="00B962CB"/>
    <w:rsid w:val="00B9789C"/>
    <w:rsid w:val="00B97A47"/>
    <w:rsid w:val="00BA04C9"/>
    <w:rsid w:val="00BA2902"/>
    <w:rsid w:val="00BA3BD8"/>
    <w:rsid w:val="00BA3CE4"/>
    <w:rsid w:val="00BB0829"/>
    <w:rsid w:val="00BB0A6C"/>
    <w:rsid w:val="00BB0B97"/>
    <w:rsid w:val="00BB1C84"/>
    <w:rsid w:val="00BB30E7"/>
    <w:rsid w:val="00BB352B"/>
    <w:rsid w:val="00BB393D"/>
    <w:rsid w:val="00BB4A7A"/>
    <w:rsid w:val="00BB6CB3"/>
    <w:rsid w:val="00BC0047"/>
    <w:rsid w:val="00BC0348"/>
    <w:rsid w:val="00BC0E09"/>
    <w:rsid w:val="00BC1978"/>
    <w:rsid w:val="00BC266F"/>
    <w:rsid w:val="00BC3585"/>
    <w:rsid w:val="00BC43FE"/>
    <w:rsid w:val="00BD29F2"/>
    <w:rsid w:val="00BD2C34"/>
    <w:rsid w:val="00BD6BA2"/>
    <w:rsid w:val="00BD7D55"/>
    <w:rsid w:val="00BE06B8"/>
    <w:rsid w:val="00BE0C60"/>
    <w:rsid w:val="00BE2616"/>
    <w:rsid w:val="00BE3A2C"/>
    <w:rsid w:val="00BE3C9C"/>
    <w:rsid w:val="00BE48D2"/>
    <w:rsid w:val="00BE77B1"/>
    <w:rsid w:val="00BE7998"/>
    <w:rsid w:val="00BF3A1D"/>
    <w:rsid w:val="00BF3A20"/>
    <w:rsid w:val="00BF67EE"/>
    <w:rsid w:val="00BF6F8B"/>
    <w:rsid w:val="00BF7F3F"/>
    <w:rsid w:val="00C01B6B"/>
    <w:rsid w:val="00C045D7"/>
    <w:rsid w:val="00C048F6"/>
    <w:rsid w:val="00C04DCF"/>
    <w:rsid w:val="00C0558D"/>
    <w:rsid w:val="00C05AB3"/>
    <w:rsid w:val="00C06177"/>
    <w:rsid w:val="00C075EA"/>
    <w:rsid w:val="00C13046"/>
    <w:rsid w:val="00C14605"/>
    <w:rsid w:val="00C153B0"/>
    <w:rsid w:val="00C158DA"/>
    <w:rsid w:val="00C208C3"/>
    <w:rsid w:val="00C234A9"/>
    <w:rsid w:val="00C23990"/>
    <w:rsid w:val="00C23DEE"/>
    <w:rsid w:val="00C2589D"/>
    <w:rsid w:val="00C25A46"/>
    <w:rsid w:val="00C25EC1"/>
    <w:rsid w:val="00C276AF"/>
    <w:rsid w:val="00C30276"/>
    <w:rsid w:val="00C30625"/>
    <w:rsid w:val="00C3221F"/>
    <w:rsid w:val="00C32525"/>
    <w:rsid w:val="00C32AC1"/>
    <w:rsid w:val="00C32E41"/>
    <w:rsid w:val="00C33F51"/>
    <w:rsid w:val="00C34C43"/>
    <w:rsid w:val="00C34CE7"/>
    <w:rsid w:val="00C357DE"/>
    <w:rsid w:val="00C404B4"/>
    <w:rsid w:val="00C41BEB"/>
    <w:rsid w:val="00C41FB6"/>
    <w:rsid w:val="00C449F1"/>
    <w:rsid w:val="00C44E92"/>
    <w:rsid w:val="00C47550"/>
    <w:rsid w:val="00C50A26"/>
    <w:rsid w:val="00C54295"/>
    <w:rsid w:val="00C544F7"/>
    <w:rsid w:val="00C60217"/>
    <w:rsid w:val="00C6163D"/>
    <w:rsid w:val="00C61AC6"/>
    <w:rsid w:val="00C62D3A"/>
    <w:rsid w:val="00C65763"/>
    <w:rsid w:val="00C702C7"/>
    <w:rsid w:val="00C716C4"/>
    <w:rsid w:val="00C73EF7"/>
    <w:rsid w:val="00C7429C"/>
    <w:rsid w:val="00C74A63"/>
    <w:rsid w:val="00C762EB"/>
    <w:rsid w:val="00C80598"/>
    <w:rsid w:val="00C81CB1"/>
    <w:rsid w:val="00C82674"/>
    <w:rsid w:val="00C8300C"/>
    <w:rsid w:val="00C84045"/>
    <w:rsid w:val="00C844EE"/>
    <w:rsid w:val="00C8703B"/>
    <w:rsid w:val="00C87F99"/>
    <w:rsid w:val="00C9266D"/>
    <w:rsid w:val="00C928F2"/>
    <w:rsid w:val="00C9432A"/>
    <w:rsid w:val="00CA1D00"/>
    <w:rsid w:val="00CA21E5"/>
    <w:rsid w:val="00CA2345"/>
    <w:rsid w:val="00CA32FE"/>
    <w:rsid w:val="00CA40EE"/>
    <w:rsid w:val="00CA4E63"/>
    <w:rsid w:val="00CA5B05"/>
    <w:rsid w:val="00CA69A2"/>
    <w:rsid w:val="00CB0366"/>
    <w:rsid w:val="00CB0632"/>
    <w:rsid w:val="00CB5F8A"/>
    <w:rsid w:val="00CB6B4C"/>
    <w:rsid w:val="00CB7B1A"/>
    <w:rsid w:val="00CC08D4"/>
    <w:rsid w:val="00CC1C20"/>
    <w:rsid w:val="00CC2122"/>
    <w:rsid w:val="00CC2A1A"/>
    <w:rsid w:val="00CC2AAA"/>
    <w:rsid w:val="00CC34A3"/>
    <w:rsid w:val="00CC3884"/>
    <w:rsid w:val="00CC3BFA"/>
    <w:rsid w:val="00CC5E8F"/>
    <w:rsid w:val="00CC67BC"/>
    <w:rsid w:val="00CC73BC"/>
    <w:rsid w:val="00CC75C4"/>
    <w:rsid w:val="00CC7831"/>
    <w:rsid w:val="00CD3AE2"/>
    <w:rsid w:val="00CE0487"/>
    <w:rsid w:val="00CE1517"/>
    <w:rsid w:val="00CE1D9F"/>
    <w:rsid w:val="00CE3028"/>
    <w:rsid w:val="00CE3FD7"/>
    <w:rsid w:val="00CE7312"/>
    <w:rsid w:val="00CF0727"/>
    <w:rsid w:val="00CF259A"/>
    <w:rsid w:val="00CF2BF2"/>
    <w:rsid w:val="00CF3CA4"/>
    <w:rsid w:val="00CF546E"/>
    <w:rsid w:val="00CF560A"/>
    <w:rsid w:val="00CF73AA"/>
    <w:rsid w:val="00CF7F7F"/>
    <w:rsid w:val="00D0023B"/>
    <w:rsid w:val="00D01239"/>
    <w:rsid w:val="00D02FDA"/>
    <w:rsid w:val="00D11120"/>
    <w:rsid w:val="00D13397"/>
    <w:rsid w:val="00D16095"/>
    <w:rsid w:val="00D21B5F"/>
    <w:rsid w:val="00D236E8"/>
    <w:rsid w:val="00D23F08"/>
    <w:rsid w:val="00D250E5"/>
    <w:rsid w:val="00D251C6"/>
    <w:rsid w:val="00D25E33"/>
    <w:rsid w:val="00D27B73"/>
    <w:rsid w:val="00D307ED"/>
    <w:rsid w:val="00D326FE"/>
    <w:rsid w:val="00D329DF"/>
    <w:rsid w:val="00D33A2B"/>
    <w:rsid w:val="00D35465"/>
    <w:rsid w:val="00D35D23"/>
    <w:rsid w:val="00D36E73"/>
    <w:rsid w:val="00D410C4"/>
    <w:rsid w:val="00D4280C"/>
    <w:rsid w:val="00D42B09"/>
    <w:rsid w:val="00D42DC8"/>
    <w:rsid w:val="00D43BD9"/>
    <w:rsid w:val="00D45746"/>
    <w:rsid w:val="00D50A5B"/>
    <w:rsid w:val="00D5297D"/>
    <w:rsid w:val="00D52A6A"/>
    <w:rsid w:val="00D55683"/>
    <w:rsid w:val="00D61599"/>
    <w:rsid w:val="00D61886"/>
    <w:rsid w:val="00D61DFC"/>
    <w:rsid w:val="00D62704"/>
    <w:rsid w:val="00D62DBA"/>
    <w:rsid w:val="00D63E89"/>
    <w:rsid w:val="00D6603F"/>
    <w:rsid w:val="00D6677C"/>
    <w:rsid w:val="00D66B91"/>
    <w:rsid w:val="00D73889"/>
    <w:rsid w:val="00D75260"/>
    <w:rsid w:val="00D75925"/>
    <w:rsid w:val="00D768FD"/>
    <w:rsid w:val="00D76972"/>
    <w:rsid w:val="00D7725A"/>
    <w:rsid w:val="00D7732D"/>
    <w:rsid w:val="00D802C3"/>
    <w:rsid w:val="00D80A5C"/>
    <w:rsid w:val="00D80E1A"/>
    <w:rsid w:val="00D815D0"/>
    <w:rsid w:val="00D82425"/>
    <w:rsid w:val="00D82E12"/>
    <w:rsid w:val="00D842C8"/>
    <w:rsid w:val="00D84F13"/>
    <w:rsid w:val="00D86BB8"/>
    <w:rsid w:val="00D916CE"/>
    <w:rsid w:val="00D92FCD"/>
    <w:rsid w:val="00DA132B"/>
    <w:rsid w:val="00DA1962"/>
    <w:rsid w:val="00DA29BD"/>
    <w:rsid w:val="00DA5A7B"/>
    <w:rsid w:val="00DA5DCD"/>
    <w:rsid w:val="00DA7085"/>
    <w:rsid w:val="00DA7D20"/>
    <w:rsid w:val="00DB0CB1"/>
    <w:rsid w:val="00DB39FE"/>
    <w:rsid w:val="00DB4410"/>
    <w:rsid w:val="00DB5D79"/>
    <w:rsid w:val="00DC17C0"/>
    <w:rsid w:val="00DC2522"/>
    <w:rsid w:val="00DC3F57"/>
    <w:rsid w:val="00DC4A60"/>
    <w:rsid w:val="00DC4D91"/>
    <w:rsid w:val="00DC59F1"/>
    <w:rsid w:val="00DC65D0"/>
    <w:rsid w:val="00DC7AC4"/>
    <w:rsid w:val="00DD14B3"/>
    <w:rsid w:val="00DD322E"/>
    <w:rsid w:val="00DD5A1B"/>
    <w:rsid w:val="00DD6590"/>
    <w:rsid w:val="00DD715C"/>
    <w:rsid w:val="00DE111C"/>
    <w:rsid w:val="00DE18BC"/>
    <w:rsid w:val="00DE3A92"/>
    <w:rsid w:val="00DE5E02"/>
    <w:rsid w:val="00DE7898"/>
    <w:rsid w:val="00DF1DFC"/>
    <w:rsid w:val="00DF396F"/>
    <w:rsid w:val="00DF3B35"/>
    <w:rsid w:val="00DF41FD"/>
    <w:rsid w:val="00DF4B62"/>
    <w:rsid w:val="00DF70E8"/>
    <w:rsid w:val="00E00726"/>
    <w:rsid w:val="00E0265A"/>
    <w:rsid w:val="00E0285E"/>
    <w:rsid w:val="00E03F8C"/>
    <w:rsid w:val="00E0517E"/>
    <w:rsid w:val="00E066EC"/>
    <w:rsid w:val="00E078DE"/>
    <w:rsid w:val="00E10A53"/>
    <w:rsid w:val="00E12A43"/>
    <w:rsid w:val="00E14380"/>
    <w:rsid w:val="00E14799"/>
    <w:rsid w:val="00E15DEF"/>
    <w:rsid w:val="00E15E9E"/>
    <w:rsid w:val="00E16394"/>
    <w:rsid w:val="00E165D1"/>
    <w:rsid w:val="00E17868"/>
    <w:rsid w:val="00E17BFF"/>
    <w:rsid w:val="00E23B3D"/>
    <w:rsid w:val="00E2493C"/>
    <w:rsid w:val="00E26113"/>
    <w:rsid w:val="00E266A4"/>
    <w:rsid w:val="00E271AE"/>
    <w:rsid w:val="00E35306"/>
    <w:rsid w:val="00E35619"/>
    <w:rsid w:val="00E35847"/>
    <w:rsid w:val="00E35D1B"/>
    <w:rsid w:val="00E36C7A"/>
    <w:rsid w:val="00E37C6C"/>
    <w:rsid w:val="00E406E2"/>
    <w:rsid w:val="00E41D21"/>
    <w:rsid w:val="00E4362E"/>
    <w:rsid w:val="00E43AB6"/>
    <w:rsid w:val="00E43B9E"/>
    <w:rsid w:val="00E457C4"/>
    <w:rsid w:val="00E461D9"/>
    <w:rsid w:val="00E51605"/>
    <w:rsid w:val="00E51B83"/>
    <w:rsid w:val="00E52964"/>
    <w:rsid w:val="00E54BEF"/>
    <w:rsid w:val="00E55A41"/>
    <w:rsid w:val="00E56993"/>
    <w:rsid w:val="00E56F4A"/>
    <w:rsid w:val="00E606D2"/>
    <w:rsid w:val="00E6082C"/>
    <w:rsid w:val="00E60DD4"/>
    <w:rsid w:val="00E6123E"/>
    <w:rsid w:val="00E61D81"/>
    <w:rsid w:val="00E625F2"/>
    <w:rsid w:val="00E62625"/>
    <w:rsid w:val="00E64078"/>
    <w:rsid w:val="00E665E4"/>
    <w:rsid w:val="00E67729"/>
    <w:rsid w:val="00E70359"/>
    <w:rsid w:val="00E70874"/>
    <w:rsid w:val="00E70D8F"/>
    <w:rsid w:val="00E7300D"/>
    <w:rsid w:val="00E73CCD"/>
    <w:rsid w:val="00E73D0A"/>
    <w:rsid w:val="00E757D0"/>
    <w:rsid w:val="00E758D3"/>
    <w:rsid w:val="00E77210"/>
    <w:rsid w:val="00E77DC1"/>
    <w:rsid w:val="00E822FE"/>
    <w:rsid w:val="00E82807"/>
    <w:rsid w:val="00E83736"/>
    <w:rsid w:val="00E84F40"/>
    <w:rsid w:val="00E8725A"/>
    <w:rsid w:val="00E87432"/>
    <w:rsid w:val="00E87451"/>
    <w:rsid w:val="00E9014D"/>
    <w:rsid w:val="00E91549"/>
    <w:rsid w:val="00E9198A"/>
    <w:rsid w:val="00E93DF1"/>
    <w:rsid w:val="00E943B8"/>
    <w:rsid w:val="00E94C20"/>
    <w:rsid w:val="00E96336"/>
    <w:rsid w:val="00EA1305"/>
    <w:rsid w:val="00EA3916"/>
    <w:rsid w:val="00EA56E6"/>
    <w:rsid w:val="00EB0AA3"/>
    <w:rsid w:val="00EB172B"/>
    <w:rsid w:val="00EB209E"/>
    <w:rsid w:val="00EB467A"/>
    <w:rsid w:val="00EB5CD1"/>
    <w:rsid w:val="00EB6255"/>
    <w:rsid w:val="00EC0331"/>
    <w:rsid w:val="00EC1D8B"/>
    <w:rsid w:val="00EC1F27"/>
    <w:rsid w:val="00EC6CC9"/>
    <w:rsid w:val="00EC6F5A"/>
    <w:rsid w:val="00EC7D17"/>
    <w:rsid w:val="00ED508D"/>
    <w:rsid w:val="00ED50D9"/>
    <w:rsid w:val="00ED5A75"/>
    <w:rsid w:val="00ED7C26"/>
    <w:rsid w:val="00EE0535"/>
    <w:rsid w:val="00EE05FF"/>
    <w:rsid w:val="00EE08F4"/>
    <w:rsid w:val="00EE16D4"/>
    <w:rsid w:val="00EE1CD8"/>
    <w:rsid w:val="00EE2C87"/>
    <w:rsid w:val="00EE5CDC"/>
    <w:rsid w:val="00EE61A2"/>
    <w:rsid w:val="00EE6DE6"/>
    <w:rsid w:val="00EF0925"/>
    <w:rsid w:val="00EF2CF0"/>
    <w:rsid w:val="00EF4086"/>
    <w:rsid w:val="00EF71AC"/>
    <w:rsid w:val="00F01B72"/>
    <w:rsid w:val="00F024A8"/>
    <w:rsid w:val="00F045B9"/>
    <w:rsid w:val="00F048D1"/>
    <w:rsid w:val="00F106CC"/>
    <w:rsid w:val="00F10CCB"/>
    <w:rsid w:val="00F12904"/>
    <w:rsid w:val="00F12D25"/>
    <w:rsid w:val="00F1516F"/>
    <w:rsid w:val="00F1518C"/>
    <w:rsid w:val="00F153A6"/>
    <w:rsid w:val="00F15F5C"/>
    <w:rsid w:val="00F20845"/>
    <w:rsid w:val="00F22015"/>
    <w:rsid w:val="00F23266"/>
    <w:rsid w:val="00F24A14"/>
    <w:rsid w:val="00F25383"/>
    <w:rsid w:val="00F3081C"/>
    <w:rsid w:val="00F3150F"/>
    <w:rsid w:val="00F3249F"/>
    <w:rsid w:val="00F32F9F"/>
    <w:rsid w:val="00F37276"/>
    <w:rsid w:val="00F37880"/>
    <w:rsid w:val="00F41009"/>
    <w:rsid w:val="00F4301C"/>
    <w:rsid w:val="00F431E3"/>
    <w:rsid w:val="00F43238"/>
    <w:rsid w:val="00F448EC"/>
    <w:rsid w:val="00F44E7C"/>
    <w:rsid w:val="00F46119"/>
    <w:rsid w:val="00F47AD4"/>
    <w:rsid w:val="00F50048"/>
    <w:rsid w:val="00F50545"/>
    <w:rsid w:val="00F506EF"/>
    <w:rsid w:val="00F5140D"/>
    <w:rsid w:val="00F51C6F"/>
    <w:rsid w:val="00F5299F"/>
    <w:rsid w:val="00F53B09"/>
    <w:rsid w:val="00F5528F"/>
    <w:rsid w:val="00F55BB9"/>
    <w:rsid w:val="00F565A3"/>
    <w:rsid w:val="00F56953"/>
    <w:rsid w:val="00F611A5"/>
    <w:rsid w:val="00F64334"/>
    <w:rsid w:val="00F646E9"/>
    <w:rsid w:val="00F648EB"/>
    <w:rsid w:val="00F678FC"/>
    <w:rsid w:val="00F7103E"/>
    <w:rsid w:val="00F71D35"/>
    <w:rsid w:val="00F7435C"/>
    <w:rsid w:val="00F7744A"/>
    <w:rsid w:val="00F77687"/>
    <w:rsid w:val="00F84690"/>
    <w:rsid w:val="00F846E1"/>
    <w:rsid w:val="00F87517"/>
    <w:rsid w:val="00F9119D"/>
    <w:rsid w:val="00F958B9"/>
    <w:rsid w:val="00F973D7"/>
    <w:rsid w:val="00FA1392"/>
    <w:rsid w:val="00FA1B33"/>
    <w:rsid w:val="00FA2818"/>
    <w:rsid w:val="00FA40EA"/>
    <w:rsid w:val="00FA6EC4"/>
    <w:rsid w:val="00FA7C9A"/>
    <w:rsid w:val="00FB1C50"/>
    <w:rsid w:val="00FB25C1"/>
    <w:rsid w:val="00FB33F3"/>
    <w:rsid w:val="00FB579B"/>
    <w:rsid w:val="00FB6C38"/>
    <w:rsid w:val="00FC0514"/>
    <w:rsid w:val="00FC205C"/>
    <w:rsid w:val="00FC2104"/>
    <w:rsid w:val="00FC2B0D"/>
    <w:rsid w:val="00FC3A87"/>
    <w:rsid w:val="00FC3F37"/>
    <w:rsid w:val="00FC42B6"/>
    <w:rsid w:val="00FC5C06"/>
    <w:rsid w:val="00FC68E2"/>
    <w:rsid w:val="00FD2E1D"/>
    <w:rsid w:val="00FD3AC7"/>
    <w:rsid w:val="00FD505C"/>
    <w:rsid w:val="00FD5421"/>
    <w:rsid w:val="00FD5772"/>
    <w:rsid w:val="00FE3386"/>
    <w:rsid w:val="00FE366A"/>
    <w:rsid w:val="00FE4270"/>
    <w:rsid w:val="00FE4366"/>
    <w:rsid w:val="00FE5BE7"/>
    <w:rsid w:val="00FE7E6F"/>
    <w:rsid w:val="00FF0F52"/>
    <w:rsid w:val="00FF147F"/>
    <w:rsid w:val="00FF1A79"/>
    <w:rsid w:val="00FF1E39"/>
    <w:rsid w:val="00FF1E8D"/>
    <w:rsid w:val="00FF4083"/>
    <w:rsid w:val="00FF4664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37464574"/>
  <w15:docId w15:val="{2ECA58AB-C2CD-4087-B67E-ED6C1869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3EB"/>
    <w:pPr>
      <w:spacing w:before="120" w:after="120" w:line="288" w:lineRule="auto"/>
      <w:jc w:val="both"/>
    </w:pPr>
    <w:rPr>
      <w:sz w:val="18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41009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62B5E5" w:themeColor="accent3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0035E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CC08D4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  <w:color w:val="75787B" w:themeColor="accent6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009"/>
    <w:rPr>
      <w:rFonts w:asciiTheme="majorHAnsi" w:eastAsiaTheme="majorEastAsia" w:hAnsiTheme="majorHAnsi" w:cstheme="majorBidi"/>
      <w:b/>
      <w:bCs/>
      <w:color w:val="62B5E5" w:themeColor="accent3"/>
      <w:sz w:val="18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B0035E"/>
    <w:rPr>
      <w:rFonts w:asciiTheme="majorHAnsi" w:eastAsiaTheme="majorEastAsia" w:hAnsiTheme="majorHAnsi" w:cstheme="majorBidi"/>
      <w:b/>
      <w:bCs/>
      <w:color w:val="000000" w:themeColor="text1"/>
      <w:sz w:val="18"/>
      <w:szCs w:val="26"/>
      <w:lang w:val="sk-SK"/>
    </w:rPr>
  </w:style>
  <w:style w:type="table" w:styleId="TableGrid">
    <w:name w:val="Table Grid"/>
    <w:basedOn w:val="TableNormal"/>
    <w:rsid w:val="001E016B"/>
    <w:pPr>
      <w:spacing w:after="0" w:line="240" w:lineRule="auto"/>
    </w:pPr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link w:val="HeaderChar"/>
    <w:uiPriority w:val="99"/>
    <w:rsid w:val="008631CE"/>
    <w:pPr>
      <w:tabs>
        <w:tab w:val="center" w:pos="4513"/>
        <w:tab w:val="right" w:pos="9026"/>
      </w:tabs>
      <w:spacing w:after="0" w:line="240" w:lineRule="auto"/>
    </w:pPr>
    <w:rPr>
      <w:b/>
      <w:sz w:val="1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31CE"/>
    <w:rPr>
      <w:b/>
      <w:sz w:val="14"/>
      <w:lang w:val="en-US"/>
    </w:rPr>
  </w:style>
  <w:style w:type="paragraph" w:styleId="Footer">
    <w:name w:val="footer"/>
    <w:basedOn w:val="Normal"/>
    <w:link w:val="FooterChar"/>
    <w:uiPriority w:val="99"/>
    <w:rsid w:val="001975EF"/>
    <w:pPr>
      <w:tabs>
        <w:tab w:val="right" w:pos="7371"/>
      </w:tabs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550AB"/>
    <w:rPr>
      <w:sz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702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autoRedefine/>
    <w:uiPriority w:val="99"/>
    <w:qFormat/>
    <w:rsid w:val="004E7BDE"/>
    <w:pPr>
      <w:numPr>
        <w:numId w:val="1"/>
      </w:numPr>
      <w:tabs>
        <w:tab w:val="clear" w:pos="360"/>
      </w:tabs>
      <w:ind w:left="284" w:hanging="284"/>
      <w:contextualSpacing/>
    </w:pPr>
  </w:style>
  <w:style w:type="paragraph" w:styleId="ListBullet2">
    <w:name w:val="List Bullet 2"/>
    <w:basedOn w:val="Normal"/>
    <w:autoRedefine/>
    <w:uiPriority w:val="99"/>
    <w:qFormat/>
    <w:rsid w:val="004E7BDE"/>
    <w:pPr>
      <w:numPr>
        <w:numId w:val="2"/>
      </w:numPr>
      <w:ind w:left="568" w:hanging="284"/>
      <w:contextualSpacing/>
    </w:pPr>
  </w:style>
  <w:style w:type="paragraph" w:styleId="ListNumber">
    <w:name w:val="List Number"/>
    <w:basedOn w:val="Normal"/>
    <w:autoRedefine/>
    <w:uiPriority w:val="99"/>
    <w:qFormat/>
    <w:rsid w:val="004E7BDE"/>
    <w:pPr>
      <w:numPr>
        <w:numId w:val="3"/>
      </w:numPr>
      <w:tabs>
        <w:tab w:val="clear" w:pos="360"/>
      </w:tabs>
      <w:ind w:left="284" w:hanging="284"/>
      <w:contextualSpacing/>
    </w:pPr>
  </w:style>
  <w:style w:type="paragraph" w:styleId="ListNumber2">
    <w:name w:val="List Number 2"/>
    <w:basedOn w:val="Normal"/>
    <w:uiPriority w:val="99"/>
    <w:qFormat/>
    <w:rsid w:val="004E7BDE"/>
    <w:pPr>
      <w:numPr>
        <w:numId w:val="4"/>
      </w:numPr>
      <w:ind w:left="568" w:hanging="284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08D4"/>
    <w:rPr>
      <w:rFonts w:asciiTheme="majorHAnsi" w:eastAsiaTheme="majorEastAsia" w:hAnsiTheme="majorHAnsi" w:cstheme="majorBidi"/>
      <w:b/>
      <w:bCs/>
      <w:color w:val="75787B" w:themeColor="accent6"/>
      <w:sz w:val="18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0AB"/>
    <w:rPr>
      <w:rFonts w:asciiTheme="majorHAnsi" w:eastAsiaTheme="majorEastAsia" w:hAnsiTheme="majorHAnsi" w:cstheme="majorBidi"/>
      <w:b/>
      <w:bCs/>
      <w:iCs/>
      <w:color w:val="000000" w:themeColor="text1"/>
      <w:sz w:val="18"/>
      <w:lang w:val="en-US"/>
    </w:rPr>
  </w:style>
  <w:style w:type="paragraph" w:styleId="FootnoteText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al"/>
    <w:link w:val="FootnoteTextChar"/>
    <w:uiPriority w:val="99"/>
    <w:rsid w:val="00F3081C"/>
    <w:rPr>
      <w:sz w:val="16"/>
      <w:szCs w:val="20"/>
    </w:rPr>
  </w:style>
  <w:style w:type="character" w:customStyle="1" w:styleId="FootnoteTextChar">
    <w:name w:val="Footnote Text Char"/>
    <w:aliases w:val="Text poznámky pod čiarou 007 Char,_Poznámka pod čiarou Char,Text poznámky pod èiarou 007 Char,Stinking Styles2 Char,Tekst przypisu- dokt Char,Char Char Char Char,Char Char Char Char Char Char Char Char Char Char,Char Char Ch Char"/>
    <w:basedOn w:val="DefaultParagraphFont"/>
    <w:link w:val="FootnoteText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A7281A"/>
    <w:pPr>
      <w:spacing w:after="0" w:line="440" w:lineRule="atLeast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customStyle="1" w:styleId="Subheading">
    <w:name w:val="Subheading"/>
    <w:basedOn w:val="Normal"/>
    <w:next w:val="Normal"/>
    <w:semiHidden/>
    <w:qFormat/>
    <w:rsid w:val="00D236E8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DefaultParagraphFont"/>
    <w:uiPriority w:val="99"/>
    <w:rsid w:val="00412EA0"/>
    <w:rPr>
      <w:vertAlign w:val="superscript"/>
    </w:rPr>
  </w:style>
  <w:style w:type="paragraph" w:customStyle="1" w:styleId="Sectionintro">
    <w:name w:val="Section intro"/>
    <w:basedOn w:val="Normal"/>
    <w:next w:val="Normal"/>
    <w:autoRedefine/>
    <w:qFormat/>
    <w:rsid w:val="004E7BDE"/>
    <w:rPr>
      <w:sz w:val="28"/>
    </w:rPr>
  </w:style>
  <w:style w:type="paragraph" w:customStyle="1" w:styleId="Documentdate">
    <w:name w:val="Document date"/>
    <w:qFormat/>
    <w:rsid w:val="007550AB"/>
    <w:pPr>
      <w:spacing w:after="0" w:line="240" w:lineRule="atLeast"/>
    </w:pPr>
    <w:rPr>
      <w:sz w:val="18"/>
      <w:lang w:val="en-US"/>
    </w:rPr>
  </w:style>
  <w:style w:type="paragraph" w:customStyle="1" w:styleId="Sectiontitle">
    <w:name w:val="Section title"/>
    <w:basedOn w:val="Normal"/>
    <w:next w:val="Normal"/>
    <w:link w:val="SectiontitleChar"/>
    <w:qFormat/>
    <w:rsid w:val="00EE61A2"/>
    <w:pPr>
      <w:spacing w:after="480" w:line="720" w:lineRule="atLeast"/>
    </w:pPr>
    <w:rPr>
      <w:sz w:val="60"/>
    </w:rPr>
  </w:style>
  <w:style w:type="paragraph" w:customStyle="1" w:styleId="PulloutBlue">
    <w:name w:val="Pullout Blue"/>
    <w:basedOn w:val="Normal"/>
    <w:next w:val="Normal"/>
    <w:qFormat/>
    <w:rsid w:val="00DD5A1B"/>
    <w:pPr>
      <w:spacing w:line="360" w:lineRule="atLeast"/>
    </w:pPr>
    <w:rPr>
      <w:color w:val="62B5E5" w:themeColor="accent3"/>
      <w:sz w:val="28"/>
    </w:rPr>
  </w:style>
  <w:style w:type="paragraph" w:customStyle="1" w:styleId="Contacttext">
    <w:name w:val="Contact text"/>
    <w:basedOn w:val="Normal"/>
    <w:qFormat/>
    <w:rsid w:val="00D7732D"/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Caption">
    <w:name w:val="caption"/>
    <w:basedOn w:val="Normal"/>
    <w:next w:val="Normal"/>
    <w:uiPriority w:val="35"/>
    <w:qFormat/>
    <w:rsid w:val="00B46969"/>
    <w:pPr>
      <w:keepNext/>
    </w:pPr>
    <w:rPr>
      <w:iCs/>
      <w:color w:val="75787B" w:themeColor="accent6"/>
      <w:sz w:val="17"/>
      <w:szCs w:val="18"/>
    </w:rPr>
  </w:style>
  <w:style w:type="character" w:styleId="Hyperlink">
    <w:name w:val="Hyperlink"/>
    <w:basedOn w:val="DefaultParagraphFont"/>
    <w:uiPriority w:val="99"/>
    <w:unhideWhenUsed/>
    <w:rsid w:val="00E94C20"/>
    <w:rPr>
      <w:color w:val="00A3E0" w:themeColor="hyperlink"/>
      <w:u w:val="single"/>
    </w:rPr>
  </w:style>
  <w:style w:type="paragraph" w:customStyle="1" w:styleId="PulloutGreen">
    <w:name w:val="Pullout Green"/>
    <w:basedOn w:val="PulloutBlue"/>
    <w:next w:val="Normal"/>
    <w:autoRedefine/>
    <w:qFormat/>
    <w:rsid w:val="004E7BDE"/>
    <w:pPr>
      <w:spacing w:line="240" w:lineRule="auto"/>
    </w:pPr>
    <w:rPr>
      <w:color w:val="86BC25" w:themeColor="accent1"/>
    </w:rPr>
  </w:style>
  <w:style w:type="paragraph" w:customStyle="1" w:styleId="QuotesourceBlue">
    <w:name w:val="Quote source Blue"/>
    <w:basedOn w:val="Normal"/>
    <w:next w:val="Normal"/>
    <w:qFormat/>
    <w:rsid w:val="000516C4"/>
    <w:pPr>
      <w:spacing w:line="200" w:lineRule="atLeast"/>
      <w:contextualSpacing/>
    </w:pPr>
    <w:rPr>
      <w:b/>
      <w:color w:val="62B5E5" w:themeColor="accent3"/>
      <w:sz w:val="17"/>
    </w:rPr>
  </w:style>
  <w:style w:type="paragraph" w:customStyle="1" w:styleId="QuotesourceGreen">
    <w:name w:val="Quote source Green"/>
    <w:basedOn w:val="QuotesourceBlue"/>
    <w:next w:val="Normal"/>
    <w:qFormat/>
    <w:rsid w:val="007B4261"/>
    <w:rPr>
      <w:color w:val="86BC25" w:themeColor="accent1"/>
    </w:rPr>
  </w:style>
  <w:style w:type="paragraph" w:customStyle="1" w:styleId="Paneltext">
    <w:name w:val="Panel text"/>
    <w:basedOn w:val="Normal"/>
    <w:qFormat/>
    <w:rsid w:val="00AE0FC7"/>
    <w:rPr>
      <w:color w:val="FFFFFF" w:themeColor="background1"/>
      <w:sz w:val="17"/>
    </w:rPr>
  </w:style>
  <w:style w:type="paragraph" w:customStyle="1" w:styleId="Paneltitle">
    <w:name w:val="Panel title"/>
    <w:basedOn w:val="Paneltext"/>
    <w:next w:val="Paneltext"/>
    <w:qFormat/>
    <w:rsid w:val="00D0023B"/>
    <w:pPr>
      <w:spacing w:line="360" w:lineRule="atLeast"/>
    </w:pPr>
    <w:rPr>
      <w:b/>
      <w:sz w:val="28"/>
    </w:rPr>
  </w:style>
  <w:style w:type="paragraph" w:customStyle="1" w:styleId="Formoreinfocalloutwhite8512ptPullOutStyles">
    <w:name w:val="For more info call out (white 8.5/12pt) (Pull Out Styles)"/>
    <w:basedOn w:val="Normal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al"/>
    <w:qFormat/>
    <w:rsid w:val="006528C9"/>
    <w:pPr>
      <w:spacing w:line="440" w:lineRule="atLeast"/>
    </w:pPr>
    <w:rPr>
      <w:sz w:val="36"/>
    </w:rPr>
  </w:style>
  <w:style w:type="paragraph" w:customStyle="1" w:styleId="Contentstitle">
    <w:name w:val="Contents title"/>
    <w:basedOn w:val="Sectiontitle"/>
    <w:next w:val="Normal"/>
    <w:autoRedefine/>
    <w:qFormat/>
    <w:rsid w:val="00244010"/>
  </w:style>
  <w:style w:type="paragraph" w:styleId="TOC1">
    <w:name w:val="toc 1"/>
    <w:basedOn w:val="Normal"/>
    <w:next w:val="Normal"/>
    <w:autoRedefine/>
    <w:uiPriority w:val="39"/>
    <w:rsid w:val="00DC7AC4"/>
    <w:pPr>
      <w:spacing w:line="360" w:lineRule="atLeast"/>
      <w:ind w:right="84"/>
    </w:pPr>
    <w:rPr>
      <w:sz w:val="28"/>
    </w:rPr>
  </w:style>
  <w:style w:type="paragraph" w:customStyle="1" w:styleId="Quotetext">
    <w:name w:val="Quote text"/>
    <w:basedOn w:val="PulloutBlue"/>
    <w:autoRedefine/>
    <w:qFormat/>
    <w:rsid w:val="00A70055"/>
    <w:pPr>
      <w:spacing w:line="240" w:lineRule="auto"/>
    </w:pPr>
    <w:rPr>
      <w:color w:val="FFFFFF" w:themeColor="background1"/>
      <w:sz w:val="18"/>
    </w:rPr>
  </w:style>
  <w:style w:type="paragraph" w:customStyle="1" w:styleId="Legaltext">
    <w:name w:val="Legal text"/>
    <w:basedOn w:val="Normal"/>
    <w:qFormat/>
    <w:rsid w:val="00BF6F8B"/>
    <w:pPr>
      <w:spacing w:line="180" w:lineRule="atLeast"/>
      <w:ind w:right="5387"/>
    </w:pPr>
    <w:rPr>
      <w:sz w:val="14"/>
    </w:rPr>
  </w:style>
  <w:style w:type="table" w:customStyle="1" w:styleId="Deloittetable">
    <w:name w:val="Deloitte table"/>
    <w:basedOn w:val="TableNormal"/>
    <w:uiPriority w:val="99"/>
    <w:rsid w:val="003B3379"/>
    <w:pPr>
      <w:spacing w:after="0" w:line="240" w:lineRule="auto"/>
    </w:pPr>
    <w:rPr>
      <w:sz w:val="17"/>
    </w:rPr>
    <w:tblPr>
      <w:tblBorders>
        <w:top w:val="single" w:sz="4" w:space="0" w:color="62B5E5" w:themeColor="accent3"/>
        <w:bottom w:val="single" w:sz="4" w:space="0" w:color="000000" w:themeColor="text1"/>
        <w:insideH w:val="single" w:sz="4" w:space="0" w:color="000000" w:themeColor="tex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62B5E5" w:themeColor="accent3"/>
        </w:tcBorders>
      </w:tcPr>
    </w:tblStylePr>
  </w:style>
  <w:style w:type="paragraph" w:customStyle="1" w:styleId="Tabletext">
    <w:name w:val="Table text"/>
    <w:basedOn w:val="Normal"/>
    <w:qFormat/>
    <w:rsid w:val="004D1F57"/>
    <w:pPr>
      <w:spacing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62B5E5" w:themeColor="accent3"/>
    </w:rPr>
  </w:style>
  <w:style w:type="paragraph" w:customStyle="1" w:styleId="SourcetextTableorChart">
    <w:name w:val="Source text Table or Chart"/>
    <w:basedOn w:val="Caption"/>
    <w:next w:val="Normal"/>
    <w:qFormat/>
    <w:rsid w:val="003B3379"/>
    <w:rPr>
      <w:sz w:val="14"/>
    </w:rPr>
  </w:style>
  <w:style w:type="paragraph" w:customStyle="1" w:styleId="Tablebullets">
    <w:name w:val="Table bullets"/>
    <w:basedOn w:val="Tabletext"/>
    <w:qFormat/>
    <w:rsid w:val="00DB4410"/>
    <w:pPr>
      <w:framePr w:hSpace="180" w:wrap="around" w:vAnchor="text" w:hAnchor="text" w:y="1"/>
      <w:numPr>
        <w:numId w:val="5"/>
      </w:numPr>
      <w:ind w:left="284" w:hanging="284"/>
      <w:suppressOverlap/>
    </w:pPr>
  </w:style>
  <w:style w:type="paragraph" w:customStyle="1" w:styleId="Tablenumbered">
    <w:name w:val="Table numbered"/>
    <w:basedOn w:val="Tabletext"/>
    <w:qFormat/>
    <w:rsid w:val="00DB4410"/>
    <w:pPr>
      <w:framePr w:hSpace="180" w:wrap="around" w:vAnchor="text" w:hAnchor="text" w:y="1"/>
      <w:numPr>
        <w:numId w:val="6"/>
      </w:numPr>
      <w:ind w:left="284" w:hanging="284"/>
      <w:suppressOverlap/>
    </w:pPr>
  </w:style>
  <w:style w:type="paragraph" w:customStyle="1" w:styleId="Charttitle">
    <w:name w:val="Chart title"/>
    <w:basedOn w:val="Heading2"/>
    <w:qFormat/>
    <w:rsid w:val="009E24F0"/>
    <w:pPr>
      <w:framePr w:hSpace="181" w:wrap="around" w:vAnchor="text" w:hAnchor="text" w:y="1"/>
      <w:suppressOverlap/>
    </w:pPr>
  </w:style>
  <w:style w:type="table" w:customStyle="1" w:styleId="Style1">
    <w:name w:val="Style1"/>
    <w:basedOn w:val="TableNormal"/>
    <w:rsid w:val="008F3793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/>
  </w:style>
  <w:style w:type="paragraph" w:styleId="ListParagraph">
    <w:name w:val="List Paragraph"/>
    <w:aliases w:val="body,Odsek zoznamu2,A-Odrážky1,Odstavec_muj,Nad,_Odstavec se seznamem,Odstavec_muj1,Odstavec_muj2,Odstavec_muj3,Nad1,Odstavec_muj4,Nad2,List Paragraph2,Odstavec_muj5,Odstavec_muj6,Odstavec_muj7,Odstavec_muj8,Odstavec_muj9,List Paragraph1"/>
    <w:basedOn w:val="Normal"/>
    <w:link w:val="ListParagraphChar"/>
    <w:uiPriority w:val="34"/>
    <w:qFormat/>
    <w:rsid w:val="00B0035E"/>
    <w:rPr>
      <w:rFonts w:ascii="Verdana" w:eastAsia="Times New Roman" w:hAnsi="Verdana" w:cs="Times New Roman"/>
      <w:szCs w:val="24"/>
      <w:lang w:eastAsia="sk-SK"/>
    </w:rPr>
  </w:style>
  <w:style w:type="table" w:customStyle="1" w:styleId="Svetlzoznamzvraznenie11">
    <w:name w:val="Svetlý zoznam – zvýraznenie 11"/>
    <w:basedOn w:val="TableNormal"/>
    <w:uiPriority w:val="61"/>
    <w:rsid w:val="00F32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band1Horz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</w:style>
  <w:style w:type="paragraph" w:customStyle="1" w:styleId="06Normal">
    <w:name w:val="06_Normal"/>
    <w:link w:val="06NormalChar"/>
    <w:qFormat/>
    <w:rsid w:val="00F846E1"/>
    <w:pPr>
      <w:spacing w:before="120" w:after="120" w:line="288" w:lineRule="auto"/>
      <w:jc w:val="both"/>
    </w:pPr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06NormalChar">
    <w:name w:val="06_Normal Char"/>
    <w:link w:val="06Normal"/>
    <w:rsid w:val="00F846E1"/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ListParagraphChar">
    <w:name w:val="List Paragraph Char"/>
    <w:aliases w:val="body Char,Odsek zoznamu2 Char,A-Odrážky1 Char,Odstavec_muj Char,Nad Char,_Odstavec se seznamem Char,Odstavec_muj1 Char,Odstavec_muj2 Char,Odstavec_muj3 Char,Nad1 Char,Odstavec_muj4 Char,Nad2 Char,List Paragraph2 Char"/>
    <w:basedOn w:val="DefaultParagraphFont"/>
    <w:link w:val="ListParagraph"/>
    <w:uiPriority w:val="34"/>
    <w:qFormat/>
    <w:rsid w:val="00B0035E"/>
    <w:rPr>
      <w:rFonts w:ascii="Verdana" w:eastAsia="Times New Roman" w:hAnsi="Verdana" w:cs="Times New Roman"/>
      <w:sz w:val="18"/>
      <w:szCs w:val="24"/>
      <w:lang w:val="sk-SK" w:eastAsia="sk-SK"/>
    </w:rPr>
  </w:style>
  <w:style w:type="table" w:styleId="ListTable3-Accent1">
    <w:name w:val="List Table 3 Accent 1"/>
    <w:basedOn w:val="TableNormal"/>
    <w:uiPriority w:val="48"/>
    <w:rsid w:val="00F50048"/>
    <w:pPr>
      <w:spacing w:after="0" w:line="240" w:lineRule="auto"/>
    </w:pPr>
    <w:rPr>
      <w:rFonts w:ascii="Verdana" w:eastAsia="Verdana" w:hAnsi="Verdana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86BC25" w:themeColor="accent1"/>
        <w:left w:val="single" w:sz="4" w:space="0" w:color="86BC25" w:themeColor="accent1"/>
        <w:bottom w:val="single" w:sz="4" w:space="0" w:color="86BC25" w:themeColor="accent1"/>
        <w:right w:val="single" w:sz="4" w:space="0" w:color="86BC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rPr>
        <w:b/>
        <w:bCs/>
      </w:rPr>
      <w:tblPr/>
      <w:tcPr>
        <w:tcBorders>
          <w:top w:val="double" w:sz="4" w:space="0" w:color="86BC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BC25" w:themeColor="accent1"/>
          <w:right w:val="single" w:sz="4" w:space="0" w:color="86BC25" w:themeColor="accent1"/>
        </w:tcBorders>
      </w:tcPr>
    </w:tblStylePr>
    <w:tblStylePr w:type="band1Horz">
      <w:tblPr/>
      <w:tcPr>
        <w:tcBorders>
          <w:top w:val="single" w:sz="4" w:space="0" w:color="86BC25" w:themeColor="accent1"/>
          <w:bottom w:val="single" w:sz="4" w:space="0" w:color="86BC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BC25" w:themeColor="accent1"/>
          <w:left w:val="nil"/>
        </w:tcBorders>
      </w:tcPr>
    </w:tblStylePr>
    <w:tblStylePr w:type="swCell">
      <w:tblPr/>
      <w:tcPr>
        <w:tcBorders>
          <w:top w:val="double" w:sz="4" w:space="0" w:color="86BC25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50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0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0048"/>
    <w:rPr>
      <w:sz w:val="20"/>
      <w:szCs w:val="20"/>
      <w:lang w:val="en-US"/>
    </w:rPr>
  </w:style>
  <w:style w:type="paragraph" w:customStyle="1" w:styleId="Style30">
    <w:name w:val="Style30"/>
    <w:basedOn w:val="Normal"/>
    <w:uiPriority w:val="99"/>
    <w:rsid w:val="00F5004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3"/>
      <w:szCs w:val="24"/>
      <w:lang w:eastAsia="sk-SK"/>
    </w:rPr>
  </w:style>
  <w:style w:type="table" w:styleId="GridTable1Light-Accent1">
    <w:name w:val="Grid Table 1 Light Accent 1"/>
    <w:basedOn w:val="TableNormal"/>
    <w:uiPriority w:val="46"/>
    <w:rsid w:val="00F41009"/>
    <w:pPr>
      <w:spacing w:after="0" w:line="240" w:lineRule="auto"/>
    </w:pPr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F410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426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ectiontitleChar">
    <w:name w:val="Section title Char"/>
    <w:basedOn w:val="DefaultParagraphFont"/>
    <w:link w:val="Sectiontitle"/>
    <w:rsid w:val="000A39BD"/>
    <w:rPr>
      <w:sz w:val="6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6A1"/>
    <w:rPr>
      <w:b/>
      <w:bCs/>
      <w:sz w:val="20"/>
      <w:szCs w:val="20"/>
      <w:lang w:val="sk-SK"/>
    </w:rPr>
  </w:style>
  <w:style w:type="paragraph" w:styleId="TableofFigures">
    <w:name w:val="table of figures"/>
    <w:basedOn w:val="Normal"/>
    <w:next w:val="Normal"/>
    <w:uiPriority w:val="99"/>
    <w:unhideWhenUsed/>
    <w:rsid w:val="00BB0829"/>
    <w:pPr>
      <w:spacing w:after="0"/>
    </w:pPr>
  </w:style>
  <w:style w:type="paragraph" w:styleId="TOCHeading">
    <w:name w:val="TOC Heading"/>
    <w:basedOn w:val="Heading1"/>
    <w:next w:val="Normal"/>
    <w:uiPriority w:val="39"/>
    <w:unhideWhenUsed/>
    <w:qFormat/>
    <w:rsid w:val="006C392F"/>
    <w:pPr>
      <w:spacing w:after="0" w:line="259" w:lineRule="auto"/>
      <w:jc w:val="left"/>
      <w:outlineLvl w:val="9"/>
    </w:pPr>
    <w:rPr>
      <w:b w:val="0"/>
      <w:bCs w:val="0"/>
      <w:color w:val="638C1B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C392F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rsid w:val="00B57491"/>
    <w:pPr>
      <w:spacing w:before="0" w:after="100" w:line="259" w:lineRule="auto"/>
      <w:ind w:left="440"/>
      <w:jc w:val="left"/>
    </w:pPr>
    <w:rPr>
      <w:rFonts w:eastAsiaTheme="minorEastAsia" w:cs="Times New Roman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5F15"/>
    <w:rPr>
      <w:color w:val="53565A" w:themeColor="followedHyperlink"/>
      <w:u w:val="single"/>
    </w:rPr>
  </w:style>
  <w:style w:type="table" w:styleId="ListTable3-Accent6">
    <w:name w:val="List Table 3 Accent 6"/>
    <w:basedOn w:val="TableNormal"/>
    <w:uiPriority w:val="48"/>
    <w:rsid w:val="006E008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5787B" w:themeColor="accent6"/>
        <w:left w:val="single" w:sz="4" w:space="0" w:color="75787B" w:themeColor="accent6"/>
        <w:bottom w:val="single" w:sz="4" w:space="0" w:color="75787B" w:themeColor="accent6"/>
        <w:right w:val="single" w:sz="4" w:space="0" w:color="75787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5787B" w:themeFill="accent6"/>
      </w:tcPr>
    </w:tblStylePr>
    <w:tblStylePr w:type="lastRow">
      <w:rPr>
        <w:b/>
        <w:bCs/>
      </w:rPr>
      <w:tblPr/>
      <w:tcPr>
        <w:tcBorders>
          <w:top w:val="double" w:sz="4" w:space="0" w:color="75787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787B" w:themeColor="accent6"/>
          <w:right w:val="single" w:sz="4" w:space="0" w:color="75787B" w:themeColor="accent6"/>
        </w:tcBorders>
      </w:tcPr>
    </w:tblStylePr>
    <w:tblStylePr w:type="band1Horz">
      <w:tblPr/>
      <w:tcPr>
        <w:tcBorders>
          <w:top w:val="single" w:sz="4" w:space="0" w:color="75787B" w:themeColor="accent6"/>
          <w:bottom w:val="single" w:sz="4" w:space="0" w:color="75787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787B" w:themeColor="accent6"/>
          <w:left w:val="nil"/>
        </w:tcBorders>
      </w:tcPr>
    </w:tblStylePr>
    <w:tblStylePr w:type="swCell">
      <w:tblPr/>
      <w:tcPr>
        <w:tcBorders>
          <w:top w:val="double" w:sz="4" w:space="0" w:color="75787B" w:themeColor="accent6"/>
          <w:right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981061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061"/>
    <w:rPr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981061"/>
    <w:rPr>
      <w:vertAlign w:val="superscript"/>
    </w:rPr>
  </w:style>
  <w:style w:type="paragraph" w:styleId="Revision">
    <w:name w:val="Revision"/>
    <w:hidden/>
    <w:uiPriority w:val="99"/>
    <w:semiHidden/>
    <w:rsid w:val="00576E93"/>
    <w:pPr>
      <w:spacing w:after="0" w:line="240" w:lineRule="auto"/>
    </w:pPr>
    <w:rPr>
      <w:sz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84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eloitte colors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046A38"/>
      </a:accent2>
      <a:accent3>
        <a:srgbClr val="62B5E5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53565A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B0FAD-16BF-4ED3-9441-0390859CE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Proposal_A4_3col</vt:lpstr>
    </vt:vector>
  </TitlesOfParts>
  <Company/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Proposal_A4_3col</dc:title>
  <dc:subject/>
  <dc:creator>Katerina Slovakova Filipkova</dc:creator>
  <cp:keywords/>
  <dc:description/>
  <cp:lastModifiedBy>Slovakova Filipkova, Katerina</cp:lastModifiedBy>
  <cp:revision>4</cp:revision>
  <cp:lastPrinted>2019-06-27T12:48:00Z</cp:lastPrinted>
  <dcterms:created xsi:type="dcterms:W3CDTF">2019-06-05T14:13:00Z</dcterms:created>
  <dcterms:modified xsi:type="dcterms:W3CDTF">2019-06-27T12:48:00Z</dcterms:modified>
</cp:coreProperties>
</file>