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60E9E" w14:textId="6DECB02A" w:rsidR="00A947AC" w:rsidRPr="00DD6590" w:rsidRDefault="00A947AC" w:rsidP="00A947AC">
      <w:pPr>
        <w:pStyle w:val="Heading1"/>
      </w:pPr>
      <w:bookmarkStart w:id="0" w:name="_Toc9350278"/>
      <w:bookmarkStart w:id="1" w:name="_Toc1132682"/>
      <w:r w:rsidRPr="00DD6590">
        <w:t xml:space="preserve">Prioritná os </w:t>
      </w:r>
      <w:r w:rsidR="00A4659B" w:rsidRPr="00DD6590">
        <w:t>5</w:t>
      </w:r>
      <w:r w:rsidRPr="00DD6590">
        <w:t xml:space="preserve"> – </w:t>
      </w:r>
      <w:r w:rsidR="00A4659B" w:rsidRPr="00DD6590">
        <w:t>Železničná infraštruktúra</w:t>
      </w:r>
      <w:bookmarkEnd w:id="0"/>
    </w:p>
    <w:p w14:paraId="0C6B94D9" w14:textId="166C29BB" w:rsidR="00A40396" w:rsidRPr="00DD6590" w:rsidRDefault="000709B9" w:rsidP="00A947AC">
      <w:pPr>
        <w:rPr>
          <w:szCs w:val="18"/>
        </w:rPr>
      </w:pPr>
      <w:r w:rsidRPr="00DD6590">
        <w:rPr>
          <w:szCs w:val="18"/>
        </w:rPr>
        <w:t xml:space="preserve">Železničnú infraštruktúru na Slovensku možno charakterizovať dostatočnou hustotou siete, ale jej technické parametre nie sú v súlade so súčasnými európskymi štandardami, ktoré obmedzujú </w:t>
      </w:r>
      <w:proofErr w:type="spellStart"/>
      <w:r w:rsidRPr="00DD6590">
        <w:rPr>
          <w:szCs w:val="18"/>
        </w:rPr>
        <w:t>interoperabilitu</w:t>
      </w:r>
      <w:proofErr w:type="spellEnd"/>
      <w:r w:rsidRPr="00DD6590">
        <w:rPr>
          <w:szCs w:val="18"/>
        </w:rPr>
        <w:t xml:space="preserve"> siete, negatívne vplývajú na životné prostredie a z pohľadu verejnej osobnej dopravy znižujú jej atraktivitu nízkym komfortom pre cestujúcich. </w:t>
      </w:r>
      <w:r w:rsidR="00ED16A5">
        <w:rPr>
          <w:szCs w:val="18"/>
        </w:rPr>
        <w:t>T</w:t>
      </w:r>
      <w:r w:rsidRPr="00DD6590">
        <w:rPr>
          <w:szCs w:val="18"/>
        </w:rPr>
        <w:t xml:space="preserve">iež </w:t>
      </w:r>
      <w:r w:rsidR="00700B8E">
        <w:rPr>
          <w:szCs w:val="18"/>
        </w:rPr>
        <w:t>je potrebné</w:t>
      </w:r>
      <w:r w:rsidR="00700B8E" w:rsidRPr="00DD6590">
        <w:rPr>
          <w:szCs w:val="18"/>
        </w:rPr>
        <w:t xml:space="preserve"> </w:t>
      </w:r>
      <w:r w:rsidRPr="00DD6590">
        <w:rPr>
          <w:szCs w:val="18"/>
        </w:rPr>
        <w:t>podotknúť</w:t>
      </w:r>
      <w:r w:rsidR="00ED16A5">
        <w:rPr>
          <w:szCs w:val="18"/>
        </w:rPr>
        <w:t>,</w:t>
      </w:r>
      <w:r w:rsidRPr="00DD6590">
        <w:rPr>
          <w:szCs w:val="18"/>
        </w:rPr>
        <w:t xml:space="preserve"> že súčasná železničná infraštruktúra je technicky a technologicky značne zastaraná, nespĺňa rastúce kvalitatívne požiadavky kladené na železničnú dopravu, technické špecifikácie </w:t>
      </w:r>
      <w:proofErr w:type="spellStart"/>
      <w:r w:rsidRPr="00DD6590">
        <w:rPr>
          <w:szCs w:val="18"/>
        </w:rPr>
        <w:t>interoperability</w:t>
      </w:r>
      <w:proofErr w:type="spellEnd"/>
      <w:r w:rsidRPr="00DD6590">
        <w:rPr>
          <w:szCs w:val="18"/>
        </w:rPr>
        <w:t xml:space="preserve"> a príslušné vyhlášky UIC, čo obmedzuje začlenenie do európskeho železničného systému a prispieva k pokračujúcemu poklesu podielu železníc na dopravnom trhu v prospech rastu cestnej dopravy.</w:t>
      </w:r>
      <w:r w:rsidR="00035845" w:rsidRPr="00DD6590">
        <w:rPr>
          <w:szCs w:val="18"/>
        </w:rPr>
        <w:t xml:space="preserve"> OPII v súlade so Strategickým plánom </w:t>
      </w:r>
      <w:r w:rsidR="0098596A" w:rsidRPr="00DD6590">
        <w:rPr>
          <w:szCs w:val="18"/>
        </w:rPr>
        <w:t xml:space="preserve">kladie dôraz na potrebu modernizácie najmä úsekov, na ktorých je vysoký dopyt po železničnej osobnej alebo nákladnej doprave.  </w:t>
      </w:r>
    </w:p>
    <w:p w14:paraId="163A0D52" w14:textId="377A3926" w:rsidR="00A947AC" w:rsidRPr="00DD6590" w:rsidRDefault="00350A24" w:rsidP="00A947AC">
      <w:pPr>
        <w:rPr>
          <w:szCs w:val="18"/>
        </w:rPr>
      </w:pPr>
      <w:r w:rsidRPr="00DD6590">
        <w:rPr>
          <w:szCs w:val="18"/>
        </w:rPr>
        <w:t>V rámci prioritnej osi 5 boli stanovené</w:t>
      </w:r>
      <w:r w:rsidR="00A947AC" w:rsidRPr="00DD6590">
        <w:rPr>
          <w:szCs w:val="18"/>
        </w:rPr>
        <w:t xml:space="preserve"> dva špecifické ciele:</w:t>
      </w:r>
    </w:p>
    <w:p w14:paraId="4C1DB704" w14:textId="77777777" w:rsidR="00A4659B" w:rsidRPr="00DD6590" w:rsidRDefault="00A4659B" w:rsidP="003E761D">
      <w:pPr>
        <w:pStyle w:val="ListParagraph"/>
        <w:numPr>
          <w:ilvl w:val="1"/>
          <w:numId w:val="25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Odstránenie kľúčových úzkych miest na železničnej infraštruktúre prostredníctvom modernizácie a rozvoja železničných tratí a súvisiacich objektov dopravne významných z hľadiska medzinárodnej a vnútroštátne prepravy</w:t>
      </w:r>
    </w:p>
    <w:p w14:paraId="2B02DF15" w14:textId="77777777" w:rsidR="00A947AC" w:rsidRPr="00DD6590" w:rsidRDefault="002B13EC" w:rsidP="003E761D">
      <w:pPr>
        <w:pStyle w:val="ListParagraph"/>
        <w:numPr>
          <w:ilvl w:val="1"/>
          <w:numId w:val="25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Zlepšenie technických podmienok pre prevádzku medzinárodnej železničnej dopravy prostredníctvom implementácie vybraných prvkov TSI na najdôležitejších tratiach pre medzinárodnú dopravu</w:t>
      </w:r>
    </w:p>
    <w:p w14:paraId="2834FF2C" w14:textId="446B5194" w:rsidR="00A947AC" w:rsidRPr="00DD6590" w:rsidRDefault="00A947AC" w:rsidP="00A947AC">
      <w:pPr>
        <w:rPr>
          <w:szCs w:val="18"/>
        </w:rPr>
      </w:pPr>
      <w:r w:rsidRPr="00DD6590">
        <w:rPr>
          <w:szCs w:val="18"/>
        </w:rPr>
        <w:t>Na úrovni PO</w:t>
      </w:r>
      <w:r w:rsidR="002B13EC" w:rsidRPr="00DD6590">
        <w:rPr>
          <w:szCs w:val="18"/>
        </w:rPr>
        <w:t>5</w:t>
      </w:r>
      <w:r w:rsidRPr="00DD6590">
        <w:rPr>
          <w:szCs w:val="18"/>
        </w:rPr>
        <w:t xml:space="preserve"> je stanovený výkonnostný rámec nasledovne:</w:t>
      </w:r>
    </w:p>
    <w:p w14:paraId="142E0CF5" w14:textId="5C3FE994" w:rsidR="00BB0829" w:rsidRPr="00DD6590" w:rsidRDefault="00BB0829" w:rsidP="00BB0829">
      <w:pPr>
        <w:pStyle w:val="Caption"/>
      </w:pPr>
      <w:bookmarkStart w:id="2" w:name="_Toc8805484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1</w:t>
      </w:r>
      <w:r w:rsidRPr="00DD6590">
        <w:fldChar w:fldCharType="end"/>
      </w:r>
      <w:r w:rsidRPr="00DD6590">
        <w:t xml:space="preserve"> Výkonnostný rámec PO5</w:t>
      </w:r>
      <w:bookmarkEnd w:id="2"/>
      <w:r w:rsidRPr="00DD6590">
        <w:t xml:space="preserve"> </w:t>
      </w:r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04"/>
        <w:gridCol w:w="2577"/>
        <w:gridCol w:w="1184"/>
        <w:gridCol w:w="1768"/>
        <w:gridCol w:w="1741"/>
      </w:tblGrid>
      <w:tr w:rsidR="00A947AC" w:rsidRPr="00DD6590" w14:paraId="0F607061" w14:textId="77777777" w:rsidTr="00BB0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45B3E1E7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Typ ukazovateľa</w:t>
            </w:r>
          </w:p>
        </w:tc>
        <w:tc>
          <w:tcPr>
            <w:tcW w:w="2577" w:type="dxa"/>
          </w:tcPr>
          <w:p w14:paraId="20EE3F06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1184" w:type="dxa"/>
          </w:tcPr>
          <w:p w14:paraId="6EF4966E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768" w:type="dxa"/>
          </w:tcPr>
          <w:p w14:paraId="383BDE37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Čiastkový cieľ pre rok 2018</w:t>
            </w:r>
          </w:p>
        </w:tc>
        <w:tc>
          <w:tcPr>
            <w:tcW w:w="1741" w:type="dxa"/>
          </w:tcPr>
          <w:p w14:paraId="6BC8BF51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(2023)</w:t>
            </w:r>
          </w:p>
        </w:tc>
      </w:tr>
      <w:tr w:rsidR="00A947AC" w:rsidRPr="00DD6590" w14:paraId="5B729257" w14:textId="77777777" w:rsidTr="00BB0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01C3E6B9" w14:textId="77777777" w:rsidR="00A947AC" w:rsidRPr="00DD6590" w:rsidRDefault="00A947AC" w:rsidP="00C32525">
            <w:pPr>
              <w:spacing w:before="60" w:after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Finančný ukazovateľ</w:t>
            </w:r>
          </w:p>
        </w:tc>
        <w:tc>
          <w:tcPr>
            <w:tcW w:w="2577" w:type="dxa"/>
          </w:tcPr>
          <w:p w14:paraId="5377047F" w14:textId="77777777" w:rsidR="00A947AC" w:rsidRPr="00DD6590" w:rsidRDefault="00A947A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184" w:type="dxa"/>
          </w:tcPr>
          <w:p w14:paraId="17F46C4F" w14:textId="77777777" w:rsidR="00A947AC" w:rsidRPr="00DD6590" w:rsidRDefault="00A947A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768" w:type="dxa"/>
          </w:tcPr>
          <w:p w14:paraId="16EBD9F5" w14:textId="77777777" w:rsidR="00A947A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99 611 375</w:t>
            </w:r>
          </w:p>
        </w:tc>
        <w:tc>
          <w:tcPr>
            <w:tcW w:w="1741" w:type="dxa"/>
          </w:tcPr>
          <w:p w14:paraId="71155BE0" w14:textId="77777777" w:rsidR="00A947A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332 037 915</w:t>
            </w:r>
          </w:p>
        </w:tc>
      </w:tr>
      <w:tr w:rsidR="00A947AC" w:rsidRPr="00DD6590" w14:paraId="08665C01" w14:textId="77777777" w:rsidTr="00BB0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5564F815" w14:textId="77777777" w:rsidR="00A947AC" w:rsidRPr="00DD6590" w:rsidRDefault="00A947AC" w:rsidP="00C32525">
            <w:pPr>
              <w:spacing w:before="60" w:after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577" w:type="dxa"/>
          </w:tcPr>
          <w:p w14:paraId="1D8E2DB9" w14:textId="1DDE4448" w:rsidR="00A947AC" w:rsidRPr="00DD6590" w:rsidRDefault="00A947AC" w:rsidP="0024491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dĺžka </w:t>
            </w:r>
            <w:r w:rsidR="002B13EC" w:rsidRPr="00DD6590">
              <w:rPr>
                <w:rFonts w:asciiTheme="minorHAnsi" w:hAnsiTheme="minorHAnsi"/>
                <w:sz w:val="16"/>
                <w:szCs w:val="16"/>
              </w:rPr>
              <w:t>rekonštruovanej aleb</w:t>
            </w:r>
            <w:r w:rsidR="00CC1C20" w:rsidRPr="00DD6590">
              <w:rPr>
                <w:rFonts w:asciiTheme="minorHAnsi" w:hAnsiTheme="minorHAnsi"/>
                <w:sz w:val="16"/>
                <w:szCs w:val="16"/>
              </w:rPr>
              <w:t xml:space="preserve">o zrenovovanej železničnej </w:t>
            </w:r>
            <w:r w:rsidR="00244915" w:rsidRPr="00DD6590">
              <w:rPr>
                <w:rFonts w:asciiTheme="minorHAnsi" w:hAnsiTheme="minorHAnsi"/>
                <w:sz w:val="16"/>
                <w:szCs w:val="16"/>
              </w:rPr>
              <w:t>trate</w:t>
            </w:r>
          </w:p>
        </w:tc>
        <w:tc>
          <w:tcPr>
            <w:tcW w:w="1184" w:type="dxa"/>
          </w:tcPr>
          <w:p w14:paraId="727CE1DA" w14:textId="77777777" w:rsidR="00A947AC" w:rsidRPr="00DD6590" w:rsidRDefault="00A947AC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768" w:type="dxa"/>
          </w:tcPr>
          <w:p w14:paraId="3BF16B9F" w14:textId="77777777" w:rsidR="00A947AC" w:rsidRPr="00DD6590" w:rsidRDefault="002B13EC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54,5</w:t>
            </w:r>
          </w:p>
        </w:tc>
        <w:tc>
          <w:tcPr>
            <w:tcW w:w="1741" w:type="dxa"/>
          </w:tcPr>
          <w:p w14:paraId="37BA7D51" w14:textId="77777777" w:rsidR="00A947AC" w:rsidRPr="00DD6590" w:rsidRDefault="002B13EC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54,5</w:t>
            </w:r>
          </w:p>
        </w:tc>
      </w:tr>
      <w:tr w:rsidR="002B13EC" w:rsidRPr="00DD6590" w14:paraId="24236FCD" w14:textId="77777777" w:rsidTr="00BB0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59E44217" w14:textId="77777777" w:rsidR="002B13EC" w:rsidRPr="00DD6590" w:rsidRDefault="002B13EC" w:rsidP="00C32525">
            <w:pPr>
              <w:spacing w:before="60" w:after="0" w:line="240" w:lineRule="auto"/>
              <w:jc w:val="left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577" w:type="dxa"/>
          </w:tcPr>
          <w:p w14:paraId="24C8613F" w14:textId="77777777" w:rsidR="002B13E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Počet lokalít s odstránením environmentálnej záťaže spôsobenej prevádzkou železničnej dopravy</w:t>
            </w:r>
          </w:p>
        </w:tc>
        <w:tc>
          <w:tcPr>
            <w:tcW w:w="1184" w:type="dxa"/>
          </w:tcPr>
          <w:p w14:paraId="36476F26" w14:textId="77777777" w:rsidR="002B13E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počet</w:t>
            </w:r>
          </w:p>
        </w:tc>
        <w:tc>
          <w:tcPr>
            <w:tcW w:w="1768" w:type="dxa"/>
          </w:tcPr>
          <w:p w14:paraId="6D7FE6A9" w14:textId="77777777" w:rsidR="002B13E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1741" w:type="dxa"/>
          </w:tcPr>
          <w:p w14:paraId="5EC0C3C6" w14:textId="77777777" w:rsidR="002B13EC" w:rsidRPr="00DD6590" w:rsidRDefault="002B13E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</w:tr>
    </w:tbl>
    <w:p w14:paraId="7E84E263" w14:textId="77777777" w:rsidR="00DC7AC4" w:rsidRPr="00DD6590" w:rsidRDefault="00887A0C" w:rsidP="00B0035E">
      <w:pPr>
        <w:pStyle w:val="Heading2"/>
      </w:pPr>
      <w:bookmarkStart w:id="3" w:name="_Toc9350279"/>
      <w:r w:rsidRPr="00DD6590">
        <w:t>Špecifický cieľ 5</w:t>
      </w:r>
      <w:r w:rsidR="00A947AC" w:rsidRPr="00DD6590">
        <w:t>.1</w:t>
      </w:r>
      <w:bookmarkEnd w:id="3"/>
      <w:r w:rsidR="00A947AC" w:rsidRPr="00DD6590">
        <w:t xml:space="preserve"> </w:t>
      </w:r>
    </w:p>
    <w:p w14:paraId="4AEDE4C7" w14:textId="77777777" w:rsidR="00A947AC" w:rsidRPr="00DD6590" w:rsidRDefault="00DC7AC4" w:rsidP="00132576">
      <w:pPr>
        <w:spacing w:before="0" w:after="0"/>
        <w:rPr>
          <w:b/>
        </w:rPr>
      </w:pPr>
      <w:r w:rsidRPr="00DD6590">
        <w:rPr>
          <w:b/>
        </w:rPr>
        <w:t>O</w:t>
      </w:r>
      <w:r w:rsidR="00887A0C" w:rsidRPr="00DD6590">
        <w:rPr>
          <w:b/>
        </w:rPr>
        <w:t>dstránenie kľúčových úzkych miest na železničnej infraštruktúre prostredníctvom modernizácie a rozvoja železničných tratí a súvisiacich objektov dopravne významných z hľadiska medzinárodnej a vnútroštátnej dopravy</w:t>
      </w:r>
    </w:p>
    <w:p w14:paraId="236E8707" w14:textId="72EE38BF" w:rsidR="00A947AC" w:rsidRPr="00DD6590" w:rsidRDefault="00926C2B" w:rsidP="00A947AC">
      <w:pPr>
        <w:rPr>
          <w:szCs w:val="18"/>
        </w:rPr>
      </w:pPr>
      <w:r w:rsidRPr="00DD6590">
        <w:rPr>
          <w:szCs w:val="18"/>
        </w:rPr>
        <w:t>Očakávanými v</w:t>
      </w:r>
      <w:r w:rsidR="00887A0C" w:rsidRPr="00DD6590">
        <w:rPr>
          <w:szCs w:val="18"/>
        </w:rPr>
        <w:t>ýsledkami implementácie ŠC 5</w:t>
      </w:r>
      <w:r w:rsidR="00A947AC" w:rsidRPr="00DD6590">
        <w:rPr>
          <w:szCs w:val="18"/>
        </w:rPr>
        <w:t>.1 sú:</w:t>
      </w:r>
    </w:p>
    <w:p w14:paraId="623EDE20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zlepšenie technických parametrov železničnej infraštruktúry vo vybraných úsekoch,</w:t>
      </w:r>
    </w:p>
    <w:p w14:paraId="20DC4F83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odstránenie kľúčových úzkych miest na železničnej infraštruktúre,</w:t>
      </w:r>
    </w:p>
    <w:p w14:paraId="3EE31EEB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podielu elektrifikovaných tratí,</w:t>
      </w:r>
    </w:p>
    <w:p w14:paraId="2A25FE68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počtu úmrtí na železničných priecestiach,</w:t>
      </w:r>
    </w:p>
    <w:p w14:paraId="0E9D97E1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lastRenderedPageBreak/>
        <w:t>zníženie negatívnych vplyvov na životné prostredie (zníženie hlukovej záťaže a emisií CO</w:t>
      </w:r>
      <w:r w:rsidRPr="0066553B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>, NO</w:t>
      </w:r>
      <w:r w:rsidRPr="0066553B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 xml:space="preserve"> a PM</w:t>
      </w:r>
      <w:r w:rsidRPr="0066553B">
        <w:rPr>
          <w:rFonts w:asciiTheme="majorHAnsi" w:hAnsiTheme="majorHAnsi"/>
          <w:szCs w:val="18"/>
          <w:vertAlign w:val="subscript"/>
        </w:rPr>
        <w:t>10</w:t>
      </w:r>
      <w:r w:rsidRPr="00DD6590">
        <w:rPr>
          <w:rFonts w:asciiTheme="majorHAnsi" w:hAnsiTheme="majorHAnsi"/>
          <w:szCs w:val="18"/>
        </w:rPr>
        <w:t>),</w:t>
      </w:r>
    </w:p>
    <w:p w14:paraId="4ED839C6" w14:textId="4E89AE12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komfortu pre koncových užívateľov a tým atraktivity železničnej dopravy v regiónoch,</w:t>
      </w:r>
    </w:p>
    <w:p w14:paraId="582D531F" w14:textId="77777777" w:rsidR="00887A0C" w:rsidRPr="00DD6590" w:rsidRDefault="00887A0C" w:rsidP="003E761D">
      <w:pPr>
        <w:pStyle w:val="ListParagraph"/>
        <w:numPr>
          <w:ilvl w:val="0"/>
          <w:numId w:val="26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vytváranie predpokladov pre zvýšenie konkurencieschopnosti regiónov, zlepšenia mobility obyvateľov a potenciálu rastu zamestnanosti.</w:t>
      </w:r>
    </w:p>
    <w:p w14:paraId="5DDA9F35" w14:textId="77777777" w:rsidR="00A947AC" w:rsidRPr="00DD6590" w:rsidRDefault="00A947AC" w:rsidP="00A947AC">
      <w:pPr>
        <w:ind w:left="90"/>
        <w:rPr>
          <w:szCs w:val="18"/>
        </w:rPr>
      </w:pPr>
      <w:r w:rsidRPr="00DD6590">
        <w:rPr>
          <w:szCs w:val="18"/>
        </w:rPr>
        <w:t>Š</w:t>
      </w:r>
      <w:r w:rsidR="007C0A4D" w:rsidRPr="00DD6590">
        <w:rPr>
          <w:szCs w:val="18"/>
        </w:rPr>
        <w:t>pecifické výsledkové</w:t>
      </w:r>
      <w:r w:rsidRPr="00DD6590">
        <w:rPr>
          <w:szCs w:val="18"/>
        </w:rPr>
        <w:t xml:space="preserve"> ukazovate</w:t>
      </w:r>
      <w:r w:rsidR="007C0A4D" w:rsidRPr="00DD6590">
        <w:rPr>
          <w:szCs w:val="18"/>
        </w:rPr>
        <w:t>le stanovený pre tento ŠC sú</w:t>
      </w:r>
      <w:r w:rsidRPr="00DD6590">
        <w:rPr>
          <w:szCs w:val="18"/>
        </w:rPr>
        <w:t>:</w:t>
      </w:r>
    </w:p>
    <w:p w14:paraId="271A9104" w14:textId="69D0D0AC" w:rsidR="00BB0829" w:rsidRPr="00DD6590" w:rsidRDefault="00BB0829" w:rsidP="00BB0829">
      <w:pPr>
        <w:pStyle w:val="Caption"/>
      </w:pPr>
      <w:bookmarkStart w:id="4" w:name="_Toc8805485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2</w:t>
      </w:r>
      <w:r w:rsidRPr="00DD6590">
        <w:fldChar w:fldCharType="end"/>
      </w:r>
      <w:r w:rsidRPr="00DD6590">
        <w:t xml:space="preserve"> Výsledkové ukazovatele </w:t>
      </w:r>
      <w:r w:rsidR="003E3540" w:rsidRPr="00DD6590">
        <w:t>ŠC 5.1</w:t>
      </w:r>
      <w:bookmarkEnd w:id="4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24"/>
        <w:gridCol w:w="1274"/>
        <w:gridCol w:w="1115"/>
        <w:gridCol w:w="1602"/>
        <w:gridCol w:w="1565"/>
      </w:tblGrid>
      <w:tr w:rsidR="00A947AC" w:rsidRPr="00DD6590" w14:paraId="17A6E595" w14:textId="77777777" w:rsidTr="00BB0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413A1B59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D37F773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71CF9FB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DAEC7C2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323272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31C61881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A947AC" w:rsidRPr="00DD6590" w14:paraId="21293311" w14:textId="77777777" w:rsidTr="00BB0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78C23B00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1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E5E5FD7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Úspora času </w:t>
            </w:r>
            <w:r w:rsidR="007C0A4D" w:rsidRPr="00DD6590">
              <w:rPr>
                <w:rFonts w:asciiTheme="minorHAnsi" w:hAnsiTheme="minorHAnsi"/>
                <w:sz w:val="16"/>
                <w:szCs w:val="18"/>
              </w:rPr>
              <w:t>v železničnej</w:t>
            </w:r>
            <w:r w:rsidRPr="00DD6590">
              <w:rPr>
                <w:rFonts w:asciiTheme="minorHAnsi" w:hAnsiTheme="minorHAnsi"/>
                <w:sz w:val="16"/>
                <w:szCs w:val="18"/>
              </w:rPr>
              <w:t xml:space="preserve"> doprave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8FAA3A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výsledkový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38234DC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EUR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32A1D4" w14:textId="77777777" w:rsidR="00A947AC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1 870 908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32772DEA" w14:textId="77777777" w:rsidR="00A947AC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1 558 999</w:t>
            </w:r>
          </w:p>
        </w:tc>
      </w:tr>
      <w:tr w:rsidR="007C0A4D" w:rsidRPr="00DD6590" w14:paraId="3C51D053" w14:textId="77777777" w:rsidTr="00BB082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4498CA79" w14:textId="77777777" w:rsidR="007C0A4D" w:rsidRPr="00DD6590" w:rsidRDefault="007C0A4D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8"/>
              </w:rPr>
              <w:t>2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49C5FBF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Miera elektrifikácie železničných tratí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E11E96B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výsledkový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0348F34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%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6695EF" w14:textId="3803F93D" w:rsidR="007C0A4D" w:rsidRPr="00DD6590" w:rsidRDefault="007C0A4D" w:rsidP="0024491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44,</w:t>
            </w:r>
            <w:r w:rsidR="00244915" w:rsidRPr="00DD6590">
              <w:rPr>
                <w:rFonts w:asciiTheme="majorHAnsi" w:hAnsiTheme="majorHAnsi"/>
                <w:sz w:val="16"/>
                <w:szCs w:val="18"/>
              </w:rPr>
              <w:t>06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6992B5B5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45,57</w:t>
            </w:r>
          </w:p>
        </w:tc>
      </w:tr>
      <w:tr w:rsidR="007C0A4D" w:rsidRPr="00DD6590" w14:paraId="30FB4793" w14:textId="77777777" w:rsidTr="00BB0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29B1C563" w14:textId="77777777" w:rsidR="007C0A4D" w:rsidRPr="00DD6590" w:rsidRDefault="007C0A4D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8"/>
              </w:rPr>
              <w:t>3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EE3A83" w14:textId="77777777" w:rsidR="007C0A4D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Úspora produkcie emisií PM</w:t>
            </w:r>
            <w:r w:rsidRPr="00DD6590">
              <w:rPr>
                <w:rFonts w:asciiTheme="majorHAnsi" w:hAnsiTheme="majorHAnsi"/>
                <w:sz w:val="16"/>
                <w:szCs w:val="18"/>
                <w:vertAlign w:val="subscript"/>
              </w:rPr>
              <w:t>10</w:t>
            </w:r>
            <w:r w:rsidRPr="00DD6590">
              <w:rPr>
                <w:rFonts w:asciiTheme="majorHAnsi" w:hAnsiTheme="majorHAnsi"/>
                <w:sz w:val="16"/>
                <w:szCs w:val="18"/>
              </w:rPr>
              <w:t xml:space="preserve"> (vplyvom elektrifikácie tratí)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5477B60" w14:textId="77777777" w:rsidR="007C0A4D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výsledkový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254C5CD" w14:textId="77777777" w:rsidR="007C0A4D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tona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9351E98" w14:textId="77777777" w:rsidR="007C0A4D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3,4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75E36DE1" w14:textId="77777777" w:rsidR="007C0A4D" w:rsidRPr="00DD6590" w:rsidRDefault="007C0A4D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0</w:t>
            </w:r>
          </w:p>
        </w:tc>
      </w:tr>
      <w:tr w:rsidR="007C0A4D" w:rsidRPr="00DD6590" w14:paraId="4D8A4119" w14:textId="77777777" w:rsidTr="00BB082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32F5AF8A" w14:textId="77777777" w:rsidR="007C0A4D" w:rsidRPr="00DD6590" w:rsidRDefault="007C0A4D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8"/>
              </w:rPr>
              <w:t>4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65C1282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Úspora produkcie emisií NO</w:t>
            </w:r>
            <w:r w:rsidRPr="00DD6590">
              <w:rPr>
                <w:rFonts w:asciiTheme="majorHAnsi" w:hAnsiTheme="majorHAnsi"/>
                <w:sz w:val="16"/>
                <w:szCs w:val="18"/>
                <w:vertAlign w:val="subscript"/>
              </w:rPr>
              <w:t>2</w:t>
            </w:r>
            <w:r w:rsidRPr="00DD6590">
              <w:rPr>
                <w:rFonts w:asciiTheme="majorHAnsi" w:hAnsiTheme="majorHAnsi"/>
                <w:sz w:val="16"/>
                <w:szCs w:val="18"/>
              </w:rPr>
              <w:t xml:space="preserve"> (vplyvom elektrifikácie tratí)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53EC2BE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výsledkový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3C1D1BC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tona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D97E38D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42,74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3701724A" w14:textId="77777777" w:rsidR="007C0A4D" w:rsidRPr="00DD6590" w:rsidRDefault="007C0A4D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0</w:t>
            </w:r>
          </w:p>
        </w:tc>
      </w:tr>
    </w:tbl>
    <w:p w14:paraId="4BF0291C" w14:textId="77777777" w:rsidR="00DC7AC4" w:rsidRPr="00DD6590" w:rsidRDefault="00A947AC" w:rsidP="00B0035E">
      <w:pPr>
        <w:pStyle w:val="Heading2"/>
      </w:pPr>
      <w:bookmarkStart w:id="5" w:name="_Toc9350280"/>
      <w:r w:rsidRPr="00DD6590">
        <w:t xml:space="preserve">Špecifický cieľ </w:t>
      </w:r>
      <w:r w:rsidR="004A6133" w:rsidRPr="00DD6590">
        <w:t>5.2</w:t>
      </w:r>
      <w:bookmarkEnd w:id="5"/>
      <w:r w:rsidR="004A6133" w:rsidRPr="00DD6590">
        <w:t xml:space="preserve"> </w:t>
      </w:r>
    </w:p>
    <w:p w14:paraId="5765E685" w14:textId="77777777" w:rsidR="00A947AC" w:rsidRPr="00DD6590" w:rsidRDefault="004A6133" w:rsidP="00132576">
      <w:pPr>
        <w:spacing w:before="0" w:after="0"/>
        <w:rPr>
          <w:b/>
        </w:rPr>
      </w:pPr>
      <w:r w:rsidRPr="00DD6590">
        <w:rPr>
          <w:b/>
        </w:rPr>
        <w:t>Zlepšenie technických podmienok pre prevádzku medzinárodnej železničnej dopravy prostredníctvom implementácie vybraných prvkov TSI na najdôležitejších tratiach pre medzinárodnú dopravu</w:t>
      </w:r>
    </w:p>
    <w:p w14:paraId="7B4963DD" w14:textId="6CB14DA5" w:rsidR="00A947AC" w:rsidRPr="00DD6590" w:rsidRDefault="00926C2B" w:rsidP="00A947AC">
      <w:r w:rsidRPr="00DD6590">
        <w:t>Očakávanými v</w:t>
      </w:r>
      <w:r w:rsidR="004A6133" w:rsidRPr="00DD6590">
        <w:t>ýsledkami realizácie ŠC 5</w:t>
      </w:r>
      <w:r w:rsidR="00A947AC" w:rsidRPr="00DD6590">
        <w:t>.2 sú:</w:t>
      </w:r>
    </w:p>
    <w:p w14:paraId="49891689" w14:textId="32497B85" w:rsidR="00A947AC" w:rsidRPr="00DD6590" w:rsidRDefault="004A6133" w:rsidP="003E761D">
      <w:pPr>
        <w:pStyle w:val="ListParagraph"/>
        <w:numPr>
          <w:ilvl w:val="0"/>
          <w:numId w:val="27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 xml:space="preserve">splnenie záväzkov vyplývajúcich z Rozhodnutia Komisie č. 2012/88/EÚ z 25. januára 2012 o technickej špecifikácií </w:t>
      </w:r>
      <w:proofErr w:type="spellStart"/>
      <w:r w:rsidRPr="00DD6590">
        <w:rPr>
          <w:rFonts w:asciiTheme="majorHAnsi" w:hAnsiTheme="majorHAnsi"/>
          <w:szCs w:val="18"/>
        </w:rPr>
        <w:t>interoperability</w:t>
      </w:r>
      <w:proofErr w:type="spellEnd"/>
      <w:r w:rsidRPr="00DD6590">
        <w:rPr>
          <w:rFonts w:asciiTheme="majorHAnsi" w:hAnsiTheme="majorHAnsi"/>
          <w:szCs w:val="18"/>
        </w:rPr>
        <w:t xml:space="preserve"> týkajúcej sa subsystémov riadenia – zabezpečenia a </w:t>
      </w:r>
      <w:proofErr w:type="spellStart"/>
      <w:r w:rsidRPr="00DD6590">
        <w:rPr>
          <w:rFonts w:asciiTheme="majorHAnsi" w:hAnsiTheme="majorHAnsi"/>
          <w:szCs w:val="18"/>
        </w:rPr>
        <w:t>návestenia</w:t>
      </w:r>
      <w:proofErr w:type="spellEnd"/>
      <w:r w:rsidRPr="00DD6590">
        <w:rPr>
          <w:rFonts w:asciiTheme="majorHAnsi" w:hAnsiTheme="majorHAnsi"/>
          <w:szCs w:val="18"/>
        </w:rPr>
        <w:t xml:space="preserve"> </w:t>
      </w:r>
      <w:proofErr w:type="spellStart"/>
      <w:r w:rsidRPr="00DD6590">
        <w:rPr>
          <w:rFonts w:asciiTheme="majorHAnsi" w:hAnsiTheme="majorHAnsi"/>
          <w:szCs w:val="18"/>
        </w:rPr>
        <w:t>transeurópskeo</w:t>
      </w:r>
      <w:proofErr w:type="spellEnd"/>
      <w:r w:rsidRPr="00DD6590">
        <w:rPr>
          <w:rFonts w:asciiTheme="majorHAnsi" w:hAnsiTheme="majorHAnsi"/>
          <w:szCs w:val="18"/>
        </w:rPr>
        <w:t xml:space="preserve"> železničného systému a Nariadení Komisie č. 454/2011/EÚ z 5.</w:t>
      </w:r>
      <w:r w:rsidR="00ED16A5">
        <w:rPr>
          <w:rFonts w:asciiTheme="majorHAnsi" w:hAnsiTheme="majorHAnsi"/>
          <w:szCs w:val="18"/>
        </w:rPr>
        <w:t> </w:t>
      </w:r>
      <w:r w:rsidRPr="00DD6590">
        <w:rPr>
          <w:rFonts w:asciiTheme="majorHAnsi" w:hAnsiTheme="majorHAnsi"/>
          <w:szCs w:val="18"/>
        </w:rPr>
        <w:t xml:space="preserve">mája 201 a č. 62/2006/EÚ z 23. decembra 2005  o technickej špecifikácií </w:t>
      </w:r>
      <w:proofErr w:type="spellStart"/>
      <w:r w:rsidRPr="00DD6590">
        <w:rPr>
          <w:rFonts w:asciiTheme="majorHAnsi" w:hAnsiTheme="majorHAnsi"/>
          <w:szCs w:val="18"/>
        </w:rPr>
        <w:t>interoperability</w:t>
      </w:r>
      <w:proofErr w:type="spellEnd"/>
      <w:r w:rsidRPr="00DD6590">
        <w:rPr>
          <w:rFonts w:asciiTheme="majorHAnsi" w:hAnsiTheme="majorHAnsi"/>
          <w:szCs w:val="18"/>
        </w:rPr>
        <w:t xml:space="preserve"> týkajúcej sa </w:t>
      </w:r>
      <w:proofErr w:type="spellStart"/>
      <w:r w:rsidRPr="00DD6590">
        <w:rPr>
          <w:rFonts w:asciiTheme="majorHAnsi" w:hAnsiTheme="majorHAnsi"/>
          <w:szCs w:val="18"/>
        </w:rPr>
        <w:t>telematických</w:t>
      </w:r>
      <w:proofErr w:type="spellEnd"/>
      <w:r w:rsidRPr="00DD6590">
        <w:rPr>
          <w:rFonts w:asciiTheme="majorHAnsi" w:hAnsiTheme="majorHAnsi"/>
          <w:szCs w:val="18"/>
        </w:rPr>
        <w:t xml:space="preserve"> aplikácií,</w:t>
      </w:r>
    </w:p>
    <w:p w14:paraId="2B326C59" w14:textId="77777777" w:rsidR="004A6133" w:rsidRPr="00DD6590" w:rsidRDefault="004A6133" w:rsidP="003E761D">
      <w:pPr>
        <w:pStyle w:val="ListParagraph"/>
        <w:numPr>
          <w:ilvl w:val="0"/>
          <w:numId w:val="27"/>
        </w:numPr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bezpečnosti železničnej dopravy.</w:t>
      </w:r>
    </w:p>
    <w:p w14:paraId="48735F5C" w14:textId="77777777" w:rsidR="00A947AC" w:rsidRPr="00DD6590" w:rsidRDefault="00A947AC" w:rsidP="00A947AC">
      <w:pPr>
        <w:contextualSpacing/>
        <w:rPr>
          <w:szCs w:val="18"/>
        </w:rPr>
      </w:pPr>
      <w:r w:rsidRPr="00DD6590">
        <w:rPr>
          <w:szCs w:val="18"/>
        </w:rPr>
        <w:t>Špecifický výsledkový ukazovateľ stanovený pre tento ŠC je:</w:t>
      </w:r>
    </w:p>
    <w:p w14:paraId="571C3C1E" w14:textId="1372ACD4" w:rsidR="003E3540" w:rsidRPr="00DD6590" w:rsidRDefault="003E3540" w:rsidP="003E3540">
      <w:pPr>
        <w:pStyle w:val="Caption"/>
      </w:pPr>
      <w:bookmarkStart w:id="6" w:name="_Toc8805486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3</w:t>
      </w:r>
      <w:r w:rsidRPr="00DD6590">
        <w:fldChar w:fldCharType="end"/>
      </w:r>
      <w:r w:rsidRPr="00DD6590">
        <w:t xml:space="preserve"> Výsledkové ukazovatele ŠC 5.2</w:t>
      </w:r>
      <w:bookmarkEnd w:id="6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580"/>
        <w:gridCol w:w="2933"/>
        <w:gridCol w:w="1275"/>
        <w:gridCol w:w="1116"/>
        <w:gridCol w:w="1603"/>
        <w:gridCol w:w="1567"/>
      </w:tblGrid>
      <w:tr w:rsidR="00A947AC" w:rsidRPr="00DD6590" w14:paraId="35C6B0DE" w14:textId="77777777" w:rsidTr="003E3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713B25C9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33" w:type="dxa"/>
          </w:tcPr>
          <w:p w14:paraId="05257686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5" w:type="dxa"/>
          </w:tcPr>
          <w:p w14:paraId="0940B8BE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6" w:type="dxa"/>
          </w:tcPr>
          <w:p w14:paraId="12FBFE22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3" w:type="dxa"/>
          </w:tcPr>
          <w:p w14:paraId="68511F2A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67" w:type="dxa"/>
          </w:tcPr>
          <w:p w14:paraId="0B256CAC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A947AC" w:rsidRPr="00DD6590" w14:paraId="063A2CD2" w14:textId="77777777" w:rsidTr="003E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27BF8D6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top w:val="none" w:sz="0" w:space="0" w:color="auto"/>
              <w:bottom w:val="none" w:sz="0" w:space="0" w:color="auto"/>
            </w:tcBorders>
          </w:tcPr>
          <w:p w14:paraId="0905E876" w14:textId="5DCD4B4F" w:rsidR="00A947AC" w:rsidRPr="00DD6590" w:rsidRDefault="004A6133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Celkový objem </w:t>
            </w:r>
            <w:r w:rsidR="00CC7831" w:rsidRPr="00DD6590">
              <w:rPr>
                <w:rFonts w:asciiTheme="minorHAnsi" w:hAnsiTheme="minorHAnsi"/>
                <w:sz w:val="16"/>
                <w:szCs w:val="16"/>
              </w:rPr>
              <w:t>medzinárodnej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prepravy na koridore TEN-T (úsek Bratislava – Nové Zámky – Štúrovo / Komárno – št. hr. SR/MR)</w:t>
            </w:r>
            <w:r w:rsidR="00A947AC" w:rsidRPr="00DD6590">
              <w:rPr>
                <w:rFonts w:asciiTheme="minorHAnsi" w:hAnsiTheme="minorHAnsi"/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42B3AB9E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</w:tcPr>
          <w:p w14:paraId="01CBA172" w14:textId="77777777" w:rsidR="00A947AC" w:rsidRPr="00DD6590" w:rsidRDefault="004A6133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1603" w:type="dxa"/>
            <w:tcBorders>
              <w:top w:val="none" w:sz="0" w:space="0" w:color="auto"/>
              <w:bottom w:val="none" w:sz="0" w:space="0" w:color="auto"/>
            </w:tcBorders>
          </w:tcPr>
          <w:p w14:paraId="7BFD4C1B" w14:textId="77777777" w:rsidR="00A947AC" w:rsidRPr="00DD6590" w:rsidRDefault="004A6133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748 518</w:t>
            </w:r>
          </w:p>
        </w:tc>
        <w:tc>
          <w:tcPr>
            <w:tcW w:w="15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F5DA2C5" w14:textId="77777777" w:rsidR="00A947AC" w:rsidRPr="00DD6590" w:rsidRDefault="004A6133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796 973</w:t>
            </w:r>
          </w:p>
        </w:tc>
      </w:tr>
    </w:tbl>
    <w:p w14:paraId="00D6322F" w14:textId="77777777" w:rsidR="00A947AC" w:rsidRPr="00DD6590" w:rsidRDefault="00A947AC" w:rsidP="00A947AC">
      <w:pPr>
        <w:contextualSpacing/>
        <w:rPr>
          <w:szCs w:val="18"/>
        </w:rPr>
      </w:pPr>
    </w:p>
    <w:p w14:paraId="344FE9E6" w14:textId="7C968254" w:rsidR="00A4659B" w:rsidRPr="00DD6590" w:rsidRDefault="00A4659B" w:rsidP="00A4659B">
      <w:pPr>
        <w:rPr>
          <w:szCs w:val="18"/>
        </w:rPr>
      </w:pPr>
      <w:r w:rsidRPr="00DD6590">
        <w:rPr>
          <w:szCs w:val="18"/>
        </w:rPr>
        <w:t xml:space="preserve">Napĺňanie cieľov </w:t>
      </w:r>
      <w:r w:rsidR="00017256" w:rsidRPr="00DD6590">
        <w:rPr>
          <w:szCs w:val="18"/>
        </w:rPr>
        <w:t>ŠC 5</w:t>
      </w:r>
      <w:r w:rsidRPr="00DD6590">
        <w:rPr>
          <w:szCs w:val="18"/>
        </w:rPr>
        <w:t>.1 a </w:t>
      </w:r>
      <w:r w:rsidR="00017256" w:rsidRPr="00DD6590">
        <w:rPr>
          <w:szCs w:val="18"/>
        </w:rPr>
        <w:t>5</w:t>
      </w:r>
      <w:r w:rsidRPr="00DD6590">
        <w:rPr>
          <w:szCs w:val="18"/>
        </w:rPr>
        <w:t>.2 sa realizuje prostredníctvom týchto aktivít:</w:t>
      </w:r>
    </w:p>
    <w:p w14:paraId="78CCF891" w14:textId="0281095C" w:rsidR="00A4659B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e</w:t>
      </w:r>
      <w:r w:rsidRPr="00DD6590">
        <w:rPr>
          <w:rFonts w:asciiTheme="majorHAnsi" w:hAnsiTheme="majorHAnsi"/>
          <w:szCs w:val="18"/>
        </w:rPr>
        <w:t xml:space="preserve">lektrifikácia </w:t>
      </w:r>
      <w:r w:rsidR="00017256" w:rsidRPr="00DD6590">
        <w:rPr>
          <w:rFonts w:asciiTheme="majorHAnsi" w:hAnsiTheme="majorHAnsi"/>
          <w:szCs w:val="18"/>
        </w:rPr>
        <w:t>železničných tratí. Rozvoj systémov šetrných k životnému prostrediu, vrátane systémov s nízkou hlučnosťou a nízko uhlíkových dopravných systémov</w:t>
      </w:r>
      <w:r w:rsidR="00A4659B" w:rsidRPr="00DD6590">
        <w:rPr>
          <w:rFonts w:asciiTheme="majorHAnsi" w:hAnsiTheme="majorHAnsi"/>
          <w:szCs w:val="18"/>
        </w:rPr>
        <w:t>,</w:t>
      </w:r>
    </w:p>
    <w:p w14:paraId="6A68BA1D" w14:textId="2B50AF2B" w:rsidR="00A4659B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z</w:t>
      </w:r>
      <w:r w:rsidRPr="00DD6590">
        <w:rPr>
          <w:rFonts w:asciiTheme="majorHAnsi" w:hAnsiTheme="majorHAnsi"/>
          <w:szCs w:val="18"/>
        </w:rPr>
        <w:t xml:space="preserve">nižovanie </w:t>
      </w:r>
      <w:r w:rsidR="00017256" w:rsidRPr="00DD6590">
        <w:rPr>
          <w:rFonts w:asciiTheme="majorHAnsi" w:hAnsiTheme="majorHAnsi"/>
          <w:szCs w:val="18"/>
        </w:rPr>
        <w:t>bezpečnostných rizík v železničnej doprave (napr. odstraňovanie úrovňových križovaní s cestnou infraštruktúrou, modernizácia železničných priecestí),</w:t>
      </w:r>
    </w:p>
    <w:p w14:paraId="4EB8CE44" w14:textId="515CD4EF" w:rsidR="00A4659B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017256" w:rsidRPr="00DD6590">
        <w:rPr>
          <w:rFonts w:asciiTheme="majorHAnsi" w:hAnsiTheme="majorHAnsi"/>
          <w:szCs w:val="18"/>
        </w:rPr>
        <w:t>a modernizácia prestupných terminálov železničnej osobnej dopravy a ich napojení na cestnú sieť,</w:t>
      </w:r>
    </w:p>
    <w:p w14:paraId="22CDD77A" w14:textId="7161A3FC" w:rsidR="00A4659B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017256" w:rsidRPr="00DD6590">
        <w:rPr>
          <w:rFonts w:asciiTheme="majorHAnsi" w:hAnsiTheme="majorHAnsi"/>
          <w:szCs w:val="18"/>
        </w:rPr>
        <w:t>nových železničných zastávok, zavádzanie štandardov tratí a staníc, optimalizácia grafikonu vlakovej dopravy,</w:t>
      </w:r>
    </w:p>
    <w:p w14:paraId="4DD035D1" w14:textId="49DCE3E5" w:rsidR="00017256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ybudovanie </w:t>
      </w:r>
      <w:r w:rsidR="00017256" w:rsidRPr="00DD6590">
        <w:rPr>
          <w:rFonts w:asciiTheme="majorHAnsi" w:hAnsiTheme="majorHAnsi"/>
          <w:szCs w:val="18"/>
        </w:rPr>
        <w:t xml:space="preserve">infraštruktúry na kontrolu a prípravu vozového parku železničnej osobnej dopravy pre prevádzku v rámci služieb vo verejnom záujme, </w:t>
      </w:r>
    </w:p>
    <w:p w14:paraId="47AD6C3D" w14:textId="3A1FB104" w:rsidR="00017256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lastRenderedPageBreak/>
        <w:t>m</w:t>
      </w:r>
      <w:r w:rsidRPr="00DD6590">
        <w:rPr>
          <w:rFonts w:asciiTheme="majorHAnsi" w:hAnsiTheme="majorHAnsi"/>
          <w:szCs w:val="18"/>
        </w:rPr>
        <w:t xml:space="preserve">odernizácia </w:t>
      </w:r>
      <w:r w:rsidR="00017256" w:rsidRPr="00DD6590">
        <w:rPr>
          <w:rFonts w:asciiTheme="majorHAnsi" w:hAnsiTheme="majorHAnsi"/>
          <w:szCs w:val="18"/>
        </w:rPr>
        <w:t>železničnej infraštruktúry v súvislosti so zabezpečením efektívneho colného konania,</w:t>
      </w:r>
    </w:p>
    <w:p w14:paraId="631E4DC7" w14:textId="6CD6C4B6" w:rsidR="00017256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m</w:t>
      </w:r>
      <w:r w:rsidRPr="00DD6590">
        <w:rPr>
          <w:rFonts w:asciiTheme="majorHAnsi" w:hAnsiTheme="majorHAnsi"/>
          <w:szCs w:val="18"/>
        </w:rPr>
        <w:t xml:space="preserve">odernizácia </w:t>
      </w:r>
      <w:r w:rsidR="00017256" w:rsidRPr="00DD6590">
        <w:rPr>
          <w:rFonts w:asciiTheme="majorHAnsi" w:hAnsiTheme="majorHAnsi"/>
          <w:szCs w:val="18"/>
        </w:rPr>
        <w:t>železničných tratí (zlepšovanie vybraných technických parametrov železničnej dopravnej cesty),</w:t>
      </w:r>
    </w:p>
    <w:p w14:paraId="1C9AC188" w14:textId="0645674B" w:rsidR="00017256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i</w:t>
      </w:r>
      <w:r w:rsidRPr="00DD6590">
        <w:rPr>
          <w:rFonts w:asciiTheme="majorHAnsi" w:hAnsiTheme="majorHAnsi"/>
          <w:szCs w:val="18"/>
        </w:rPr>
        <w:t xml:space="preserve">mplementácia </w:t>
      </w:r>
      <w:r w:rsidR="00017256" w:rsidRPr="00DD6590">
        <w:rPr>
          <w:rFonts w:asciiTheme="majorHAnsi" w:hAnsiTheme="majorHAnsi"/>
          <w:szCs w:val="18"/>
        </w:rPr>
        <w:t>systémov ETCS a GSM-R, TSI TAF/TAP,</w:t>
      </w:r>
    </w:p>
    <w:p w14:paraId="77FF4A01" w14:textId="2F984E63" w:rsidR="00A4659B" w:rsidRPr="00DD6590" w:rsidRDefault="0056641D" w:rsidP="003E761D">
      <w:pPr>
        <w:pStyle w:val="ListParagraph"/>
        <w:numPr>
          <w:ilvl w:val="0"/>
          <w:numId w:val="24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 w:rsidRPr="00DD6590">
        <w:rPr>
          <w:rFonts w:asciiTheme="majorHAnsi" w:hAnsiTheme="majorHAnsi"/>
          <w:szCs w:val="18"/>
        </w:rPr>
        <w:t xml:space="preserve">rojektová </w:t>
      </w:r>
      <w:r w:rsidR="00A4659B" w:rsidRPr="00DD6590">
        <w:rPr>
          <w:rFonts w:asciiTheme="majorHAnsi" w:hAnsiTheme="majorHAnsi"/>
          <w:szCs w:val="18"/>
        </w:rPr>
        <w:t>príprava.</w:t>
      </w:r>
    </w:p>
    <w:p w14:paraId="17C71322" w14:textId="3DBA0600" w:rsidR="00A947AC" w:rsidRPr="00DD6590" w:rsidRDefault="00774BBB" w:rsidP="00A947AC">
      <w:pPr>
        <w:contextualSpacing/>
        <w:rPr>
          <w:szCs w:val="18"/>
        </w:rPr>
      </w:pPr>
      <w:r w:rsidRPr="00DD6590">
        <w:rPr>
          <w:szCs w:val="18"/>
        </w:rPr>
        <w:t xml:space="preserve">Spoločné a špecifické </w:t>
      </w:r>
      <w:r w:rsidR="00A947AC" w:rsidRPr="00DD6590">
        <w:rPr>
          <w:szCs w:val="18"/>
        </w:rPr>
        <w:t>ukazovatele výstupu pre tieto dva ŠC sú stanovené nasledovne:</w:t>
      </w:r>
    </w:p>
    <w:p w14:paraId="4B35C21D" w14:textId="336D8271" w:rsidR="003E3540" w:rsidRPr="00DD6590" w:rsidRDefault="003E3540" w:rsidP="003E3540">
      <w:pPr>
        <w:pStyle w:val="Caption"/>
      </w:pPr>
      <w:bookmarkStart w:id="7" w:name="_Toc8805487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4</w:t>
      </w:r>
      <w:r w:rsidRPr="00DD6590">
        <w:fldChar w:fldCharType="end"/>
      </w:r>
      <w:r w:rsidRPr="00DD6590">
        <w:t xml:space="preserve"> </w:t>
      </w:r>
      <w:r w:rsidR="00244915" w:rsidRPr="00DD6590">
        <w:t>U</w:t>
      </w:r>
      <w:r w:rsidRPr="00DD6590">
        <w:t>kazovatele</w:t>
      </w:r>
      <w:r w:rsidR="00244915" w:rsidRPr="00DD6590">
        <w:t xml:space="preserve"> výstupu</w:t>
      </w:r>
      <w:r w:rsidRPr="00DD6590">
        <w:t xml:space="preserve"> PO5</w:t>
      </w:r>
      <w:bookmarkEnd w:id="7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28"/>
        <w:gridCol w:w="1272"/>
        <w:gridCol w:w="1115"/>
        <w:gridCol w:w="1602"/>
        <w:gridCol w:w="1563"/>
      </w:tblGrid>
      <w:tr w:rsidR="00A947AC" w:rsidRPr="00DD6590" w14:paraId="4605112F" w14:textId="77777777" w:rsidTr="003E3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6864A64E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84CDB05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 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77B431B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ECA390E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EFB842E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120ADE76" w14:textId="77777777" w:rsidR="00A947AC" w:rsidRPr="00DD6590" w:rsidRDefault="00A947AC" w:rsidP="00C32525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A947AC" w:rsidRPr="00DD6590" w14:paraId="0326B98E" w14:textId="77777777" w:rsidTr="003E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4B711A61" w14:textId="77777777" w:rsidR="00A947AC" w:rsidRPr="00DD6590" w:rsidRDefault="00A947AC" w:rsidP="00C32525">
            <w:pPr>
              <w:spacing w:before="60" w:after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D0DE111" w14:textId="77777777" w:rsidR="00A947AC" w:rsidRPr="00DD6590" w:rsidRDefault="00A947A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dĺžka </w:t>
            </w:r>
            <w:r w:rsidR="00837F81" w:rsidRPr="00DD6590">
              <w:rPr>
                <w:rFonts w:asciiTheme="minorHAnsi" w:hAnsiTheme="minorHAnsi"/>
                <w:sz w:val="16"/>
                <w:szCs w:val="16"/>
              </w:rPr>
              <w:t>rekonštru</w:t>
            </w:r>
            <w:bookmarkStart w:id="8" w:name="_GoBack"/>
            <w:bookmarkEnd w:id="8"/>
            <w:r w:rsidR="00837F81" w:rsidRPr="00DD6590">
              <w:rPr>
                <w:rFonts w:asciiTheme="minorHAnsi" w:hAnsiTheme="minorHAnsi"/>
                <w:sz w:val="16"/>
                <w:szCs w:val="16"/>
              </w:rPr>
              <w:t>ovaných alebo zrenovovaných železničných tratí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8801D3F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5EECC15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18256F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4A60EB11" w14:textId="77777777" w:rsidR="00A947AC" w:rsidRPr="00DD6590" w:rsidRDefault="00837F81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54,5</w:t>
            </w:r>
          </w:p>
        </w:tc>
      </w:tr>
      <w:tr w:rsidR="00A947AC" w:rsidRPr="00DD6590" w14:paraId="560F5726" w14:textId="77777777" w:rsidTr="003E354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7FA92FE9" w14:textId="77777777" w:rsidR="00A947AC" w:rsidRPr="00DD6590" w:rsidRDefault="00A947AC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t>2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89FE7C0" w14:textId="2EDEF715" w:rsidR="00A947AC" w:rsidRPr="00DD6590" w:rsidRDefault="00837F81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 zrenovovaných železničných tratí v</w:t>
            </w:r>
            <w:r w:rsidR="00244915" w:rsidRPr="00DD6590">
              <w:rPr>
                <w:rFonts w:asciiTheme="minorHAnsi" w:hAnsiTheme="minorHAnsi"/>
                <w:sz w:val="16"/>
                <w:szCs w:val="16"/>
              </w:rPr>
              <w:t xml:space="preserve"> sieti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 TEN-T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98A5CBC" w14:textId="77777777" w:rsidR="00A947AC" w:rsidRPr="00DD6590" w:rsidRDefault="00A947AC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C1463AC" w14:textId="77777777" w:rsidR="00A947AC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40B359" w14:textId="77777777" w:rsidR="00A947AC" w:rsidRPr="00DD6590" w:rsidRDefault="00A947AC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6E2D2C74" w14:textId="77777777" w:rsidR="00A947AC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21,5</w:t>
            </w:r>
          </w:p>
        </w:tc>
      </w:tr>
      <w:tr w:rsidR="00A947AC" w:rsidRPr="00DD6590" w14:paraId="7EF4F697" w14:textId="77777777" w:rsidTr="003E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258F3422" w14:textId="77777777" w:rsidR="00A947AC" w:rsidRPr="00DD6590" w:rsidRDefault="00A947AC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t>3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1CFC257" w14:textId="77777777" w:rsidR="00A947AC" w:rsidRPr="00DD6590" w:rsidRDefault="00A947AC" w:rsidP="00C3252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Počet </w:t>
            </w:r>
            <w:r w:rsidR="00837F81" w:rsidRPr="00DD6590">
              <w:rPr>
                <w:rFonts w:asciiTheme="majorHAnsi" w:hAnsiTheme="majorHAnsi"/>
                <w:sz w:val="16"/>
                <w:szCs w:val="16"/>
              </w:rPr>
              <w:t>lokalít s odstránením environmentálnej záťaže spôsobenej prevádzkou železničnej dopravy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5F29BF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FD14953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počet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AF6C3D4" w14:textId="77777777" w:rsidR="00A947AC" w:rsidRPr="00DD6590" w:rsidRDefault="00A947AC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57C36B37" w14:textId="77777777" w:rsidR="00A947AC" w:rsidRPr="00DD6590" w:rsidRDefault="00837F81" w:rsidP="00C32525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</w:tr>
      <w:tr w:rsidR="00837F81" w:rsidRPr="00DD6590" w14:paraId="3CB0E0A9" w14:textId="77777777" w:rsidTr="003E354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16A5085A" w14:textId="77777777" w:rsidR="00837F81" w:rsidRPr="00DD6590" w:rsidRDefault="00837F81" w:rsidP="00C32525">
            <w:pPr>
              <w:spacing w:before="60" w:after="0" w:line="240" w:lineRule="auto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t>4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43E2429" w14:textId="77777777" w:rsidR="00837F81" w:rsidRPr="00DD6590" w:rsidRDefault="00837F81" w:rsidP="00C3252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Dĺžka železničných tratí (mimo TEN-T CORE) so zavedeným systémom ERTMS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EFE0CF6" w14:textId="77777777" w:rsidR="00837F81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4431EE" w14:textId="77777777" w:rsidR="00837F81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km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A3C34FB" w14:textId="77777777" w:rsidR="00837F81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42C93988" w14:textId="77777777" w:rsidR="00837F81" w:rsidRPr="00DD6590" w:rsidRDefault="00837F81" w:rsidP="00C32525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182</w:t>
            </w:r>
          </w:p>
        </w:tc>
      </w:tr>
    </w:tbl>
    <w:p w14:paraId="68A78D75" w14:textId="77777777" w:rsidR="00A947AC" w:rsidRPr="00DD6590" w:rsidRDefault="00A40396" w:rsidP="00A40396">
      <w:pPr>
        <w:pStyle w:val="Heading1"/>
      </w:pPr>
      <w:bookmarkStart w:id="9" w:name="_Ref5009627"/>
      <w:bookmarkStart w:id="10" w:name="_Toc9350281"/>
      <w:r w:rsidRPr="00DD6590">
        <w:t>Výsledky analýzy Prioritnej osi 5 – Železničná infraštruktúra</w:t>
      </w:r>
      <w:bookmarkEnd w:id="9"/>
      <w:bookmarkEnd w:id="10"/>
      <w:r w:rsidRPr="00DD6590">
        <w:t xml:space="preserve"> </w:t>
      </w:r>
    </w:p>
    <w:p w14:paraId="7EEAA814" w14:textId="463ACA1F" w:rsidR="00A40396" w:rsidRPr="00DD6590" w:rsidRDefault="00A40396" w:rsidP="00A40396">
      <w:r w:rsidRPr="00DD6590">
        <w:t>V hodnotenom období bol v realizácii 1 projekt a 3 projekty boli v procese odborného hodnotenia. Z</w:t>
      </w:r>
      <w:r w:rsidR="0056641D">
        <w:t> </w:t>
      </w:r>
      <w:r w:rsidRPr="00DD6590">
        <w:t>celkovej alokácie prioritnej osi 5 (</w:t>
      </w:r>
      <w:r w:rsidR="00DD14B3" w:rsidRPr="00DD6590">
        <w:t>332 mil. EUR</w:t>
      </w:r>
      <w:r w:rsidRPr="00DD6590">
        <w:t>) bolo vyčerpan</w:t>
      </w:r>
      <w:r w:rsidR="00F958B9" w:rsidRPr="00DD6590">
        <w:t>ých 0,</w:t>
      </w:r>
      <w:r w:rsidR="00DD14B3" w:rsidRPr="00DD6590">
        <w:t>41</w:t>
      </w:r>
      <w:r w:rsidR="0056641D">
        <w:t xml:space="preserve"> </w:t>
      </w:r>
      <w:r w:rsidR="00F958B9" w:rsidRPr="00DD6590">
        <w:t>% a</w:t>
      </w:r>
      <w:r w:rsidR="0056641D">
        <w:t> </w:t>
      </w:r>
      <w:r w:rsidR="00F958B9" w:rsidRPr="00DD6590">
        <w:t>zakontrahovaných</w:t>
      </w:r>
      <w:r w:rsidR="0056641D">
        <w:t xml:space="preserve"> bolo</w:t>
      </w:r>
      <w:r w:rsidR="00F958B9" w:rsidRPr="00DD6590">
        <w:t xml:space="preserve"> </w:t>
      </w:r>
      <w:r w:rsidR="00DD14B3" w:rsidRPr="00DD6590">
        <w:t>0,58</w:t>
      </w:r>
      <w:r w:rsidR="0056641D">
        <w:t xml:space="preserve"> </w:t>
      </w:r>
      <w:r w:rsidRPr="00DD6590">
        <w:t>%. V</w:t>
      </w:r>
      <w:r w:rsidR="0056641D">
        <w:t> </w:t>
      </w:r>
      <w:r w:rsidRPr="00DD6590">
        <w:t>prípade</w:t>
      </w:r>
      <w:r w:rsidR="0056641D">
        <w:t>,</w:t>
      </w:r>
      <w:r w:rsidRPr="00DD6590">
        <w:t xml:space="preserve"> ak sa </w:t>
      </w:r>
      <w:proofErr w:type="spellStart"/>
      <w:r w:rsidRPr="00DD6590">
        <w:t>zazmluvnia</w:t>
      </w:r>
      <w:proofErr w:type="spellEnd"/>
      <w:r w:rsidRPr="00DD6590">
        <w:t xml:space="preserve"> projekty, ktoré sú predložené na RO OPII</w:t>
      </w:r>
      <w:r w:rsidR="00244915" w:rsidRPr="00DD6590">
        <w:t>,</w:t>
      </w:r>
      <w:r w:rsidRPr="00DD6590">
        <w:t xml:space="preserve"> </w:t>
      </w:r>
      <w:r w:rsidR="00244915" w:rsidRPr="00DD6590">
        <w:t>kontrahovanie dosiahne hodnotu 3</w:t>
      </w:r>
      <w:r w:rsidR="00DD14B3" w:rsidRPr="00DD6590">
        <w:t>0,</w:t>
      </w:r>
      <w:r w:rsidR="00E0285E" w:rsidRPr="00DD6590">
        <w:t>2</w:t>
      </w:r>
      <w:r w:rsidR="001D7490" w:rsidRPr="00DD6590">
        <w:t>8</w:t>
      </w:r>
      <w:r w:rsidR="0056641D">
        <w:t xml:space="preserve"> </w:t>
      </w:r>
      <w:r w:rsidR="00244915" w:rsidRPr="00DD6590">
        <w:t>%</w:t>
      </w:r>
      <w:r w:rsidRPr="00DD6590">
        <w:t>. Prijímateľmi v rámci PO5 sú ŽSR a ZSSK. Zo</w:t>
      </w:r>
      <w:r w:rsidR="00E17BFF" w:rsidRPr="00DD6590">
        <w:t xml:space="preserve">stávajúca alokácia pre PO5 je </w:t>
      </w:r>
      <w:r w:rsidR="00E0285E" w:rsidRPr="00DD6590">
        <w:t>23</w:t>
      </w:r>
      <w:r w:rsidR="009A302B" w:rsidRPr="00DD6590">
        <w:t>1</w:t>
      </w:r>
      <w:r w:rsidR="00E0285E" w:rsidRPr="00DD6590">
        <w:t xml:space="preserve"> </w:t>
      </w:r>
      <w:r w:rsidRPr="00DD6590">
        <w:t>mil. EUR.</w:t>
      </w:r>
      <w:r w:rsidR="008159D8" w:rsidRPr="00DD6590">
        <w:t xml:space="preserve"> Certifikované výdavky k 31.</w:t>
      </w:r>
      <w:r w:rsidR="0056641D">
        <w:t xml:space="preserve"> </w:t>
      </w:r>
      <w:r w:rsidR="008159D8" w:rsidRPr="00DD6590">
        <w:t>12.</w:t>
      </w:r>
      <w:r w:rsidR="0056641D">
        <w:t xml:space="preserve"> </w:t>
      </w:r>
      <w:r w:rsidR="008159D8" w:rsidRPr="00DD6590">
        <w:t>2018 sú vo výške 917 958 EUR (EÚ zdroje), čo prestavuje 0,33</w:t>
      </w:r>
      <w:r w:rsidR="0056641D">
        <w:t xml:space="preserve"> </w:t>
      </w:r>
      <w:r w:rsidR="008159D8" w:rsidRPr="00DD6590">
        <w:t>% alokácie PO 5.</w:t>
      </w:r>
    </w:p>
    <w:p w14:paraId="0B3EFAA9" w14:textId="03BCDA58" w:rsidR="00A40396" w:rsidRPr="00DD6590" w:rsidRDefault="00A40396" w:rsidP="00A40396">
      <w:r w:rsidRPr="00DD6590">
        <w:t xml:space="preserve">V rámci analýzy PO5 boli rozoslané dotazníky </w:t>
      </w:r>
      <w:r w:rsidR="00244915" w:rsidRPr="00DD6590">
        <w:t xml:space="preserve">projektovým manažérom </w:t>
      </w:r>
      <w:r w:rsidR="00EB172B" w:rsidRPr="00DD6590">
        <w:t xml:space="preserve">a </w:t>
      </w:r>
      <w:r w:rsidR="00244915" w:rsidRPr="00DD6590">
        <w:t>prijímateľom</w:t>
      </w:r>
      <w:r w:rsidRPr="00DD6590">
        <w:t xml:space="preserve">. Na základe dotazníkov </w:t>
      </w:r>
      <w:r w:rsidR="0056641D">
        <w:t>sa zistilo</w:t>
      </w:r>
      <w:r w:rsidRPr="00DD6590">
        <w:t>, že ŽSR majú v</w:t>
      </w:r>
      <w:r w:rsidR="00244915" w:rsidRPr="00DD6590">
        <w:t> </w:t>
      </w:r>
      <w:r w:rsidRPr="00DD6590">
        <w:t>pláne</w:t>
      </w:r>
      <w:r w:rsidR="00244915" w:rsidRPr="00DD6590">
        <w:t xml:space="preserve"> realizovať ďalších</w:t>
      </w:r>
      <w:r w:rsidRPr="00DD6590">
        <w:t xml:space="preserve"> </w:t>
      </w:r>
      <w:r w:rsidR="00E0285E" w:rsidRPr="00DD6590">
        <w:t xml:space="preserve">8 </w:t>
      </w:r>
      <w:r w:rsidRPr="00DD6590">
        <w:t xml:space="preserve">projektov v celkovej hodnote </w:t>
      </w:r>
      <w:r w:rsidR="00E0285E" w:rsidRPr="00DD6590">
        <w:t>324</w:t>
      </w:r>
      <w:r w:rsidR="0056641D">
        <w:t> </w:t>
      </w:r>
      <w:r w:rsidRPr="00DD6590">
        <w:t>mil.</w:t>
      </w:r>
      <w:r w:rsidR="0056641D">
        <w:t> </w:t>
      </w:r>
      <w:r w:rsidRPr="00DD6590">
        <w:t xml:space="preserve">EUR a prijímateľ ZSSK má v pláne </w:t>
      </w:r>
      <w:r w:rsidR="00774BBB" w:rsidRPr="00DD6590">
        <w:t xml:space="preserve">predložiť tri projekty v celkovej hodnote </w:t>
      </w:r>
      <w:r w:rsidR="001D7490" w:rsidRPr="00DD6590">
        <w:t xml:space="preserve">137 </w:t>
      </w:r>
      <w:r w:rsidR="00774BBB" w:rsidRPr="00DD6590">
        <w:t>mil. EUR</w:t>
      </w:r>
      <w:r w:rsidRPr="00DD6590">
        <w:t xml:space="preserve">. Plánované projekty presahujú alokáciu plánovanú pre PO5. </w:t>
      </w:r>
    </w:p>
    <w:p w14:paraId="0A22CE62" w14:textId="7F110EFF" w:rsidR="00A40396" w:rsidRPr="00DD6590" w:rsidRDefault="00A40396" w:rsidP="00A40396">
      <w:r w:rsidRPr="00DD6590">
        <w:t>Prijímatelia v dotazníku nevedeli vyčísliť hodno</w:t>
      </w:r>
      <w:r w:rsidR="00774BBB" w:rsidRPr="00DD6590">
        <w:t>t</w:t>
      </w:r>
      <w:r w:rsidRPr="00DD6590">
        <w:t xml:space="preserve">u jednotlivých ukazovateľov, </w:t>
      </w:r>
      <w:r w:rsidR="0056641D">
        <w:t>ale</w:t>
      </w:r>
      <w:r w:rsidR="0056641D" w:rsidRPr="00DD6590">
        <w:t xml:space="preserve"> </w:t>
      </w:r>
      <w:r w:rsidRPr="00DD6590">
        <w:t>zaznamenali plnenie všetkých povinných ukazovateľov OPII.</w:t>
      </w:r>
    </w:p>
    <w:p w14:paraId="745446C9" w14:textId="4C795335" w:rsidR="00A40396" w:rsidRPr="00DD6590" w:rsidRDefault="00A40396" w:rsidP="00B0035E">
      <w:pPr>
        <w:pStyle w:val="Heading2"/>
      </w:pPr>
      <w:bookmarkStart w:id="11" w:name="_Toc9350282"/>
      <w:r w:rsidRPr="00DD6590">
        <w:t>Vyhodnotenie stavu realizácie jednotlivých projektov v PO5</w:t>
      </w:r>
      <w:bookmarkEnd w:id="11"/>
    </w:p>
    <w:p w14:paraId="602C8E45" w14:textId="6579FAC8" w:rsidR="00A40396" w:rsidRPr="00DD6590" w:rsidRDefault="00A40396" w:rsidP="00A40396">
      <w:r w:rsidRPr="00DD6590">
        <w:t xml:space="preserve">Nasledujúca tabuľka obsahuje vyhodnotenie realizovaných projektov z hľadiska času, financií a plnenia ukazovateľov a návrh opatrení na úrovni jednotlivých projektov. Vyhodnotenie realizácie jednotlivých projektov je farebne rozlíšené nasledovne: </w:t>
      </w:r>
    </w:p>
    <w:p w14:paraId="53237FB7" w14:textId="1396C564" w:rsidR="00AE05E4" w:rsidRPr="00DD6590" w:rsidRDefault="00AE05E4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 resp. nízke</w:t>
      </w:r>
      <w:r w:rsidRPr="00DD6590">
        <w:rPr>
          <w:rFonts w:asciiTheme="minorHAnsi" w:hAnsiTheme="minorHAnsi"/>
          <w:szCs w:val="18"/>
        </w:rPr>
        <w:t xml:space="preserve"> riziko, tzn. projekty sú realizované/ukončené v súlade s harmonogramom, bez omeškania. Naplnenie ukazovateľov z realizovaných projektov by malo byť na úrovni min. 85</w:t>
      </w:r>
      <w:r w:rsidR="0056641D">
        <w:rPr>
          <w:rFonts w:asciiTheme="minorHAnsi" w:hAnsiTheme="minorHAnsi"/>
          <w:szCs w:val="18"/>
        </w:rPr>
        <w:t xml:space="preserve"> </w:t>
      </w:r>
      <w:r w:rsidR="0056641D" w:rsidRPr="00DD6590">
        <w:rPr>
          <w:rFonts w:asciiTheme="minorHAnsi" w:hAnsiTheme="minorHAnsi"/>
          <w:szCs w:val="18"/>
        </w:rPr>
        <w:t>%</w:t>
      </w:r>
      <w:r w:rsidR="0056641D">
        <w:rPr>
          <w:rFonts w:asciiTheme="minorHAnsi" w:hAnsiTheme="minorHAnsi"/>
          <w:szCs w:val="18"/>
        </w:rPr>
        <w:t>,</w:t>
      </w:r>
    </w:p>
    <w:p w14:paraId="13E76773" w14:textId="554E3E81" w:rsidR="00AE05E4" w:rsidRPr="00DD6590" w:rsidRDefault="00AE05E4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56641D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%)</w:t>
      </w:r>
      <w:r w:rsidR="0056641D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  <w:r w:rsidR="0056641D">
        <w:rPr>
          <w:rFonts w:asciiTheme="minorHAnsi" w:hAnsiTheme="minorHAnsi"/>
          <w:szCs w:val="18"/>
        </w:rPr>
        <w:t>ale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56641D">
        <w:rPr>
          <w:rFonts w:asciiTheme="minorHAnsi" w:hAnsiTheme="minorHAnsi"/>
          <w:szCs w:val="18"/>
        </w:rPr>
        <w:t>,</w:t>
      </w:r>
      <w:r w:rsidR="0056641D" w:rsidRPr="00DD6590">
        <w:rPr>
          <w:rFonts w:asciiTheme="minorHAnsi" w:hAnsiTheme="minorHAnsi"/>
          <w:szCs w:val="18"/>
        </w:rPr>
        <w:t xml:space="preserve"> </w:t>
      </w:r>
    </w:p>
    <w:p w14:paraId="2F7863B2" w14:textId="35C0CC75" w:rsidR="00AE05E4" w:rsidRPr="00DD6590" w:rsidRDefault="00AE05E4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56641D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FD1882">
        <w:rPr>
          <w:rFonts w:asciiTheme="minorHAnsi" w:hAnsiTheme="minorHAnsi"/>
          <w:szCs w:val="18"/>
        </w:rPr>
        <w:t>,</w:t>
      </w:r>
      <w:r w:rsidR="00FF58C8" w:rsidRPr="00DD6590">
        <w:rPr>
          <w:rFonts w:asciiTheme="minorHAnsi" w:hAnsiTheme="minorHAnsi"/>
          <w:szCs w:val="18"/>
        </w:rPr>
        <w:t xml:space="preserve"> a 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35DD63CA" w14:textId="77777777" w:rsidR="00AE05E4" w:rsidRPr="00DD6590" w:rsidRDefault="00AE05E4" w:rsidP="00A40396">
      <w:pPr>
        <w:sectPr w:rsidR="00AE05E4" w:rsidRPr="00DD6590" w:rsidSect="00E428A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80" w:right="1411" w:bottom="1411" w:left="1411" w:header="576" w:footer="576" w:gutter="0"/>
          <w:cols w:space="284"/>
          <w:titlePg/>
          <w:docGrid w:linePitch="360"/>
        </w:sectPr>
      </w:pPr>
    </w:p>
    <w:p w14:paraId="3F762DF8" w14:textId="3A0B15B6" w:rsidR="003E3540" w:rsidRPr="00DD6590" w:rsidRDefault="003E3540" w:rsidP="003E3540">
      <w:pPr>
        <w:pStyle w:val="Caption"/>
      </w:pPr>
      <w:bookmarkStart w:id="12" w:name="_Toc8805488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5</w:t>
      </w:r>
      <w:r w:rsidRPr="00DD6590">
        <w:fldChar w:fldCharType="end"/>
      </w:r>
      <w:r w:rsidRPr="00DD6590">
        <w:t xml:space="preserve"> Vyhodnotenie výsledkov realizácie projektov PO5</w:t>
      </w:r>
      <w:bookmarkEnd w:id="12"/>
    </w:p>
    <w:tbl>
      <w:tblPr>
        <w:tblStyle w:val="ListTable3-Accent1"/>
        <w:tblW w:w="5450" w:type="pct"/>
        <w:tblInd w:w="-5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"/>
        <w:gridCol w:w="1665"/>
        <w:gridCol w:w="1324"/>
        <w:gridCol w:w="1519"/>
        <w:gridCol w:w="957"/>
        <w:gridCol w:w="1101"/>
        <w:gridCol w:w="1176"/>
        <w:gridCol w:w="2392"/>
        <w:gridCol w:w="2557"/>
        <w:gridCol w:w="1872"/>
      </w:tblGrid>
      <w:tr w:rsidR="00CC2122" w:rsidRPr="00DD6590" w14:paraId="0E86330A" w14:textId="77777777" w:rsidTr="00A23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2" w:type="pct"/>
            <w:vMerge w:val="restart"/>
            <w:tcBorders>
              <w:top w:val="nil"/>
              <w:left w:val="nil"/>
            </w:tcBorders>
            <w:vAlign w:val="center"/>
          </w:tcPr>
          <w:p w14:paraId="33CE5272" w14:textId="77777777" w:rsidR="00CC2122" w:rsidRPr="00DD6590" w:rsidRDefault="00CC2122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DD6590">
              <w:rPr>
                <w:sz w:val="16"/>
                <w:szCs w:val="16"/>
              </w:rPr>
              <w:t>P.č</w:t>
            </w:r>
            <w:proofErr w:type="spellEnd"/>
            <w:r w:rsidRPr="00DD6590">
              <w:rPr>
                <w:sz w:val="16"/>
                <w:szCs w:val="16"/>
              </w:rPr>
              <w:t>.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DA09B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70ED6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E7E2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C8F29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Stav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CEB5E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Plnenie ukazovateľov výstupu a výsledku</w:t>
            </w:r>
          </w:p>
        </w:tc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35F6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Hlavné zistenia</w:t>
            </w:r>
          </w:p>
        </w:tc>
        <w:tc>
          <w:tcPr>
            <w:tcW w:w="80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8FCC6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Návrh opatrení</w:t>
            </w:r>
          </w:p>
        </w:tc>
      </w:tr>
      <w:tr w:rsidR="00B9021B" w:rsidRPr="00DD6590" w14:paraId="43A48B2B" w14:textId="77777777" w:rsidTr="00A23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vMerge/>
            <w:tcBorders>
              <w:top w:val="nil"/>
              <w:left w:val="nil"/>
            </w:tcBorders>
            <w:vAlign w:val="center"/>
          </w:tcPr>
          <w:p w14:paraId="4D60CAE4" w14:textId="77777777" w:rsidR="00CC2122" w:rsidRPr="00DD6590" w:rsidRDefault="00CC2122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shd w:val="clear" w:color="auto" w:fill="86BC25" w:themeFill="accent1"/>
            <w:vAlign w:val="center"/>
          </w:tcPr>
          <w:p w14:paraId="155478E1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Názov projektu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86BC25" w:themeFill="accent1"/>
            <w:vAlign w:val="center"/>
          </w:tcPr>
          <w:p w14:paraId="64AE005D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Vyhodnotenie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86BC25" w:themeFill="accent1"/>
            <w:vAlign w:val="center"/>
          </w:tcPr>
          <w:p w14:paraId="0250EB92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EÚ zdroje zazmluvnené</w:t>
            </w:r>
            <w:r w:rsidRPr="00DD6590">
              <w:rPr>
                <w:rStyle w:val="FootnoteReference"/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footnoteReference w:id="2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86BC25" w:themeFill="accent1"/>
            <w:vAlign w:val="center"/>
          </w:tcPr>
          <w:p w14:paraId="7569F636" w14:textId="77777777" w:rsidR="00A23EE9" w:rsidRPr="00DD6590" w:rsidRDefault="00A23EE9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Finančné čerpanie</w:t>
            </w:r>
          </w:p>
          <w:p w14:paraId="7D175BF8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(EÚ zdroj)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86BC25" w:themeFill="accent1"/>
            <w:vAlign w:val="center"/>
          </w:tcPr>
          <w:p w14:paraId="04302EA9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Časové čerpanie</w:t>
            </w:r>
            <w:r w:rsidRPr="00DD6590">
              <w:rPr>
                <w:rStyle w:val="FootnoteReference"/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footnoteReference w:id="3"/>
            </w:r>
          </w:p>
        </w:tc>
        <w:tc>
          <w:tcPr>
            <w:tcW w:w="335" w:type="pct"/>
            <w:tcBorders>
              <w:top w:val="nil"/>
              <w:left w:val="nil"/>
              <w:bottom w:val="nil"/>
            </w:tcBorders>
            <w:shd w:val="clear" w:color="auto" w:fill="86BC25" w:themeFill="accent1"/>
            <w:vAlign w:val="center"/>
          </w:tcPr>
          <w:p w14:paraId="477ABCB8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t>Vecné plnenie</w:t>
            </w:r>
            <w:r w:rsidRPr="00DD6590">
              <w:rPr>
                <w:rStyle w:val="FootnoteReference"/>
                <w:rFonts w:asciiTheme="majorHAnsi" w:hAnsiTheme="majorHAnsi"/>
                <w:b/>
                <w:color w:val="FFFFFF" w:themeColor="background1"/>
                <w:sz w:val="16"/>
                <w:szCs w:val="16"/>
              </w:rPr>
              <w:footnoteReference w:id="4"/>
            </w: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86BC25" w:themeFill="accent1"/>
            <w:vAlign w:val="center"/>
          </w:tcPr>
          <w:p w14:paraId="4AA6C8F1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57" w:type="pct"/>
            <w:vMerge/>
            <w:tcBorders>
              <w:top w:val="nil"/>
            </w:tcBorders>
            <w:shd w:val="clear" w:color="auto" w:fill="86BC25" w:themeFill="accent1"/>
            <w:vAlign w:val="center"/>
          </w:tcPr>
          <w:p w14:paraId="7B77A72E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05" w:type="pct"/>
            <w:vMerge/>
            <w:tcBorders>
              <w:top w:val="nil"/>
              <w:right w:val="nil"/>
            </w:tcBorders>
            <w:shd w:val="clear" w:color="auto" w:fill="86BC25" w:themeFill="accent1"/>
            <w:vAlign w:val="center"/>
          </w:tcPr>
          <w:p w14:paraId="3855838D" w14:textId="77777777" w:rsidR="00CC2122" w:rsidRPr="00DD6590" w:rsidRDefault="00CC2122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C2122" w:rsidRPr="00DD6590" w14:paraId="76E23DC5" w14:textId="77777777" w:rsidTr="00A23E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1A7BCD63" w14:textId="77777777" w:rsidR="00A40396" w:rsidRPr="00E428A4" w:rsidRDefault="00A40396" w:rsidP="007A7786">
            <w:pPr>
              <w:spacing w:before="60" w:after="0" w:line="240" w:lineRule="auto"/>
              <w:jc w:val="left"/>
              <w:rPr>
                <w:b w:val="0"/>
                <w:sz w:val="16"/>
                <w:szCs w:val="16"/>
              </w:rPr>
            </w:pPr>
            <w:r w:rsidRPr="00E428A4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85" w:type="pct"/>
            <w:tcBorders>
              <w:left w:val="single" w:sz="4" w:space="0" w:color="92D050"/>
              <w:bottom w:val="single" w:sz="4" w:space="0" w:color="92D050"/>
            </w:tcBorders>
            <w:vAlign w:val="center"/>
          </w:tcPr>
          <w:p w14:paraId="1A82FD7F" w14:textId="40706611" w:rsidR="00A40396" w:rsidRPr="00DD6590" w:rsidRDefault="00A40396" w:rsidP="00700B8E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ŽSR, Elektrifikácia trate Bánovce nad Ondavou </w:t>
            </w:r>
            <w:r w:rsidR="0056641D">
              <w:rPr>
                <w:rFonts w:asciiTheme="majorHAnsi" w:hAnsiTheme="majorHAnsi"/>
                <w:sz w:val="16"/>
                <w:szCs w:val="16"/>
              </w:rPr>
              <w:t>‒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Humenné, projektová dokumentácia (DÚR, DSP, DRS)</w:t>
            </w:r>
          </w:p>
        </w:tc>
        <w:tc>
          <w:tcPr>
            <w:tcW w:w="445" w:type="pct"/>
            <w:shd w:val="clear" w:color="auto" w:fill="D0EC9F"/>
            <w:vAlign w:val="center"/>
          </w:tcPr>
          <w:p w14:paraId="2E43C342" w14:textId="77777777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10" w:type="pct"/>
            <w:tcBorders>
              <w:right w:val="single" w:sz="4" w:space="0" w:color="92D050"/>
            </w:tcBorders>
            <w:vAlign w:val="center"/>
          </w:tcPr>
          <w:p w14:paraId="78A697CF" w14:textId="3308718B" w:rsidR="00A40396" w:rsidRPr="00DD6590" w:rsidRDefault="00A40396" w:rsidP="001D7490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1</w:t>
            </w:r>
            <w:r w:rsidR="001D7490" w:rsidRPr="00DD6590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632</w:t>
            </w:r>
            <w:r w:rsidR="001D7490" w:rsidRPr="00DD6590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204</w:t>
            </w:r>
            <w:r w:rsidR="001D7490" w:rsidRPr="00DD6590">
              <w:rPr>
                <w:rFonts w:asciiTheme="majorHAnsi" w:hAnsiTheme="majorHAnsi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00 </w:t>
            </w:r>
            <w:r w:rsidR="005B21CF">
              <w:rPr>
                <w:rFonts w:asciiTheme="majorHAnsi" w:hAnsiTheme="majorHAnsi"/>
                <w:sz w:val="16"/>
                <w:szCs w:val="16"/>
              </w:rPr>
              <w:t>EUR</w:t>
            </w:r>
          </w:p>
        </w:tc>
        <w:tc>
          <w:tcPr>
            <w:tcW w:w="32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2A1AE26D" w14:textId="1710A5B3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71,69</w:t>
            </w:r>
            <w:r w:rsidR="0056641D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370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46D3DBF" w14:textId="74B17793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63,4</w:t>
            </w:r>
            <w:r w:rsidR="0056641D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335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4DE6B389" w14:textId="57454168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70</w:t>
            </w:r>
            <w:r w:rsidR="0056641D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730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26825EDF" w14:textId="65F8B364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P0366 </w:t>
            </w:r>
            <w:r w:rsidR="0056641D">
              <w:rPr>
                <w:rFonts w:asciiTheme="majorHAnsi" w:hAnsiTheme="majorHAnsi"/>
                <w:sz w:val="16"/>
                <w:szCs w:val="16"/>
              </w:rPr>
              <w:t>‒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33,3</w:t>
            </w:r>
            <w:r w:rsidR="0056641D">
              <w:rPr>
                <w:rFonts w:asciiTheme="majorHAnsi" w:hAnsiTheme="majorHAnsi"/>
                <w:sz w:val="16"/>
                <w:szCs w:val="16"/>
              </w:rPr>
              <w:t> 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857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727E4B27" w14:textId="3DBA93EE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Plnenie </w:t>
            </w:r>
            <w:r w:rsidR="00774BBB" w:rsidRPr="00DD6590">
              <w:rPr>
                <w:rFonts w:asciiTheme="majorHAnsi" w:hAnsiTheme="majorHAnsi"/>
                <w:sz w:val="16"/>
                <w:szCs w:val="16"/>
              </w:rPr>
              <w:t xml:space="preserve">ukazovateľa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výstupu je rámcovo v súlade s finančným čerpaním. Projekt v rámci hodnoteného obdobia vykazoval plnenie ukazovateľa v hodnote 1 (z 3 plánovaných projektových dokumentácií). </w:t>
            </w:r>
          </w:p>
          <w:p w14:paraId="72161592" w14:textId="1106F1A0" w:rsidR="00A40396" w:rsidRPr="00DD6590" w:rsidRDefault="008918F4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R</w:t>
            </w:r>
            <w:r w:rsidR="00A40396" w:rsidRPr="00DD6590">
              <w:rPr>
                <w:rFonts w:asciiTheme="majorHAnsi" w:hAnsiTheme="majorHAnsi"/>
                <w:sz w:val="16"/>
                <w:szCs w:val="16"/>
              </w:rPr>
              <w:t xml:space="preserve">ealizácia projektu </w:t>
            </w:r>
            <w:r w:rsidR="0056641D">
              <w:rPr>
                <w:rFonts w:asciiTheme="majorHAnsi" w:hAnsiTheme="majorHAnsi"/>
                <w:sz w:val="16"/>
                <w:szCs w:val="16"/>
              </w:rPr>
              <w:t>dosahuje</w:t>
            </w:r>
            <w:r w:rsidR="00A40396" w:rsidRPr="00DD6590">
              <w:rPr>
                <w:rFonts w:asciiTheme="majorHAnsi" w:hAnsiTheme="majorHAnsi"/>
                <w:sz w:val="16"/>
                <w:szCs w:val="16"/>
              </w:rPr>
              <w:t xml:space="preserve"> 70</w:t>
            </w:r>
            <w:r w:rsidR="0056641D">
              <w:rPr>
                <w:rFonts w:asciiTheme="majorHAnsi" w:hAnsiTheme="majorHAnsi"/>
                <w:sz w:val="16"/>
                <w:szCs w:val="16"/>
              </w:rPr>
              <w:t> </w:t>
            </w:r>
            <w:r w:rsidR="00A40396" w:rsidRPr="00DD6590">
              <w:rPr>
                <w:rFonts w:asciiTheme="majorHAnsi" w:hAnsiTheme="majorHAnsi"/>
                <w:sz w:val="16"/>
                <w:szCs w:val="16"/>
              </w:rPr>
              <w:t>% a smeruje  k ukončeniu podľa časového harmonogramu.</w:t>
            </w:r>
          </w:p>
          <w:p w14:paraId="54466C5D" w14:textId="5C905D70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Dá sa predpokladať, že projekt naplní </w:t>
            </w:r>
            <w:r w:rsidR="00244915" w:rsidRPr="00DD6590">
              <w:rPr>
                <w:rFonts w:asciiTheme="majorHAnsi" w:hAnsiTheme="majorHAnsi"/>
                <w:sz w:val="16"/>
                <w:szCs w:val="16"/>
              </w:rPr>
              <w:t>cieľovú hodnotu nastaveného  ukazovateľa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výstupu.</w:t>
            </w:r>
          </w:p>
          <w:p w14:paraId="2CB7FC09" w14:textId="77777777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294CAD5A" w14:textId="7F168ED1" w:rsidR="00A40396" w:rsidRPr="00DD6590" w:rsidRDefault="00A40396" w:rsidP="007A7786">
            <w:pPr>
              <w:pStyle w:val="ListParagraph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Odporúčame dôsledne monitorovať realizáciu projektu, a to hlavne v rámci aktivity </w:t>
            </w:r>
            <w:r w:rsidR="0056641D">
              <w:rPr>
                <w:rFonts w:asciiTheme="majorHAnsi" w:hAnsiTheme="majorHAnsi"/>
                <w:sz w:val="16"/>
                <w:szCs w:val="16"/>
              </w:rPr>
              <w:t>‒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získavanie stavebných povolení</w:t>
            </w:r>
            <w:r w:rsidR="0056641D">
              <w:rPr>
                <w:rFonts w:asciiTheme="majorHAnsi" w:hAnsiTheme="majorHAnsi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ale </w:t>
            </w:r>
            <w:r w:rsidR="0056641D">
              <w:rPr>
                <w:rFonts w:asciiTheme="majorHAnsi" w:hAnsiTheme="majorHAnsi"/>
                <w:sz w:val="16"/>
                <w:szCs w:val="16"/>
              </w:rPr>
              <w:t>aj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 dokumentáciu pre realizáciu stavby, ktoré sú nevyhnutné pre prípravu dokumentácie pre účely výberu zhotoviteľa, vyhlásenie VO a výberu zhotoviteľa samotnej stavby Elektrifikácia trate Bánovce nad Ondavou – Humenné, realizácia, ktorá je plánovaným projektom na rok 2020 s predpokladaným termínom ukončenia realizácie v 1. polroku 2022.</w:t>
            </w:r>
          </w:p>
          <w:p w14:paraId="7DA3257E" w14:textId="63C09A83" w:rsidR="00A40396" w:rsidRPr="00DD6590" w:rsidRDefault="00A40396" w:rsidP="00774BBB">
            <w:pPr>
              <w:pStyle w:val="ListParagraph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 xml:space="preserve">Prípadné </w:t>
            </w:r>
            <w:r w:rsidR="00774BBB" w:rsidRPr="00DD6590">
              <w:rPr>
                <w:rFonts w:asciiTheme="majorHAnsi" w:hAnsiTheme="majorHAnsi"/>
                <w:sz w:val="16"/>
                <w:szCs w:val="16"/>
              </w:rPr>
              <w:t xml:space="preserve">nedočerpané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finančné prostriedky</w:t>
            </w:r>
            <w:r w:rsidR="00700B8E">
              <w:rPr>
                <w:rFonts w:asciiTheme="majorHAnsi" w:hAnsiTheme="majorHAnsi"/>
                <w:sz w:val="16"/>
                <w:szCs w:val="16"/>
              </w:rPr>
              <w:t xml:space="preserve"> odporúčame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44915" w:rsidRPr="00DD6590">
              <w:rPr>
                <w:rFonts w:asciiTheme="majorHAnsi" w:hAnsiTheme="majorHAnsi"/>
                <w:sz w:val="16"/>
                <w:szCs w:val="16"/>
              </w:rPr>
              <w:t xml:space="preserve">využiť </w:t>
            </w:r>
            <w:r w:rsidRPr="00DD6590">
              <w:rPr>
                <w:rFonts w:asciiTheme="majorHAnsi" w:hAnsiTheme="majorHAnsi"/>
                <w:sz w:val="16"/>
                <w:szCs w:val="16"/>
              </w:rPr>
              <w:t>v rámci PO5.</w:t>
            </w:r>
          </w:p>
        </w:tc>
      </w:tr>
      <w:tr w:rsidR="00FD1882" w:rsidRPr="00DD6590" w14:paraId="77401735" w14:textId="77777777" w:rsidTr="00E62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0689717" w14:textId="77777777" w:rsidR="00A40396" w:rsidRPr="00DD6590" w:rsidRDefault="00A40396" w:rsidP="00CC2122">
            <w:pPr>
              <w:spacing w:before="0" w:line="240" w:lineRule="auto"/>
              <w:jc w:val="left"/>
              <w:rPr>
                <w:color w:val="9D9D98" w:themeColor="background2" w:themeShade="BF"/>
                <w:sz w:val="14"/>
                <w:szCs w:val="14"/>
              </w:rPr>
            </w:pPr>
            <w:r w:rsidRPr="00DD6590">
              <w:rPr>
                <w:color w:val="9D9D98" w:themeColor="background2" w:themeShade="BF"/>
                <w:sz w:val="14"/>
                <w:szCs w:val="14"/>
              </w:rPr>
              <w:lastRenderedPageBreak/>
              <w:t>2</w:t>
            </w:r>
          </w:p>
        </w:tc>
        <w:tc>
          <w:tcPr>
            <w:tcW w:w="559" w:type="pct"/>
            <w:tcBorders>
              <w:top w:val="single" w:sz="4" w:space="0" w:color="92D050"/>
              <w:left w:val="single" w:sz="4" w:space="0" w:color="92D050"/>
            </w:tcBorders>
            <w:vAlign w:val="center"/>
          </w:tcPr>
          <w:p w14:paraId="2779362F" w14:textId="1F71EEB9" w:rsidR="00A40396" w:rsidRPr="00DD6590" w:rsidRDefault="00A40396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Vybudovanie infraštruktúry na kontrolu a prípravu vozového parku železničnej osobnej dopravy </w:t>
            </w:r>
            <w:r w:rsidR="00700B8E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Nové Zámky</w:t>
            </w:r>
          </w:p>
        </w:tc>
        <w:tc>
          <w:tcPr>
            <w:tcW w:w="373" w:type="pct"/>
            <w:tcBorders>
              <w:right w:val="single" w:sz="4" w:space="0" w:color="92D050"/>
            </w:tcBorders>
            <w:shd w:val="clear" w:color="auto" w:fill="FFD653"/>
            <w:vAlign w:val="center"/>
          </w:tcPr>
          <w:p w14:paraId="702060F8" w14:textId="77777777" w:rsidR="00A40396" w:rsidRPr="00DD6590" w:rsidRDefault="00A40396" w:rsidP="007A77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2534F744" w14:textId="67DC4BD4" w:rsidR="00A40396" w:rsidRPr="00DD6590" w:rsidRDefault="001D7490" w:rsidP="0066553B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33 601 497,46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="005B21CF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EUR</w:t>
            </w:r>
            <w:r w:rsidR="00A40396" w:rsidRPr="00DD6590">
              <w:rPr>
                <w:rStyle w:val="FootnoteReference"/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footnoteReference w:id="5"/>
            </w:r>
          </w:p>
        </w:tc>
        <w:tc>
          <w:tcPr>
            <w:tcW w:w="32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7BFEB834" w14:textId="74EF7E94" w:rsidR="00A40396" w:rsidRPr="00DD6590" w:rsidRDefault="00A40396" w:rsidP="007A77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28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75ED8E2F" w14:textId="6C06BA5F" w:rsidR="00A40396" w:rsidRPr="00DD6590" w:rsidRDefault="00A40396" w:rsidP="007A77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395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3574A579" w14:textId="2111E012" w:rsidR="00A40396" w:rsidRPr="00DD6590" w:rsidRDefault="00A40396" w:rsidP="007A77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802" w:type="pct"/>
            <w:tcBorders>
              <w:left w:val="single" w:sz="4" w:space="0" w:color="92D050"/>
            </w:tcBorders>
            <w:vAlign w:val="center"/>
          </w:tcPr>
          <w:p w14:paraId="56FCEB4C" w14:textId="095600F6" w:rsidR="00A40396" w:rsidRPr="00DD6590" w:rsidRDefault="00A40396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P0181 </w:t>
            </w:r>
            <w:r w:rsidR="00700B8E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Počet lokalít s odstránením environmentálnej záťaže spôsobenej prevádzkou železničnej dopravy: 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  <w:p w14:paraId="3FDBA25E" w14:textId="436F9F9B" w:rsidR="00A40396" w:rsidRPr="00DD6590" w:rsidRDefault="00A40396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P0206 </w:t>
            </w:r>
            <w:r w:rsidR="00700B8E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Počet nových a/alebo technicky zhodnotených objektov (na železničnej infraštruktúre): 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right w:val="single" w:sz="4" w:space="0" w:color="92D050"/>
            </w:tcBorders>
            <w:vAlign w:val="center"/>
          </w:tcPr>
          <w:p w14:paraId="67F0CF3B" w14:textId="002C6922" w:rsidR="00A40396" w:rsidRPr="00DD6590" w:rsidRDefault="00A40396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Projekt sa ku dňu spracovania </w:t>
            </w:r>
            <w:r w:rsidR="00244915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hodnotenia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nachádzal vo fáze odborného hodnotenia podávanej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.</w:t>
            </w:r>
          </w:p>
          <w:p w14:paraId="1C4AF788" w14:textId="4BB43AEE" w:rsidR="00A40396" w:rsidRPr="00DD6590" w:rsidRDefault="00A40396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Podľa informácií od žiadateľa ZSSK nepredpokladá </w:t>
            </w:r>
            <w:r w:rsidR="00244915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omeškanie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realizácie projektu a nepredpokladá sa ani výskyt iných rizík, okrem rizík spomenutých v 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 ktoré vyplývajú z charakteru projektu (napr. riziko spojené s výberom zhotoviteľa stavebných prác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keďže proces verejného obstarávania nie je ukončený). </w:t>
            </w:r>
          </w:p>
          <w:p w14:paraId="0306E1DE" w14:textId="5C4587C3" w:rsidR="00A40396" w:rsidRPr="00DD6590" w:rsidRDefault="00A40396" w:rsidP="004F53E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Žiadateľ predpokladá naplnenie všetkých stanovených merateľných ukazovateľov projektu,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konkrétne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P0181, ktorý je výstupovým ukazovateľom na úrovni OPII.</w:t>
            </w:r>
          </w:p>
        </w:tc>
        <w:tc>
          <w:tcPr>
            <w:tcW w:w="899" w:type="pct"/>
            <w:tcBorders>
              <w:left w:val="single" w:sz="4" w:space="0" w:color="92D050"/>
              <w:right w:val="single" w:sz="4" w:space="0" w:color="86BC25" w:themeColor="accent1"/>
            </w:tcBorders>
            <w:vAlign w:val="center"/>
          </w:tcPr>
          <w:p w14:paraId="3A13C3BC" w14:textId="361CC526" w:rsidR="00A40396" w:rsidRPr="00DD6590" w:rsidRDefault="00774BBB" w:rsidP="007A7786">
            <w:pPr>
              <w:pStyle w:val="ListParagraph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Projekt je schválený RO OPII a je vo fáze uzatvárania zmluvy o poskytnutí NFP medzi RO OPII a prijímateľom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. Plánovaný začiatok realizácie hlavnej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aktivity 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projektu naplánovaný na 7/2019 je realistický.</w:t>
            </w:r>
          </w:p>
          <w:p w14:paraId="2348E515" w14:textId="727632BB" w:rsidR="00A40396" w:rsidRPr="00DD6590" w:rsidRDefault="00A40396" w:rsidP="007A7786">
            <w:pPr>
              <w:pStyle w:val="ListParagraph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Odporúčame dôsledný monitoring súčasnej situácie a po schválení a podpísaní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zabezpečiť dohľad nad realizáciou projektu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ako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aj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 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nad plnením ukazovateľov projektu.</w:t>
            </w:r>
          </w:p>
          <w:p w14:paraId="2E045510" w14:textId="60E1A686" w:rsidR="00A40396" w:rsidRPr="00DD6590" w:rsidRDefault="00A40396" w:rsidP="007A7786">
            <w:pPr>
              <w:pStyle w:val="ListParagraph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</w:p>
        </w:tc>
      </w:tr>
      <w:tr w:rsidR="00FD1882" w:rsidRPr="00DD6590" w14:paraId="43C359D8" w14:textId="77777777" w:rsidTr="00E62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70C748A2" w14:textId="77777777" w:rsidR="00A40396" w:rsidRPr="00DD6590" w:rsidRDefault="00A40396" w:rsidP="00CC2122">
            <w:pPr>
              <w:spacing w:before="0" w:line="240" w:lineRule="auto"/>
              <w:jc w:val="left"/>
              <w:rPr>
                <w:color w:val="9D9D98" w:themeColor="background2" w:themeShade="BF"/>
                <w:sz w:val="14"/>
                <w:szCs w:val="14"/>
              </w:rPr>
            </w:pPr>
            <w:r w:rsidRPr="00DD6590">
              <w:rPr>
                <w:color w:val="9D9D98" w:themeColor="background2" w:themeShade="BF"/>
                <w:sz w:val="14"/>
                <w:szCs w:val="14"/>
              </w:rPr>
              <w:t>3</w:t>
            </w:r>
          </w:p>
        </w:tc>
        <w:tc>
          <w:tcPr>
            <w:tcW w:w="559" w:type="pct"/>
            <w:tcBorders>
              <w:left w:val="single" w:sz="4" w:space="0" w:color="92D050"/>
              <w:right w:val="single" w:sz="4" w:space="0" w:color="86BC25" w:themeColor="accent1"/>
            </w:tcBorders>
            <w:vAlign w:val="center"/>
          </w:tcPr>
          <w:p w14:paraId="283A5CC6" w14:textId="77777777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Vybudovanie infraštruktúry na kontrolu a prípravu vozového parku železničnej osobnej dopravy – Humenné</w:t>
            </w:r>
          </w:p>
        </w:tc>
        <w:tc>
          <w:tcPr>
            <w:tcW w:w="373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FFD653"/>
            <w:vAlign w:val="center"/>
          </w:tcPr>
          <w:p w14:paraId="6205DD63" w14:textId="77777777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single" w:sz="4" w:space="0" w:color="86BC25" w:themeColor="accent1"/>
              <w:right w:val="single" w:sz="4" w:space="0" w:color="92D050"/>
            </w:tcBorders>
            <w:vAlign w:val="center"/>
          </w:tcPr>
          <w:p w14:paraId="160B076B" w14:textId="3B85298B" w:rsidR="00A40396" w:rsidRPr="00DD6590" w:rsidRDefault="001D7490" w:rsidP="0066553B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22 882 207,51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="005B21CF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EUR</w:t>
            </w:r>
            <w:r w:rsidR="00A40396" w:rsidRPr="00DD6590">
              <w:rPr>
                <w:rStyle w:val="FootnoteReference"/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footnoteReference w:id="6"/>
            </w:r>
          </w:p>
        </w:tc>
        <w:tc>
          <w:tcPr>
            <w:tcW w:w="32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40284F4A" w14:textId="0211B735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28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576A54B" w14:textId="0684C4E5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395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13B01F2B" w14:textId="27A7BB7D" w:rsidR="00A40396" w:rsidRPr="00DD6590" w:rsidRDefault="00A40396" w:rsidP="007A77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700B8E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802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6A85DD4" w14:textId="7E978BD7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P0181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Počet lokalít s odstránením environmentálnej záťaže spôsobenej prevádzkou železničnej dopravy: 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  <w:p w14:paraId="64248A78" w14:textId="16DCA8D9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P0206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Počet nových a/alebo technicky zhodnotených objektov (na železničnej infraštruktúre): 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857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8E1127B" w14:textId="2A465C7C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Projekt sa ku dňu spracovania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hodnoteni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a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nachádzal vo fáze odborného hodnotenia podávanej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.</w:t>
            </w:r>
          </w:p>
          <w:p w14:paraId="1D8EE050" w14:textId="61D3E4CA" w:rsidR="00A40396" w:rsidRPr="00DD6590" w:rsidRDefault="00A4039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Podľa informácií od žiadateľa ZSSK nepredpokladá </w:t>
            </w:r>
            <w:r w:rsidR="001411CB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omeškanie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realizácie projektu a nepredpokladá sa ani </w:t>
            </w:r>
            <w:r w:rsidR="001411CB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výskyt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iných rizík, okrem rizík  spomenutých v 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 ktoré vyplývajú z charakteru projektu (napr. riziko spojené s výberom zhotoviteľa stavebných prác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keďže proces verejného obstarávania nie je ukončený). </w:t>
            </w:r>
          </w:p>
          <w:p w14:paraId="0D40188F" w14:textId="18FD0163" w:rsidR="00A40396" w:rsidRPr="00DD6590" w:rsidRDefault="00A40396" w:rsidP="004F53E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Žiadateľ predpokladá naplnenie všetkých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lastRenderedPageBreak/>
              <w:t xml:space="preserve">stanovených merateľných ukazovateľov projektu,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konkrétne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P0181, ktorý je výstupovým ukazovateľom na úrovni OPII.</w:t>
            </w:r>
          </w:p>
        </w:tc>
        <w:tc>
          <w:tcPr>
            <w:tcW w:w="899" w:type="pct"/>
            <w:tcBorders>
              <w:left w:val="single" w:sz="4" w:space="0" w:color="92D050"/>
              <w:right w:val="single" w:sz="4" w:space="0" w:color="92D050"/>
            </w:tcBorders>
            <w:vAlign w:val="center"/>
          </w:tcPr>
          <w:p w14:paraId="6EFAE1F7" w14:textId="509FF63E" w:rsidR="00A40396" w:rsidRPr="00DD6590" w:rsidRDefault="00774BBB" w:rsidP="007A7786">
            <w:pPr>
              <w:pStyle w:val="ListParagraph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lastRenderedPageBreak/>
              <w:t>Projekt je schválený RO OPII a je vo fáze uzatvárania zmluvy o poskytnutí NFP medzi RO OPII a prijímateľom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. Plánovaný začiatok realizácie hlavnej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aktivity 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projektu naplánovaný na 1</w:t>
            </w:r>
            <w:r w:rsidR="00882E5D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/20</w:t>
            </w:r>
            <w:r w:rsidR="00882E5D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19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je realistický.</w:t>
            </w:r>
          </w:p>
          <w:p w14:paraId="1FFCE3FE" w14:textId="3D2AEAF0" w:rsidR="00A40396" w:rsidRPr="00DD6590" w:rsidRDefault="00A40396" w:rsidP="004F53E1">
            <w:pPr>
              <w:pStyle w:val="ListParagraph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Odporúčame dôsledný monitoring súčasnej situácie a po schválení a podpísaní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zabezpečiť dohľad nad realizáciou projektu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ako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aj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 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nad plnením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lastRenderedPageBreak/>
              <w:t>ukazovateľov projektu.</w:t>
            </w:r>
          </w:p>
        </w:tc>
      </w:tr>
      <w:tr w:rsidR="00CC2122" w:rsidRPr="00DD6590" w14:paraId="4B54FED2" w14:textId="77777777" w:rsidTr="006655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85A93C1" w14:textId="77777777" w:rsidR="00A40396" w:rsidRPr="00DD6590" w:rsidRDefault="00A40396" w:rsidP="00CC2122">
            <w:pPr>
              <w:spacing w:before="0" w:line="240" w:lineRule="auto"/>
              <w:jc w:val="left"/>
              <w:rPr>
                <w:color w:val="9D9D98" w:themeColor="background2" w:themeShade="BF"/>
                <w:sz w:val="14"/>
                <w:szCs w:val="14"/>
              </w:rPr>
            </w:pPr>
            <w:r w:rsidRPr="00DD6590">
              <w:rPr>
                <w:color w:val="9D9D98" w:themeColor="background2" w:themeShade="BF"/>
                <w:sz w:val="14"/>
                <w:szCs w:val="14"/>
              </w:rPr>
              <w:lastRenderedPageBreak/>
              <w:t>4</w:t>
            </w:r>
          </w:p>
        </w:tc>
        <w:tc>
          <w:tcPr>
            <w:tcW w:w="55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5E31641" w14:textId="77777777" w:rsidR="00A40396" w:rsidRPr="00DD6590" w:rsidRDefault="00A40396" w:rsidP="00CC212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Vybudovanie infraštruktúry na kontrolu a prípravu vozového parku železničnej osobnej dopravy – Zvolen</w:t>
            </w:r>
          </w:p>
        </w:tc>
        <w:tc>
          <w:tcPr>
            <w:tcW w:w="373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FFD653"/>
            <w:vAlign w:val="center"/>
          </w:tcPr>
          <w:p w14:paraId="73D9657F" w14:textId="77777777" w:rsidR="00A40396" w:rsidRPr="00DD6590" w:rsidRDefault="00A40396" w:rsidP="00CC2122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617A794" w14:textId="3283C6F7" w:rsidR="00A40396" w:rsidRPr="00DD6590" w:rsidRDefault="001D7490" w:rsidP="0066553B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27 338 486,41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="005B21CF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EUR</w:t>
            </w:r>
            <w:r w:rsidR="00A40396" w:rsidRPr="00DD6590">
              <w:rPr>
                <w:rStyle w:val="FootnoteReference"/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footnoteReference w:id="7"/>
            </w:r>
          </w:p>
        </w:tc>
        <w:tc>
          <w:tcPr>
            <w:tcW w:w="32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484CF15" w14:textId="4C781509" w:rsidR="00A40396" w:rsidRPr="00DD6590" w:rsidRDefault="00A40396" w:rsidP="00CC2122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28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60904E9" w14:textId="0F0B67EF" w:rsidR="00A40396" w:rsidRPr="00DD6590" w:rsidRDefault="00A40396" w:rsidP="00CC2122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395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30E45E5" w14:textId="4F5D8A09" w:rsidR="00A40396" w:rsidRPr="00DD6590" w:rsidRDefault="00A40396" w:rsidP="00CC2122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80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59C47B8" w14:textId="0474BA0A" w:rsidR="00A40396" w:rsidRPr="00DD6590" w:rsidRDefault="00A40396" w:rsidP="00CC212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P0181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Počet lokalít s odstránením environmentálnej záťaže spôsobenej prevádzkou železničnej dopravy: 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  <w:p w14:paraId="37783C67" w14:textId="0D11CFFA" w:rsidR="00A40396" w:rsidRPr="00DD6590" w:rsidRDefault="00A40396" w:rsidP="00CC212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P0206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–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Počet nových a/alebo technicky zhodnotených objektov (na železničnej infraštruktúre): 0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%</w:t>
            </w:r>
          </w:p>
        </w:tc>
        <w:tc>
          <w:tcPr>
            <w:tcW w:w="857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B21E1A" w14:textId="7F646217" w:rsidR="00A40396" w:rsidRPr="00DD6590" w:rsidRDefault="00A40396" w:rsidP="00CC212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Projekt sa ku dňu spracovania 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hodnoteni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a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nachádzal vo fáze odborného hodnotenia podávanej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.</w:t>
            </w:r>
          </w:p>
          <w:p w14:paraId="3E398763" w14:textId="04C43ACF" w:rsidR="00A40396" w:rsidRPr="00DD6590" w:rsidRDefault="00A40396" w:rsidP="00CC212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Podľa informácií od žiadateľa ZSSK nepredpokladá </w:t>
            </w:r>
            <w:r w:rsidR="001411CB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omeškanie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realizácie projektu a nepredpokladá sa ani výskyt iných rizík, okrem rizík spomenutých v 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 ktoré vyplývajú z charakteru projektu (napr. riziko spojené s výberom zhotoviteľa stavebných prác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keďže proces verejného obstarávania nie je ukončený). </w:t>
            </w:r>
          </w:p>
          <w:p w14:paraId="400BC6CB" w14:textId="7710B924" w:rsidR="00A40396" w:rsidRPr="00DD6590" w:rsidRDefault="00A40396" w:rsidP="004F53E1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Žiadateľ predpokladá naplnenie všetkých stanovených merateľných ukazovateľov projektu,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konkrétne</w:t>
            </w:r>
            <w:r w:rsidR="004F53E1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P0181, ktorý je výstupovým ukazovateľom na úrovni OPII.</w:t>
            </w:r>
          </w:p>
        </w:tc>
        <w:tc>
          <w:tcPr>
            <w:tcW w:w="89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ED62DD1" w14:textId="1892814D" w:rsidR="00A40396" w:rsidRPr="00DD6590" w:rsidRDefault="00774BBB" w:rsidP="00CC2122">
            <w:pPr>
              <w:pStyle w:val="ListParagraph"/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Projekt je schválený RO OPII a je vo fáze uzatvárania zmluvy o poskytnutí NFP medzi RO OPII a prijímateľom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. Plánovaný začiatok realizácie hlavnej 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aktivity 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projektu naplánovaný na 1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0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/20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19</w:t>
            </w:r>
            <w:r w:rsidR="00A40396"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je realistický.</w:t>
            </w:r>
          </w:p>
          <w:p w14:paraId="57574DEA" w14:textId="579B7EC8" w:rsidR="00A40396" w:rsidRPr="00DD6590" w:rsidRDefault="00A40396" w:rsidP="00244915">
            <w:pPr>
              <w:pStyle w:val="ListParagraph"/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Odporúčame dôsledný monitoring súčasnej situácie a po schválení a podpísaní </w:t>
            </w:r>
            <w:proofErr w:type="spellStart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zabezpečiť dohľad nad realizáciou projektu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,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 xml:space="preserve"> ako </w:t>
            </w:r>
            <w:r w:rsidR="004F53E1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aj</w:t>
            </w:r>
            <w:r w:rsidRPr="00DD6590">
              <w:rPr>
                <w:rFonts w:asciiTheme="majorHAnsi" w:hAnsiTheme="majorHAnsi"/>
                <w:color w:val="9D9D98" w:themeColor="background2" w:themeShade="BF"/>
                <w:sz w:val="16"/>
                <w:szCs w:val="16"/>
              </w:rPr>
              <w:t> nad plnením ukazovateľov projektu.</w:t>
            </w:r>
          </w:p>
        </w:tc>
      </w:tr>
      <w:tr w:rsidR="00CC2122" w:rsidRPr="00DD6590" w14:paraId="4A2810D2" w14:textId="77777777" w:rsidTr="00CC2122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16C09EF3" w14:textId="77777777" w:rsidR="00A40396" w:rsidRPr="00DD6590" w:rsidRDefault="00A40396" w:rsidP="00CC2122">
            <w:pPr>
              <w:spacing w:before="0" w:line="240" w:lineRule="auto"/>
              <w:jc w:val="left"/>
              <w:rPr>
                <w:sz w:val="14"/>
                <w:szCs w:val="14"/>
              </w:rPr>
            </w:pPr>
          </w:p>
        </w:tc>
        <w:tc>
          <w:tcPr>
            <w:tcW w:w="55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769E8FE3" w14:textId="77777777" w:rsidR="00A40396" w:rsidRPr="00DD6590" w:rsidRDefault="00A40396" w:rsidP="00CC212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  <w:r w:rsidRPr="00DD6590">
              <w:rPr>
                <w:rFonts w:asciiTheme="majorHAnsi" w:hAnsiTheme="majorHAnsi"/>
                <w:b/>
                <w:sz w:val="14"/>
                <w:szCs w:val="14"/>
              </w:rPr>
              <w:t>Celkom</w:t>
            </w:r>
          </w:p>
        </w:tc>
        <w:tc>
          <w:tcPr>
            <w:tcW w:w="373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3C02FFD6" w14:textId="77777777" w:rsidR="00A40396" w:rsidRPr="00DD6590" w:rsidRDefault="00A40396" w:rsidP="00CC2122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  <w:tc>
          <w:tcPr>
            <w:tcW w:w="39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5A1D7EB2" w14:textId="035B9D4B" w:rsidR="00A40396" w:rsidRPr="00DD6590" w:rsidRDefault="00A40396" w:rsidP="001D7490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  <w:r w:rsidRPr="00DD6590">
              <w:rPr>
                <w:rFonts w:asciiTheme="majorHAnsi" w:hAnsiTheme="majorHAnsi"/>
                <w:b/>
                <w:sz w:val="14"/>
                <w:szCs w:val="14"/>
              </w:rPr>
              <w:t>85</w:t>
            </w:r>
            <w:r w:rsidR="001D7490" w:rsidRPr="00DD6590">
              <w:rPr>
                <w:rFonts w:asciiTheme="majorHAnsi" w:hAnsiTheme="majorHAnsi"/>
                <w:b/>
                <w:sz w:val="14"/>
                <w:szCs w:val="14"/>
              </w:rPr>
              <w:t xml:space="preserve"> 454 395,3</w:t>
            </w:r>
            <w:r w:rsidRPr="00DD6590">
              <w:rPr>
                <w:rFonts w:asciiTheme="majorHAnsi" w:hAnsiTheme="majorHAnsi"/>
                <w:b/>
                <w:sz w:val="14"/>
                <w:szCs w:val="14"/>
              </w:rPr>
              <w:t xml:space="preserve">8 </w:t>
            </w:r>
            <w:r w:rsidR="005B21CF">
              <w:rPr>
                <w:rFonts w:asciiTheme="majorHAnsi" w:hAnsiTheme="majorHAnsi"/>
                <w:b/>
                <w:sz w:val="14"/>
                <w:szCs w:val="14"/>
              </w:rPr>
              <w:t>EUR</w:t>
            </w:r>
          </w:p>
        </w:tc>
        <w:tc>
          <w:tcPr>
            <w:tcW w:w="32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38925738" w14:textId="365658AA" w:rsidR="00A40396" w:rsidRPr="00DD6590" w:rsidRDefault="00A40396" w:rsidP="001D7490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  <w:r w:rsidRPr="00DD6590">
              <w:rPr>
                <w:rFonts w:asciiTheme="majorHAnsi" w:hAnsiTheme="majorHAnsi"/>
                <w:b/>
                <w:sz w:val="14"/>
                <w:szCs w:val="14"/>
              </w:rPr>
              <w:t>1,3</w:t>
            </w:r>
            <w:r w:rsidR="001D7490" w:rsidRPr="00DD6590">
              <w:rPr>
                <w:rFonts w:asciiTheme="majorHAnsi" w:hAnsiTheme="majorHAnsi"/>
                <w:b/>
                <w:sz w:val="14"/>
                <w:szCs w:val="14"/>
              </w:rPr>
              <w:t>7</w:t>
            </w:r>
            <w:r w:rsidR="004F53E1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Pr="00DD6590">
              <w:rPr>
                <w:rFonts w:asciiTheme="majorHAnsi" w:hAnsiTheme="majorHAnsi"/>
                <w:b/>
                <w:sz w:val="14"/>
                <w:szCs w:val="14"/>
              </w:rPr>
              <w:t>%</w:t>
            </w:r>
            <w:r w:rsidRPr="00DD6590">
              <w:rPr>
                <w:rStyle w:val="FootnoteReference"/>
                <w:rFonts w:asciiTheme="majorHAnsi" w:hAnsiTheme="majorHAnsi"/>
                <w:b/>
                <w:sz w:val="14"/>
                <w:szCs w:val="14"/>
              </w:rPr>
              <w:footnoteReference w:id="8"/>
            </w:r>
          </w:p>
        </w:tc>
        <w:tc>
          <w:tcPr>
            <w:tcW w:w="28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6128D00A" w14:textId="77777777" w:rsidR="00A40396" w:rsidRPr="00DD6590" w:rsidRDefault="00A40396" w:rsidP="00CC2122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75C20185" w14:textId="77777777" w:rsidR="00A40396" w:rsidRPr="00DD6590" w:rsidRDefault="00A40396" w:rsidP="00CC2122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  <w:tc>
          <w:tcPr>
            <w:tcW w:w="802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2EC14F1E" w14:textId="77777777" w:rsidR="00A40396" w:rsidRPr="00DD6590" w:rsidRDefault="00A40396" w:rsidP="00CC212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  <w:tc>
          <w:tcPr>
            <w:tcW w:w="857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4904F8DB" w14:textId="77777777" w:rsidR="00A40396" w:rsidRPr="00DD6590" w:rsidRDefault="00A40396" w:rsidP="00CC212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  <w:tc>
          <w:tcPr>
            <w:tcW w:w="899" w:type="pct"/>
            <w:tcBorders>
              <w:left w:val="single" w:sz="4" w:space="0" w:color="86BC25" w:themeColor="accent1"/>
              <w:right w:val="single" w:sz="4" w:space="0" w:color="86BC25" w:themeColor="accent1"/>
            </w:tcBorders>
            <w:shd w:val="clear" w:color="auto" w:fill="E7F5CF" w:themeFill="accent1" w:themeFillTint="33"/>
            <w:vAlign w:val="center"/>
          </w:tcPr>
          <w:p w14:paraId="5ECBC3EC" w14:textId="77777777" w:rsidR="00A40396" w:rsidRPr="00DD6590" w:rsidRDefault="00A40396" w:rsidP="00CC212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</w:tr>
    </w:tbl>
    <w:p w14:paraId="1DDD9AD9" w14:textId="4A41E04B" w:rsidR="00E428A4" w:rsidRDefault="00E428A4" w:rsidP="001D7490">
      <w:bookmarkStart w:id="13" w:name="_Toc9350283"/>
    </w:p>
    <w:p w14:paraId="5C46737D" w14:textId="77777777" w:rsidR="00E428A4" w:rsidRDefault="00E428A4">
      <w:pPr>
        <w:spacing w:before="0" w:after="200" w:line="276" w:lineRule="auto"/>
        <w:jc w:val="left"/>
      </w:pPr>
      <w:r>
        <w:br w:type="page"/>
      </w:r>
    </w:p>
    <w:p w14:paraId="4CF7EE03" w14:textId="372191A8" w:rsidR="00A40396" w:rsidRPr="00DD6590" w:rsidRDefault="00A40396" w:rsidP="00B0035E">
      <w:pPr>
        <w:pStyle w:val="Heading2"/>
      </w:pPr>
      <w:r w:rsidRPr="00DD6590">
        <w:lastRenderedPageBreak/>
        <w:t>Vyhodnotenie plnenia výstupových, výsledkových a finančných ukazovateľov v rámci PO</w:t>
      </w:r>
      <w:bookmarkEnd w:id="13"/>
    </w:p>
    <w:p w14:paraId="5E72C2A1" w14:textId="77777777" w:rsidR="00A40396" w:rsidRPr="00DD6590" w:rsidRDefault="00A40396" w:rsidP="00A40396">
      <w:pPr>
        <w:rPr>
          <w:i/>
          <w:u w:val="single"/>
        </w:rPr>
      </w:pPr>
      <w:r w:rsidRPr="00DD6590">
        <w:rPr>
          <w:i/>
          <w:u w:val="single"/>
        </w:rPr>
        <w:t>Vyhodnotenie ukazovateľov výsledku</w:t>
      </w:r>
    </w:p>
    <w:p w14:paraId="73A176A6" w14:textId="78D1CAF8" w:rsidR="00E17868" w:rsidRPr="00DD6590" w:rsidRDefault="00E17868" w:rsidP="00E17868">
      <w:pPr>
        <w:pStyle w:val="Caption"/>
      </w:pPr>
      <w:bookmarkStart w:id="14" w:name="_Toc8805489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6</w:t>
      </w:r>
      <w:r w:rsidRPr="00DD6590">
        <w:fldChar w:fldCharType="end"/>
      </w:r>
      <w:r w:rsidRPr="00DD6590">
        <w:t xml:space="preserve"> Vyhodnotenie ukazovateľov PO5</w:t>
      </w:r>
      <w:bookmarkEnd w:id="14"/>
      <w:r w:rsidRPr="00DD6590">
        <w:t xml:space="preserve"> </w:t>
      </w:r>
    </w:p>
    <w:tbl>
      <w:tblPr>
        <w:tblStyle w:val="TableGrid"/>
        <w:tblW w:w="14584" w:type="dxa"/>
        <w:tblInd w:w="-27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1"/>
        <w:gridCol w:w="1348"/>
        <w:gridCol w:w="1263"/>
        <w:gridCol w:w="1260"/>
        <w:gridCol w:w="1350"/>
        <w:gridCol w:w="1167"/>
        <w:gridCol w:w="963"/>
        <w:gridCol w:w="4168"/>
      </w:tblGrid>
      <w:tr w:rsidR="00A40396" w:rsidRPr="00DD6590" w14:paraId="37691713" w14:textId="77777777" w:rsidTr="002B6E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4"/>
        </w:trPr>
        <w:tc>
          <w:tcPr>
            <w:tcW w:w="156" w:type="pct"/>
            <w:shd w:val="clear" w:color="auto" w:fill="DBDCDE" w:themeFill="text2" w:themeFillTint="33"/>
            <w:vAlign w:val="center"/>
          </w:tcPr>
          <w:p w14:paraId="1451A82E" w14:textId="77777777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95" w:type="pct"/>
            <w:shd w:val="clear" w:color="auto" w:fill="DBDCDE" w:themeFill="text2" w:themeFillTint="33"/>
            <w:vAlign w:val="center"/>
          </w:tcPr>
          <w:p w14:paraId="1BADB984" w14:textId="77777777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462" w:type="pct"/>
            <w:shd w:val="clear" w:color="auto" w:fill="DBDCDE" w:themeFill="text2" w:themeFillTint="33"/>
            <w:vAlign w:val="center"/>
          </w:tcPr>
          <w:p w14:paraId="72B2B765" w14:textId="77777777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433" w:type="pct"/>
            <w:shd w:val="clear" w:color="auto" w:fill="DBDCDE" w:themeFill="text2" w:themeFillTint="33"/>
            <w:vAlign w:val="center"/>
          </w:tcPr>
          <w:p w14:paraId="4D32919B" w14:textId="4280CFE5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E67729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432" w:type="pct"/>
            <w:shd w:val="clear" w:color="auto" w:fill="DBDCDE" w:themeFill="text2" w:themeFillTint="33"/>
            <w:vAlign w:val="center"/>
          </w:tcPr>
          <w:p w14:paraId="2808C126" w14:textId="2B7F60C0" w:rsidR="00A40396" w:rsidRPr="00DD6590" w:rsidRDefault="00E67729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Plánovaná ú</w:t>
            </w:r>
            <w:r w:rsidR="00A40396" w:rsidRPr="00DD6590">
              <w:rPr>
                <w:b/>
                <w:sz w:val="16"/>
                <w:szCs w:val="16"/>
              </w:rPr>
              <w:t xml:space="preserve">spora </w:t>
            </w:r>
            <w:r w:rsidR="00A40396" w:rsidRPr="00DD6590">
              <w:rPr>
                <w:b/>
                <w:sz w:val="16"/>
                <w:szCs w:val="16"/>
              </w:rPr>
              <w:br/>
              <w:t>(2013-2023)</w:t>
            </w:r>
          </w:p>
        </w:tc>
        <w:tc>
          <w:tcPr>
            <w:tcW w:w="463" w:type="pct"/>
            <w:shd w:val="clear" w:color="auto" w:fill="DBDCDE" w:themeFill="text2" w:themeFillTint="33"/>
            <w:vAlign w:val="center"/>
          </w:tcPr>
          <w:p w14:paraId="72E6A079" w14:textId="77777777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400" w:type="pct"/>
            <w:shd w:val="clear" w:color="auto" w:fill="DBDCDE" w:themeFill="text2" w:themeFillTint="33"/>
            <w:vAlign w:val="center"/>
          </w:tcPr>
          <w:p w14:paraId="14A741B6" w14:textId="77777777" w:rsidR="00A40396" w:rsidRPr="00DD6590" w:rsidRDefault="00A40396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330" w:type="pct"/>
            <w:shd w:val="clear" w:color="auto" w:fill="DBDCDE" w:themeFill="text2" w:themeFillTint="33"/>
            <w:vAlign w:val="center"/>
          </w:tcPr>
          <w:p w14:paraId="6F90B16A" w14:textId="77777777" w:rsidR="00A40396" w:rsidRPr="00DD6590" w:rsidRDefault="00A40396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1429" w:type="pct"/>
            <w:shd w:val="clear" w:color="auto" w:fill="DBDCDE" w:themeFill="text2" w:themeFillTint="33"/>
            <w:vAlign w:val="center"/>
          </w:tcPr>
          <w:p w14:paraId="1CF32898" w14:textId="77777777" w:rsidR="00A40396" w:rsidRPr="00DD6590" w:rsidRDefault="00A403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A40396" w:rsidRPr="00DD6590" w14:paraId="1D1D8BFA" w14:textId="77777777" w:rsidTr="002B6E06">
        <w:trPr>
          <w:trHeight w:val="184"/>
        </w:trPr>
        <w:tc>
          <w:tcPr>
            <w:tcW w:w="156" w:type="pct"/>
            <w:vAlign w:val="center"/>
          </w:tcPr>
          <w:p w14:paraId="55A71529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895" w:type="pct"/>
            <w:vAlign w:val="center"/>
          </w:tcPr>
          <w:p w14:paraId="05E396E5" w14:textId="77777777" w:rsidR="00A40396" w:rsidRPr="00DD6590" w:rsidRDefault="00A40396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času v železničnej doprave</w:t>
            </w:r>
          </w:p>
        </w:tc>
        <w:tc>
          <w:tcPr>
            <w:tcW w:w="462" w:type="pct"/>
            <w:vAlign w:val="center"/>
          </w:tcPr>
          <w:p w14:paraId="0720903C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1 870 908 EUR</w:t>
            </w:r>
          </w:p>
        </w:tc>
        <w:tc>
          <w:tcPr>
            <w:tcW w:w="433" w:type="pct"/>
            <w:vAlign w:val="center"/>
          </w:tcPr>
          <w:p w14:paraId="0749F464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1 558 999 EUR</w:t>
            </w:r>
          </w:p>
        </w:tc>
        <w:tc>
          <w:tcPr>
            <w:tcW w:w="432" w:type="pct"/>
            <w:vAlign w:val="center"/>
          </w:tcPr>
          <w:p w14:paraId="3B314259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311 909 EUR</w:t>
            </w:r>
          </w:p>
        </w:tc>
        <w:tc>
          <w:tcPr>
            <w:tcW w:w="463" w:type="pct"/>
            <w:vAlign w:val="center"/>
          </w:tcPr>
          <w:p w14:paraId="6BCB15A3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0,00 EUR</w:t>
            </w:r>
          </w:p>
        </w:tc>
        <w:tc>
          <w:tcPr>
            <w:tcW w:w="400" w:type="pct"/>
            <w:shd w:val="clear" w:color="auto" w:fill="EF858F"/>
            <w:vAlign w:val="center"/>
          </w:tcPr>
          <w:p w14:paraId="690A0F17" w14:textId="6AAB7ECB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4F53E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0" w:type="pct"/>
            <w:vAlign w:val="center"/>
          </w:tcPr>
          <w:p w14:paraId="41F1CF61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9" w:type="pct"/>
            <w:vAlign w:val="center"/>
          </w:tcPr>
          <w:p w14:paraId="74AD96E6" w14:textId="6CAE0988" w:rsidR="00A40396" w:rsidRPr="00DD6590" w:rsidRDefault="00A40396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Úspora času v železničnej doprave je výsledkový ukazovateľ, ktorý sa </w:t>
            </w:r>
            <w:r w:rsidR="004E3A07" w:rsidRPr="00DD6590">
              <w:rPr>
                <w:color w:val="000000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4F53E1">
              <w:rPr>
                <w:color w:val="000000"/>
                <w:sz w:val="16"/>
                <w:szCs w:val="16"/>
              </w:rPr>
              <w:t>v</w:t>
            </w:r>
            <w:r w:rsidR="004F53E1" w:rsidRPr="00DD6590">
              <w:rPr>
                <w:color w:val="000000"/>
                <w:sz w:val="16"/>
                <w:szCs w:val="16"/>
              </w:rPr>
              <w:t xml:space="preserve"> </w:t>
            </w:r>
            <w:r w:rsidR="00F648EB" w:rsidRPr="00DD6590">
              <w:rPr>
                <w:color w:val="000000"/>
                <w:sz w:val="16"/>
                <w:szCs w:val="16"/>
              </w:rPr>
              <w:t xml:space="preserve">jednom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F648EB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68CFA0E3" w14:textId="29163B3B" w:rsidR="00527D72" w:rsidRPr="00DD6590" w:rsidRDefault="004F53E1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DD6590">
              <w:rPr>
                <w:color w:val="000000"/>
                <w:sz w:val="16"/>
                <w:szCs w:val="16"/>
              </w:rPr>
              <w:t>rojektov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DD6590">
              <w:rPr>
                <w:color w:val="000000"/>
                <w:sz w:val="16"/>
                <w:szCs w:val="16"/>
              </w:rPr>
              <w:t xml:space="preserve"> manažér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v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dotazník</w:t>
            </w:r>
            <w:r>
              <w:rPr>
                <w:color w:val="000000"/>
                <w:sz w:val="16"/>
                <w:szCs w:val="16"/>
              </w:rPr>
              <w:t>u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identifikova</w:t>
            </w:r>
            <w:r>
              <w:rPr>
                <w:color w:val="000000"/>
                <w:sz w:val="16"/>
                <w:szCs w:val="16"/>
              </w:rPr>
              <w:t>li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tri plánované projekty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 (Elektrifikácia trate Haniska pri Košiciach </w:t>
            </w:r>
            <w:r w:rsidRPr="0066553B">
              <w:rPr>
                <w:color w:val="000000"/>
                <w:sz w:val="16"/>
                <w:szCs w:val="16"/>
              </w:rPr>
              <w:t>‒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 Moldava nad Bodvou, realizácia</w:t>
            </w:r>
            <w:r>
              <w:rPr>
                <w:color w:val="000000"/>
                <w:sz w:val="16"/>
                <w:szCs w:val="16"/>
              </w:rPr>
              <w:t>;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Modernizácia koridoru št. hranica ČR/SR – Čadca – Krásno nad Kysucou, úsek štátna hranica ČR/SR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 Čadca (mimo) a ŽSR</w:t>
            </w:r>
            <w:r>
              <w:rPr>
                <w:color w:val="000000"/>
                <w:sz w:val="16"/>
                <w:szCs w:val="16"/>
              </w:rPr>
              <w:t>;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Elektrifikácia trate Bánovce nad Ondavou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 Humenné, realizácia)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, ktoré budú napĺňať tento ukazovateľ, </w:t>
            </w:r>
            <w:r>
              <w:rPr>
                <w:color w:val="000000"/>
                <w:sz w:val="16"/>
                <w:szCs w:val="16"/>
              </w:rPr>
              <w:t>ale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nebolo identifikované do akej výšky. </w:t>
            </w:r>
            <w:r w:rsidR="00560C96" w:rsidRPr="00DD6590">
              <w:rPr>
                <w:color w:val="000000"/>
                <w:sz w:val="16"/>
                <w:szCs w:val="16"/>
              </w:rPr>
              <w:t>P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rojekty by mali byť </w:t>
            </w:r>
            <w:r w:rsidR="00560C96" w:rsidRPr="00DD6590">
              <w:rPr>
                <w:color w:val="000000"/>
                <w:sz w:val="16"/>
                <w:szCs w:val="16"/>
              </w:rPr>
              <w:t xml:space="preserve">na základe dotazníka od žiadateľa </w:t>
            </w:r>
            <w:r w:rsidR="00A40396" w:rsidRPr="00DD6590">
              <w:rPr>
                <w:color w:val="000000"/>
                <w:sz w:val="16"/>
                <w:szCs w:val="16"/>
              </w:rPr>
              <w:t>predložené riadiacemu orgánu v 1. štvrťroku 2020 a ich realizácia by mala byť ukončená v 1. polroku 2022</w:t>
            </w:r>
            <w:r w:rsidR="00527D72"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005C0607" w14:textId="6E3B5E68" w:rsidR="00527D72" w:rsidRPr="00DD6590" w:rsidRDefault="00527D72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0E9545BA" w14:textId="58FD4939" w:rsidR="00A40396" w:rsidRPr="00DD6590" w:rsidRDefault="00527D72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elektrifikáciu a modernizáciu železničných tratí, a to hlavne projekty s najvyššou cieľovou hodnotou ukazovateľa</w:t>
            </w:r>
            <w:r w:rsidR="004F53E1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ako </w:t>
            </w:r>
            <w:r w:rsidR="004F53E1">
              <w:rPr>
                <w:color w:val="000000"/>
                <w:sz w:val="16"/>
                <w:szCs w:val="16"/>
              </w:rPr>
              <w:t>aj</w:t>
            </w:r>
            <w:r w:rsidR="004F53E1" w:rsidRPr="00DD6590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projekty, ktoré budú prispievať k napĺňaniu iných rizikových merateľných ukazovateľov (</w:t>
            </w: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a PM</w:t>
            </w:r>
            <w:r w:rsidRPr="00DD6590">
              <w:rPr>
                <w:sz w:val="16"/>
                <w:szCs w:val="16"/>
                <w:vertAlign w:val="subscript"/>
              </w:rPr>
              <w:t xml:space="preserve">10 </w:t>
            </w:r>
            <w:r w:rsidRPr="00DD6590">
              <w:rPr>
                <w:sz w:val="16"/>
                <w:szCs w:val="16"/>
              </w:rPr>
              <w:t>(vplyvom elektrifikácie tratí), Celková dĺžka rekonštruovaných alebo zrenovovaných železničných tratí v sieti TEN-T).</w:t>
            </w:r>
          </w:p>
          <w:p w14:paraId="31555294" w14:textId="77777777" w:rsidR="00560C96" w:rsidRPr="00DD6590" w:rsidRDefault="00560C96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Prehodnotiť cieľovú hodnotu ukazovateľa na základe aktuálneho stavu projektov</w:t>
            </w:r>
            <w:r w:rsidR="00E066EC" w:rsidRPr="00DD6590">
              <w:rPr>
                <w:sz w:val="16"/>
                <w:szCs w:val="16"/>
              </w:rPr>
              <w:t xml:space="preserve"> a zmien manuálu CBA</w:t>
            </w:r>
            <w:r w:rsidRPr="00DD6590">
              <w:rPr>
                <w:sz w:val="16"/>
                <w:szCs w:val="16"/>
              </w:rPr>
              <w:t xml:space="preserve">. </w:t>
            </w:r>
          </w:p>
          <w:p w14:paraId="01971C19" w14:textId="720C2D13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A40396" w:rsidRPr="00DD6590" w14:paraId="13FA7169" w14:textId="77777777" w:rsidTr="002B6E06">
        <w:trPr>
          <w:trHeight w:val="184"/>
        </w:trPr>
        <w:tc>
          <w:tcPr>
            <w:tcW w:w="156" w:type="pct"/>
            <w:vAlign w:val="center"/>
          </w:tcPr>
          <w:p w14:paraId="118FC5B3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895" w:type="pct"/>
            <w:vAlign w:val="center"/>
          </w:tcPr>
          <w:p w14:paraId="53A014C4" w14:textId="77777777" w:rsidR="00A40396" w:rsidRPr="00DD6590" w:rsidRDefault="00A40396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Miera elektrifikácie železničných tratí </w:t>
            </w:r>
          </w:p>
        </w:tc>
        <w:tc>
          <w:tcPr>
            <w:tcW w:w="462" w:type="pct"/>
            <w:vAlign w:val="center"/>
          </w:tcPr>
          <w:p w14:paraId="3F499642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44,06 %</w:t>
            </w:r>
          </w:p>
        </w:tc>
        <w:tc>
          <w:tcPr>
            <w:tcW w:w="433" w:type="pct"/>
            <w:vAlign w:val="center"/>
          </w:tcPr>
          <w:p w14:paraId="0516251E" w14:textId="5A2A6F45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45,57</w:t>
            </w:r>
            <w:r w:rsidR="00A939D8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432" w:type="pct"/>
            <w:vAlign w:val="center"/>
          </w:tcPr>
          <w:p w14:paraId="3D9A99C9" w14:textId="0D8C4494" w:rsidR="00A40396" w:rsidRPr="00DD6590" w:rsidRDefault="00102A6C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3" w:type="pct"/>
            <w:vAlign w:val="center"/>
          </w:tcPr>
          <w:p w14:paraId="6F0A7C19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0 %</w:t>
            </w:r>
          </w:p>
        </w:tc>
        <w:tc>
          <w:tcPr>
            <w:tcW w:w="400" w:type="pct"/>
            <w:shd w:val="clear" w:color="auto" w:fill="EF858F"/>
            <w:vAlign w:val="center"/>
          </w:tcPr>
          <w:p w14:paraId="0047C140" w14:textId="072ADC86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A939D8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0" w:type="pct"/>
            <w:vAlign w:val="center"/>
          </w:tcPr>
          <w:p w14:paraId="5BCD5298" w14:textId="77777777" w:rsidR="00A40396" w:rsidRPr="00DD6590" w:rsidRDefault="00A40396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9" w:type="pct"/>
            <w:vAlign w:val="center"/>
          </w:tcPr>
          <w:p w14:paraId="6EE680B6" w14:textId="07EF03ED" w:rsidR="00A40396" w:rsidRPr="00DD6590" w:rsidRDefault="00A40396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Miera elektrifikácie železničných tratí je výsledkový ukazovateľ, ktorý sa </w:t>
            </w:r>
            <w:r w:rsidR="004E3A07" w:rsidRPr="00DD6590">
              <w:rPr>
                <w:color w:val="000000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A939D8">
              <w:rPr>
                <w:color w:val="000000"/>
                <w:sz w:val="16"/>
                <w:szCs w:val="16"/>
              </w:rPr>
              <w:t>v</w:t>
            </w:r>
            <w:r w:rsidR="00A939D8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jed</w:t>
            </w:r>
            <w:r w:rsidR="004B55AE" w:rsidRPr="00DD6590">
              <w:rPr>
                <w:color w:val="000000"/>
                <w:sz w:val="16"/>
                <w:szCs w:val="16"/>
              </w:rPr>
              <w:t>nom</w:t>
            </w:r>
            <w:r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4B55AE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1BE4B922" w14:textId="35230857" w:rsidR="00A40396" w:rsidRPr="00DD6590" w:rsidRDefault="00A939D8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P</w:t>
            </w:r>
            <w:r w:rsidRPr="00DD6590">
              <w:rPr>
                <w:color w:val="000000"/>
                <w:sz w:val="16"/>
                <w:szCs w:val="16"/>
              </w:rPr>
              <w:t>rojektov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DD6590">
              <w:rPr>
                <w:color w:val="000000"/>
                <w:sz w:val="16"/>
                <w:szCs w:val="16"/>
              </w:rPr>
              <w:t xml:space="preserve"> manažér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v</w:t>
            </w:r>
            <w:r w:rsidRPr="00DD6590">
              <w:rPr>
                <w:color w:val="000000"/>
                <w:sz w:val="16"/>
                <w:szCs w:val="16"/>
              </w:rPr>
              <w:t xml:space="preserve"> dotazník</w:t>
            </w:r>
            <w:r>
              <w:rPr>
                <w:color w:val="000000"/>
                <w:sz w:val="16"/>
                <w:szCs w:val="16"/>
              </w:rPr>
              <w:t>u</w:t>
            </w:r>
            <w:r w:rsidRPr="00DD6590">
              <w:rPr>
                <w:color w:val="000000"/>
                <w:sz w:val="16"/>
                <w:szCs w:val="16"/>
              </w:rPr>
              <w:t xml:space="preserve"> identifikova</w:t>
            </w:r>
            <w:r>
              <w:rPr>
                <w:color w:val="000000"/>
                <w:sz w:val="16"/>
                <w:szCs w:val="16"/>
              </w:rPr>
              <w:t>li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305EEE" w:rsidRPr="00DD6590">
              <w:rPr>
                <w:color w:val="000000"/>
                <w:sz w:val="16"/>
                <w:szCs w:val="16"/>
              </w:rPr>
              <w:t>tri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plánovan</w:t>
            </w:r>
            <w:r w:rsidR="00305EEE" w:rsidRPr="00DD6590">
              <w:rPr>
                <w:color w:val="000000"/>
                <w:sz w:val="16"/>
                <w:szCs w:val="16"/>
              </w:rPr>
              <w:t>é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305EEE" w:rsidRPr="00DD6590">
              <w:rPr>
                <w:color w:val="000000"/>
                <w:sz w:val="16"/>
                <w:szCs w:val="16"/>
              </w:rPr>
              <w:t>y</w:t>
            </w:r>
            <w:r w:rsidR="001411CB" w:rsidRPr="00DD6590">
              <w:rPr>
                <w:color w:val="000000"/>
                <w:sz w:val="16"/>
                <w:szCs w:val="16"/>
              </w:rPr>
              <w:t xml:space="preserve"> (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Elektrifikácia trate Haniska pri Košiciach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Moldava nad Bodvou, realizácia</w:t>
            </w:r>
            <w:r>
              <w:rPr>
                <w:color w:val="000000"/>
                <w:sz w:val="16"/>
                <w:szCs w:val="16"/>
              </w:rPr>
              <w:t>;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ŽSR, Elektrifikácia trate Bánovce nad Ondavou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Humenné, realizácia a ŽSR, dostavba zriaďovacej stanice Žilina Teplička a nadväzujúcej železničnej infraštruktúry v uzle Žilina</w:t>
            </w:r>
            <w:r>
              <w:rPr>
                <w:color w:val="000000"/>
                <w:sz w:val="16"/>
                <w:szCs w:val="16"/>
              </w:rPr>
              <w:t>,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realizácia (časť financovaná z PO5)</w:t>
            </w:r>
            <w:r w:rsidR="00A40396" w:rsidRPr="00DD6590">
              <w:rPr>
                <w:color w:val="000000"/>
                <w:sz w:val="16"/>
                <w:szCs w:val="16"/>
              </w:rPr>
              <w:t>, ktor</w:t>
            </w:r>
            <w:r w:rsidR="00305EEE" w:rsidRPr="00DD6590">
              <w:rPr>
                <w:color w:val="000000"/>
                <w:sz w:val="16"/>
                <w:szCs w:val="16"/>
              </w:rPr>
              <w:t>é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 </w:t>
            </w:r>
            <w:r w:rsidR="00305EEE" w:rsidRPr="00DD6590">
              <w:rPr>
                <w:color w:val="000000"/>
                <w:sz w:val="16"/>
                <w:szCs w:val="16"/>
              </w:rPr>
              <w:t xml:space="preserve">by mali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napĺňať tento ukazovateľ. </w:t>
            </w:r>
          </w:p>
          <w:p w14:paraId="309F204C" w14:textId="77777777" w:rsidR="00A40396" w:rsidRPr="00DD6590" w:rsidRDefault="00A40396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63A6E05E" w14:textId="546148CC" w:rsidR="00A40396" w:rsidRPr="00DD6590" w:rsidRDefault="00A40396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</w:t>
            </w:r>
            <w:r w:rsidR="00305EEE" w:rsidRPr="00DD6590">
              <w:rPr>
                <w:color w:val="000000"/>
                <w:sz w:val="16"/>
                <w:szCs w:val="16"/>
              </w:rPr>
              <w:t>elektrifikáciu</w:t>
            </w:r>
            <w:r w:rsidRPr="00DD6590">
              <w:rPr>
                <w:color w:val="000000"/>
                <w:sz w:val="16"/>
                <w:szCs w:val="16"/>
              </w:rPr>
              <w:t xml:space="preserve"> železničných tratí, a to hlavne projekty s najvyššou cieľovou hodnotou ukazovateľa. </w:t>
            </w:r>
          </w:p>
        </w:tc>
      </w:tr>
      <w:tr w:rsidR="00A40396" w:rsidRPr="00DD6590" w14:paraId="707E113B" w14:textId="77777777" w:rsidTr="002B6E06">
        <w:trPr>
          <w:trHeight w:val="481"/>
        </w:trPr>
        <w:tc>
          <w:tcPr>
            <w:tcW w:w="156" w:type="pct"/>
            <w:vAlign w:val="center"/>
          </w:tcPr>
          <w:p w14:paraId="09DD74E8" w14:textId="77777777" w:rsidR="00A40396" w:rsidRPr="00DD6590" w:rsidRDefault="00A40396" w:rsidP="00DD659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95" w:type="pct"/>
            <w:vAlign w:val="center"/>
          </w:tcPr>
          <w:p w14:paraId="0FDA9EC2" w14:textId="77777777" w:rsidR="00A40396" w:rsidRPr="00DD6590" w:rsidRDefault="00A40396" w:rsidP="00DD6590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D6590">
              <w:rPr>
                <w:sz w:val="16"/>
                <w:szCs w:val="16"/>
                <w:vertAlign w:val="subscript"/>
              </w:rPr>
              <w:t xml:space="preserve">10 </w:t>
            </w:r>
            <w:r w:rsidRPr="00DD6590">
              <w:rPr>
                <w:sz w:val="16"/>
                <w:szCs w:val="16"/>
              </w:rPr>
              <w:t>(vplyvom elektrifikácie tratí)</w:t>
            </w:r>
          </w:p>
        </w:tc>
        <w:tc>
          <w:tcPr>
            <w:tcW w:w="462" w:type="pct"/>
            <w:vAlign w:val="center"/>
          </w:tcPr>
          <w:p w14:paraId="51092DFA" w14:textId="77777777" w:rsidR="00A40396" w:rsidRPr="00DD6590" w:rsidRDefault="00A40396" w:rsidP="00DD659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3,4 t</w:t>
            </w:r>
          </w:p>
        </w:tc>
        <w:tc>
          <w:tcPr>
            <w:tcW w:w="433" w:type="pct"/>
            <w:vAlign w:val="center"/>
          </w:tcPr>
          <w:p w14:paraId="68359DD2" w14:textId="77777777" w:rsidR="00A40396" w:rsidRPr="00DD6590" w:rsidRDefault="00A40396" w:rsidP="00DD659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0,0 t</w:t>
            </w:r>
          </w:p>
        </w:tc>
        <w:tc>
          <w:tcPr>
            <w:tcW w:w="432" w:type="pct"/>
            <w:vAlign w:val="center"/>
          </w:tcPr>
          <w:p w14:paraId="6BF45E7F" w14:textId="77777777" w:rsidR="00A40396" w:rsidRPr="00DD6590" w:rsidRDefault="00A40396" w:rsidP="00DD6590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3,4 t</w:t>
            </w:r>
          </w:p>
        </w:tc>
        <w:tc>
          <w:tcPr>
            <w:tcW w:w="463" w:type="pct"/>
            <w:vAlign w:val="center"/>
          </w:tcPr>
          <w:p w14:paraId="18DA2CD8" w14:textId="77777777" w:rsidR="00A40396" w:rsidRPr="00DD6590" w:rsidRDefault="00A40396" w:rsidP="00DD6590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0,0 t</w:t>
            </w:r>
          </w:p>
        </w:tc>
        <w:tc>
          <w:tcPr>
            <w:tcW w:w="400" w:type="pct"/>
            <w:shd w:val="clear" w:color="auto" w:fill="EF858F"/>
            <w:vAlign w:val="center"/>
          </w:tcPr>
          <w:p w14:paraId="04F713F1" w14:textId="407F8C6C" w:rsidR="00A40396" w:rsidRPr="00DD6590" w:rsidRDefault="00A40396" w:rsidP="00DD6590">
            <w:pPr>
              <w:spacing w:before="60" w:after="0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A939D8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0" w:type="pct"/>
            <w:vAlign w:val="center"/>
          </w:tcPr>
          <w:p w14:paraId="15C4C43E" w14:textId="77777777" w:rsidR="00A40396" w:rsidRPr="00DD6590" w:rsidRDefault="00A40396" w:rsidP="00DD6590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9" w:type="pct"/>
            <w:vAlign w:val="center"/>
          </w:tcPr>
          <w:p w14:paraId="38A94123" w14:textId="55D7C628" w:rsidR="00A40396" w:rsidRPr="00DD6590" w:rsidRDefault="00A40396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D6590">
              <w:rPr>
                <w:sz w:val="16"/>
                <w:szCs w:val="16"/>
                <w:vertAlign w:val="subscript"/>
              </w:rPr>
              <w:t xml:space="preserve">10 </w:t>
            </w:r>
            <w:r w:rsidRPr="00DD6590">
              <w:rPr>
                <w:sz w:val="16"/>
                <w:szCs w:val="16"/>
              </w:rPr>
              <w:t xml:space="preserve">(vplyvom elektrifikácie tratí) </w:t>
            </w:r>
            <w:r w:rsidRPr="00DD6590">
              <w:rPr>
                <w:color w:val="000000"/>
                <w:sz w:val="16"/>
                <w:szCs w:val="16"/>
              </w:rPr>
              <w:t xml:space="preserve">je výsledkový ukazovateľ, ktorý sa </w:t>
            </w:r>
            <w:r w:rsidR="004E3A07" w:rsidRPr="00DD6590">
              <w:rPr>
                <w:color w:val="000000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A939D8">
              <w:rPr>
                <w:color w:val="000000"/>
                <w:sz w:val="16"/>
                <w:szCs w:val="16"/>
              </w:rPr>
              <w:t>v</w:t>
            </w:r>
            <w:r w:rsidR="00A939D8" w:rsidRPr="00DD6590">
              <w:rPr>
                <w:color w:val="000000"/>
                <w:sz w:val="16"/>
                <w:szCs w:val="16"/>
              </w:rPr>
              <w:t xml:space="preserve"> jed</w:t>
            </w:r>
            <w:r w:rsidR="00A939D8">
              <w:rPr>
                <w:color w:val="000000"/>
                <w:sz w:val="16"/>
                <w:szCs w:val="16"/>
              </w:rPr>
              <w:t>nom</w:t>
            </w:r>
            <w:r w:rsidR="00A939D8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A939D8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0865ADC1" w14:textId="4B9E6039" w:rsidR="00527D72" w:rsidRPr="00DD6590" w:rsidRDefault="00A939D8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DD6590">
              <w:rPr>
                <w:color w:val="000000"/>
                <w:sz w:val="16"/>
                <w:szCs w:val="16"/>
              </w:rPr>
              <w:t>rojektov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DD6590">
              <w:rPr>
                <w:color w:val="000000"/>
                <w:sz w:val="16"/>
                <w:szCs w:val="16"/>
              </w:rPr>
              <w:t xml:space="preserve"> manažér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v</w:t>
            </w:r>
            <w:r w:rsidRPr="00DD6590">
              <w:rPr>
                <w:color w:val="000000"/>
                <w:sz w:val="16"/>
                <w:szCs w:val="16"/>
              </w:rPr>
              <w:t xml:space="preserve"> dotazník</w:t>
            </w:r>
            <w:r>
              <w:rPr>
                <w:color w:val="000000"/>
                <w:sz w:val="16"/>
                <w:szCs w:val="16"/>
              </w:rPr>
              <w:t>u</w:t>
            </w:r>
            <w:r w:rsidRPr="00DD6590">
              <w:rPr>
                <w:color w:val="000000"/>
                <w:sz w:val="16"/>
                <w:szCs w:val="16"/>
              </w:rPr>
              <w:t xml:space="preserve"> identifikova</w:t>
            </w:r>
            <w:r>
              <w:rPr>
                <w:color w:val="000000"/>
                <w:sz w:val="16"/>
                <w:szCs w:val="16"/>
              </w:rPr>
              <w:t>li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560C96" w:rsidRPr="00DD6590">
              <w:rPr>
                <w:color w:val="000000"/>
                <w:sz w:val="16"/>
                <w:szCs w:val="16"/>
              </w:rPr>
              <w:t xml:space="preserve">dva </w:t>
            </w:r>
            <w:r w:rsidR="00A40396" w:rsidRPr="00DD6590">
              <w:rPr>
                <w:color w:val="000000"/>
                <w:sz w:val="16"/>
                <w:szCs w:val="16"/>
              </w:rPr>
              <w:t>plánované projekty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(Elektrifikácia trate Haniska pri Košiciach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Moldava nad Bodvou, realizácia a ŽSR, Elektrifikácia trate Bánovce nad Ondavou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 Humenné, realizácia)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, ktoré budú napĺňať tento ukazovateľ, </w:t>
            </w:r>
            <w:r>
              <w:rPr>
                <w:color w:val="000000"/>
                <w:sz w:val="16"/>
                <w:szCs w:val="16"/>
              </w:rPr>
              <w:t>ale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nebolo možné identifikovať do akej miery. </w:t>
            </w:r>
            <w:r w:rsidR="00560C96" w:rsidRPr="00DD6590">
              <w:rPr>
                <w:color w:val="000000"/>
                <w:sz w:val="16"/>
                <w:szCs w:val="16"/>
              </w:rPr>
              <w:t>P</w:t>
            </w:r>
            <w:r w:rsidR="00527D72" w:rsidRPr="00DD6590">
              <w:rPr>
                <w:color w:val="000000"/>
                <w:sz w:val="16"/>
                <w:szCs w:val="16"/>
              </w:rPr>
              <w:t>rojekty</w:t>
            </w:r>
            <w:r w:rsidR="00560C96" w:rsidRPr="00DD6590">
              <w:rPr>
                <w:color w:val="000000"/>
                <w:sz w:val="16"/>
                <w:szCs w:val="16"/>
              </w:rPr>
              <w:t xml:space="preserve"> na základe dotazníka od žiadateľa</w:t>
            </w:r>
            <w:r w:rsidR="00527D72" w:rsidRPr="00DD6590">
              <w:rPr>
                <w:color w:val="000000"/>
                <w:sz w:val="16"/>
                <w:szCs w:val="16"/>
              </w:rPr>
              <w:t xml:space="preserve"> by mali byť predložené riadiacemu orgánu v 1. štvrťroku 2020 a ich realizácia by mala byť ukončená v 1. polroku 2022.</w:t>
            </w:r>
          </w:p>
          <w:p w14:paraId="3FC788B3" w14:textId="77777777" w:rsidR="00527D72" w:rsidRPr="00DD6590" w:rsidRDefault="00527D72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2B63763F" w14:textId="77777777" w:rsidR="00A40396" w:rsidRPr="00DD6590" w:rsidRDefault="00527D72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napĺňanie tohto ukazovateľa.</w:t>
            </w:r>
          </w:p>
          <w:p w14:paraId="2C0BABA1" w14:textId="77777777" w:rsidR="00560C96" w:rsidRPr="00DD6590" w:rsidRDefault="00560C96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Prehodnotiť cieľovú hodnotu ukazovateľa na základe aktuálneho stavu projektov</w:t>
            </w:r>
            <w:r w:rsidR="00E066EC" w:rsidRPr="00DD6590">
              <w:rPr>
                <w:color w:val="000000"/>
                <w:sz w:val="16"/>
                <w:szCs w:val="16"/>
              </w:rPr>
              <w:t xml:space="preserve"> a zmien manuálu CBA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70C27E8E" w14:textId="6E743F13" w:rsidR="00E066EC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A40396" w:rsidRPr="00DD6590" w14:paraId="3FE991BD" w14:textId="77777777" w:rsidTr="002B6E06">
        <w:trPr>
          <w:trHeight w:val="499"/>
        </w:trPr>
        <w:tc>
          <w:tcPr>
            <w:tcW w:w="156" w:type="pct"/>
            <w:vAlign w:val="center"/>
          </w:tcPr>
          <w:p w14:paraId="2F680A2F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</w:t>
            </w:r>
          </w:p>
        </w:tc>
        <w:tc>
          <w:tcPr>
            <w:tcW w:w="895" w:type="pct"/>
            <w:vAlign w:val="center"/>
          </w:tcPr>
          <w:p w14:paraId="455B6964" w14:textId="77777777" w:rsidR="00A40396" w:rsidRPr="00DD6590" w:rsidRDefault="00A40396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 xml:space="preserve">2 </w:t>
            </w:r>
            <w:r w:rsidRPr="00DD6590">
              <w:rPr>
                <w:sz w:val="16"/>
                <w:szCs w:val="16"/>
              </w:rPr>
              <w:t>(vplyvom elektrifikácie tratí)</w:t>
            </w:r>
          </w:p>
        </w:tc>
        <w:tc>
          <w:tcPr>
            <w:tcW w:w="462" w:type="pct"/>
            <w:vAlign w:val="center"/>
          </w:tcPr>
          <w:p w14:paraId="5EE703A2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42,74 t</w:t>
            </w:r>
          </w:p>
        </w:tc>
        <w:tc>
          <w:tcPr>
            <w:tcW w:w="433" w:type="pct"/>
            <w:vAlign w:val="center"/>
          </w:tcPr>
          <w:p w14:paraId="5F8343AD" w14:textId="77777777" w:rsidR="00A40396" w:rsidRPr="00DD6590" w:rsidRDefault="00A40396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0,0 t</w:t>
            </w:r>
          </w:p>
        </w:tc>
        <w:tc>
          <w:tcPr>
            <w:tcW w:w="432" w:type="pct"/>
            <w:vAlign w:val="center"/>
          </w:tcPr>
          <w:p w14:paraId="49C83E48" w14:textId="77777777" w:rsidR="00A40396" w:rsidRPr="00DD6590" w:rsidRDefault="00A40396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42,74 t</w:t>
            </w:r>
          </w:p>
        </w:tc>
        <w:tc>
          <w:tcPr>
            <w:tcW w:w="463" w:type="pct"/>
            <w:vAlign w:val="center"/>
          </w:tcPr>
          <w:p w14:paraId="220A225B" w14:textId="77777777" w:rsidR="00A40396" w:rsidRPr="00DD6590" w:rsidRDefault="00A40396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0,0 t</w:t>
            </w:r>
          </w:p>
        </w:tc>
        <w:tc>
          <w:tcPr>
            <w:tcW w:w="400" w:type="pct"/>
            <w:shd w:val="clear" w:color="auto" w:fill="EF858F"/>
            <w:vAlign w:val="center"/>
          </w:tcPr>
          <w:p w14:paraId="79D4BA7F" w14:textId="68B94AB6" w:rsidR="00A40396" w:rsidRPr="00DD6590" w:rsidRDefault="00A40396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A939D8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30" w:type="pct"/>
            <w:vAlign w:val="center"/>
          </w:tcPr>
          <w:p w14:paraId="7103983D" w14:textId="77777777" w:rsidR="00A40396" w:rsidRPr="00DD6590" w:rsidRDefault="00A40396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429" w:type="pct"/>
            <w:vAlign w:val="center"/>
          </w:tcPr>
          <w:p w14:paraId="31F450F9" w14:textId="0B461D0B" w:rsidR="00A40396" w:rsidRPr="00DD6590" w:rsidRDefault="00A40396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elektrifikácie tratí) je výsledkový ukazovateľ, ktorý sa </w:t>
            </w:r>
            <w:r w:rsidR="004E3A07" w:rsidRPr="00DD6590">
              <w:rPr>
                <w:sz w:val="16"/>
                <w:szCs w:val="16"/>
              </w:rPr>
              <w:t>do konca roka 2018</w:t>
            </w:r>
            <w:r w:rsidRPr="00DD6590">
              <w:rPr>
                <w:sz w:val="16"/>
                <w:szCs w:val="16"/>
              </w:rPr>
              <w:t xml:space="preserve"> nevykazuje ani </w:t>
            </w:r>
            <w:r w:rsidR="00A939D8">
              <w:rPr>
                <w:sz w:val="16"/>
                <w:szCs w:val="16"/>
              </w:rPr>
              <w:t>v</w:t>
            </w:r>
            <w:r w:rsidR="00A939D8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jed</w:t>
            </w:r>
            <w:r w:rsidR="00A939D8">
              <w:rPr>
                <w:sz w:val="16"/>
                <w:szCs w:val="16"/>
              </w:rPr>
              <w:t>nom</w:t>
            </w:r>
            <w:r w:rsidRPr="00DD6590">
              <w:rPr>
                <w:sz w:val="16"/>
                <w:szCs w:val="16"/>
              </w:rPr>
              <w:t xml:space="preserve"> projekt</w:t>
            </w:r>
            <w:r w:rsidR="00A939D8">
              <w:rPr>
                <w:sz w:val="16"/>
                <w:szCs w:val="16"/>
              </w:rPr>
              <w:t>e</w:t>
            </w:r>
            <w:r w:rsidRPr="00DD6590">
              <w:rPr>
                <w:sz w:val="16"/>
                <w:szCs w:val="16"/>
              </w:rPr>
              <w:t xml:space="preserve">. </w:t>
            </w:r>
          </w:p>
          <w:p w14:paraId="3AB51DAF" w14:textId="0E25BE17" w:rsidR="00527D72" w:rsidRPr="00DD6590" w:rsidRDefault="00A939D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DD6590">
              <w:rPr>
                <w:color w:val="000000"/>
                <w:sz w:val="16"/>
                <w:szCs w:val="16"/>
              </w:rPr>
              <w:t>rojektov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DD6590">
              <w:rPr>
                <w:color w:val="000000"/>
                <w:sz w:val="16"/>
                <w:szCs w:val="16"/>
              </w:rPr>
              <w:t xml:space="preserve"> manažér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v</w:t>
            </w:r>
            <w:r w:rsidRPr="00DD6590">
              <w:rPr>
                <w:color w:val="000000"/>
                <w:sz w:val="16"/>
                <w:szCs w:val="16"/>
              </w:rPr>
              <w:t xml:space="preserve"> dotazník</w:t>
            </w:r>
            <w:r>
              <w:rPr>
                <w:color w:val="000000"/>
                <w:sz w:val="16"/>
                <w:szCs w:val="16"/>
              </w:rPr>
              <w:t>u</w:t>
            </w:r>
            <w:r w:rsidRPr="00DD6590">
              <w:rPr>
                <w:color w:val="000000"/>
                <w:sz w:val="16"/>
                <w:szCs w:val="16"/>
              </w:rPr>
              <w:t xml:space="preserve"> identifikova</w:t>
            </w:r>
            <w:r>
              <w:rPr>
                <w:color w:val="000000"/>
                <w:sz w:val="16"/>
                <w:szCs w:val="16"/>
              </w:rPr>
              <w:t>li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560C96" w:rsidRPr="00DD6590">
              <w:rPr>
                <w:sz w:val="16"/>
                <w:szCs w:val="16"/>
              </w:rPr>
              <w:t>dva</w:t>
            </w:r>
            <w:r w:rsidR="00527D72" w:rsidRPr="00DD6590">
              <w:rPr>
                <w:sz w:val="16"/>
                <w:szCs w:val="16"/>
              </w:rPr>
              <w:t xml:space="preserve"> plánované projekty </w:t>
            </w:r>
            <w:r w:rsidR="00527D72" w:rsidRPr="00DD6590">
              <w:rPr>
                <w:color w:val="000000"/>
                <w:sz w:val="16"/>
                <w:szCs w:val="16"/>
              </w:rPr>
              <w:t xml:space="preserve">(Elektrifikácia trate Haniska pri Košiciach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527D72" w:rsidRPr="00DD6590">
              <w:rPr>
                <w:color w:val="000000"/>
                <w:sz w:val="16"/>
                <w:szCs w:val="16"/>
              </w:rPr>
              <w:t xml:space="preserve"> Moldava nad Bodvou, realizácia a ŽSR, </w:t>
            </w:r>
            <w:r w:rsidR="00527D72" w:rsidRPr="00DD6590">
              <w:rPr>
                <w:color w:val="000000"/>
                <w:sz w:val="16"/>
                <w:szCs w:val="16"/>
              </w:rPr>
              <w:lastRenderedPageBreak/>
              <w:t xml:space="preserve">Elektrifikácia trate Bánovce nad Ondavou </w:t>
            </w:r>
            <w:r w:rsidRPr="004E1535">
              <w:rPr>
                <w:color w:val="000000"/>
                <w:sz w:val="16"/>
                <w:szCs w:val="16"/>
              </w:rPr>
              <w:t>‒</w:t>
            </w:r>
            <w:r w:rsidR="00527D72" w:rsidRPr="00DD6590">
              <w:rPr>
                <w:color w:val="000000"/>
                <w:sz w:val="16"/>
                <w:szCs w:val="16"/>
              </w:rPr>
              <w:t xml:space="preserve"> Humenné, realizácia)</w:t>
            </w:r>
            <w:r w:rsidR="00527D72" w:rsidRPr="00DD6590">
              <w:rPr>
                <w:sz w:val="16"/>
                <w:szCs w:val="16"/>
              </w:rPr>
              <w:t xml:space="preserve">, ktoré budú napĺňať tento ukazovateľ, </w:t>
            </w:r>
            <w:r>
              <w:rPr>
                <w:sz w:val="16"/>
                <w:szCs w:val="16"/>
              </w:rPr>
              <w:t>ale</w:t>
            </w:r>
            <w:r w:rsidRPr="00DD6590">
              <w:rPr>
                <w:sz w:val="16"/>
                <w:szCs w:val="16"/>
              </w:rPr>
              <w:t xml:space="preserve"> </w:t>
            </w:r>
            <w:r w:rsidR="00527D72" w:rsidRPr="00DD6590">
              <w:rPr>
                <w:sz w:val="16"/>
                <w:szCs w:val="16"/>
              </w:rPr>
              <w:t xml:space="preserve">nebolo možné identifikovať do akej miery. </w:t>
            </w:r>
            <w:r w:rsidR="007815C1" w:rsidRPr="00DD6590">
              <w:rPr>
                <w:sz w:val="16"/>
                <w:szCs w:val="16"/>
              </w:rPr>
              <w:t>P</w:t>
            </w:r>
            <w:r w:rsidR="00527D72" w:rsidRPr="00DD6590">
              <w:rPr>
                <w:sz w:val="16"/>
                <w:szCs w:val="16"/>
              </w:rPr>
              <w:t>rojekty</w:t>
            </w:r>
            <w:r w:rsidR="007815C1" w:rsidRPr="00DD6590">
              <w:rPr>
                <w:sz w:val="16"/>
                <w:szCs w:val="16"/>
              </w:rPr>
              <w:t xml:space="preserve"> na základe dotazníka od žiadateľa</w:t>
            </w:r>
            <w:r w:rsidR="00527D72" w:rsidRPr="00DD6590">
              <w:rPr>
                <w:sz w:val="16"/>
                <w:szCs w:val="16"/>
              </w:rPr>
              <w:t xml:space="preserve"> by mali byť predložené riadiacemu orgánu v 1. štvrťroku 2020 a ich realizácia by mala byť ukončená v 1. polroku 2022.</w:t>
            </w:r>
          </w:p>
          <w:p w14:paraId="3778BB62" w14:textId="26B9A329" w:rsidR="00A40396" w:rsidRPr="00DD6590" w:rsidRDefault="00A40396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Odporúčania:</w:t>
            </w:r>
          </w:p>
          <w:p w14:paraId="767AB1D4" w14:textId="686ED0A4" w:rsidR="00E066EC" w:rsidRPr="00DD6590" w:rsidRDefault="00F648EB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 zamerané na napĺňanie tohto ukazovateľa</w:t>
            </w:r>
          </w:p>
          <w:p w14:paraId="2DB97C7D" w14:textId="6C75C84D" w:rsidR="00A40396" w:rsidRPr="00DD6590" w:rsidRDefault="00E066EC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A40396" w:rsidRPr="00DD6590" w14:paraId="07F47F6B" w14:textId="77777777" w:rsidTr="002B6E06">
        <w:trPr>
          <w:trHeight w:val="184"/>
        </w:trPr>
        <w:tc>
          <w:tcPr>
            <w:tcW w:w="156" w:type="pct"/>
            <w:vAlign w:val="center"/>
          </w:tcPr>
          <w:p w14:paraId="7E88E0B0" w14:textId="77777777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 xml:space="preserve">5 </w:t>
            </w:r>
          </w:p>
        </w:tc>
        <w:tc>
          <w:tcPr>
            <w:tcW w:w="895" w:type="pct"/>
            <w:vAlign w:val="center"/>
          </w:tcPr>
          <w:p w14:paraId="6420C8C1" w14:textId="13223D04" w:rsidR="00A40396" w:rsidRPr="00DD6590" w:rsidRDefault="00A40396" w:rsidP="00A939D8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Celkový objem medzinárodnej prepravy na koridore TEN-T (úsek Bratislava – Nové Zámky – Štúrovo/Komárno – št. hr. SR/MR) </w:t>
            </w:r>
          </w:p>
        </w:tc>
        <w:tc>
          <w:tcPr>
            <w:tcW w:w="462" w:type="pct"/>
            <w:vAlign w:val="center"/>
          </w:tcPr>
          <w:p w14:paraId="58C28807" w14:textId="77777777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748 518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433" w:type="pct"/>
            <w:vAlign w:val="center"/>
          </w:tcPr>
          <w:p w14:paraId="39E94E4F" w14:textId="77777777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796 973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432" w:type="pct"/>
            <w:vAlign w:val="center"/>
          </w:tcPr>
          <w:p w14:paraId="466DF767" w14:textId="77777777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--</w:t>
            </w:r>
          </w:p>
        </w:tc>
        <w:tc>
          <w:tcPr>
            <w:tcW w:w="463" w:type="pct"/>
            <w:vAlign w:val="center"/>
          </w:tcPr>
          <w:p w14:paraId="03B907EF" w14:textId="77777777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0,0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400" w:type="pct"/>
            <w:shd w:val="clear" w:color="auto" w:fill="EF858F"/>
            <w:vAlign w:val="center"/>
          </w:tcPr>
          <w:p w14:paraId="6C72034F" w14:textId="5422218A" w:rsidR="00A40396" w:rsidRPr="00DD6590" w:rsidRDefault="00A40396" w:rsidP="005C4CE4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A939D8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30" w:type="pct"/>
            <w:vAlign w:val="center"/>
          </w:tcPr>
          <w:p w14:paraId="6CF5E356" w14:textId="77777777" w:rsidR="00A40396" w:rsidRPr="00DD6590" w:rsidRDefault="00A40396" w:rsidP="005C4CE4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429" w:type="pct"/>
            <w:vAlign w:val="center"/>
          </w:tcPr>
          <w:p w14:paraId="301F3AFA" w14:textId="3968AF6D" w:rsidR="00A40396" w:rsidRPr="00DD6590" w:rsidRDefault="0076022E" w:rsidP="005C4CE4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Ide</w:t>
            </w:r>
            <w:r w:rsidR="00A40396" w:rsidRPr="00DD6590">
              <w:rPr>
                <w:sz w:val="16"/>
                <w:szCs w:val="16"/>
              </w:rPr>
              <w:t xml:space="preserve"> o makro ukazovateľ meraný na úrovni </w:t>
            </w:r>
            <w:r w:rsidRPr="00DD6590">
              <w:rPr>
                <w:sz w:val="16"/>
                <w:szCs w:val="16"/>
              </w:rPr>
              <w:t>koridoru TEN-T v úseku Bratislava – Nové Zámky – Štúrovo/Komárno – št. hr. SR/MR</w:t>
            </w:r>
            <w:r w:rsidR="00A40396" w:rsidRPr="00DD6590">
              <w:rPr>
                <w:sz w:val="16"/>
                <w:szCs w:val="16"/>
              </w:rPr>
              <w:t xml:space="preserve">, nielen </w:t>
            </w:r>
            <w:r w:rsidR="00F648EB" w:rsidRPr="00DD6590">
              <w:rPr>
                <w:sz w:val="16"/>
                <w:szCs w:val="16"/>
              </w:rPr>
              <w:t>na </w:t>
            </w:r>
            <w:r w:rsidR="00A40396" w:rsidRPr="00DD6590">
              <w:rPr>
                <w:sz w:val="16"/>
                <w:szCs w:val="16"/>
              </w:rPr>
              <w:t xml:space="preserve">realizovaných </w:t>
            </w:r>
            <w:r w:rsidR="00604D90" w:rsidRPr="00DD6590">
              <w:rPr>
                <w:sz w:val="16"/>
                <w:szCs w:val="16"/>
              </w:rPr>
              <w:t>projektoch</w:t>
            </w:r>
            <w:r w:rsidR="00A40396" w:rsidRPr="00DD6590">
              <w:rPr>
                <w:sz w:val="16"/>
                <w:szCs w:val="16"/>
              </w:rPr>
              <w:t>.</w:t>
            </w:r>
          </w:p>
          <w:p w14:paraId="39264F7A" w14:textId="03D7A3AF" w:rsidR="00A40396" w:rsidRPr="00DD6590" w:rsidRDefault="004E3A07" w:rsidP="005C4CE4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A40396" w:rsidRPr="00DD6590">
              <w:rPr>
                <w:sz w:val="16"/>
                <w:szCs w:val="16"/>
              </w:rPr>
              <w:t xml:space="preserve"> nie je v realizácii ani jeden projekt, ktorý by mal za cieľ zvýšiť celkový objem medzinárodnej prepravy na koridore TEN-T (úsek Bratislava – Nové Zámky – Štúrovo / Komárno – št. hr. SR/MR).</w:t>
            </w:r>
          </w:p>
          <w:p w14:paraId="0DC3E02D" w14:textId="34CBAEBE" w:rsidR="00A40396" w:rsidRPr="00DD6590" w:rsidRDefault="00A40396" w:rsidP="005C4CE4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Podľa údajov poskytnutých RO sa napĺňa daný ukazovateľ na úrovni 2 088 361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  <w:r w:rsidRPr="00DD6590">
              <w:rPr>
                <w:sz w:val="16"/>
                <w:szCs w:val="16"/>
              </w:rPr>
              <w:t xml:space="preserve">, čo predstavuje </w:t>
            </w:r>
            <w:r w:rsidRPr="00DD6590">
              <w:rPr>
                <w:b/>
                <w:sz w:val="16"/>
                <w:szCs w:val="16"/>
              </w:rPr>
              <w:t>262</w:t>
            </w:r>
            <w:r w:rsidR="002B259E">
              <w:rPr>
                <w:b/>
                <w:sz w:val="16"/>
                <w:szCs w:val="16"/>
              </w:rPr>
              <w:t xml:space="preserve"> </w:t>
            </w:r>
            <w:r w:rsidRPr="00DD6590">
              <w:rPr>
                <w:b/>
                <w:sz w:val="16"/>
                <w:szCs w:val="16"/>
              </w:rPr>
              <w:t>% plnenie</w:t>
            </w:r>
            <w:r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b/>
                <w:sz w:val="16"/>
                <w:szCs w:val="16"/>
              </w:rPr>
              <w:t>z cieľovej hodnoty</w:t>
            </w:r>
            <w:r w:rsidR="002B259E">
              <w:rPr>
                <w:b/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 xml:space="preserve"> a to </w:t>
            </w:r>
            <w:r w:rsidR="002B259E">
              <w:rPr>
                <w:sz w:val="16"/>
                <w:szCs w:val="16"/>
              </w:rPr>
              <w:t>aj</w:t>
            </w:r>
            <w:r w:rsidR="002B259E" w:rsidRPr="00DD6590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napriek tomu, že momentálne nie je v realizácii ani jeden projekt. Preto nie je možné vykázať naplnenie ukazovateľa v rámci OPII.</w:t>
            </w:r>
          </w:p>
          <w:p w14:paraId="2E7BE48F" w14:textId="402EACCF" w:rsidR="00A40396" w:rsidRPr="00DD6590" w:rsidRDefault="002B259E" w:rsidP="005C4CE4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DD6590">
              <w:rPr>
                <w:color w:val="000000"/>
                <w:sz w:val="16"/>
                <w:szCs w:val="16"/>
              </w:rPr>
              <w:t>rojektov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DD6590">
              <w:rPr>
                <w:color w:val="000000"/>
                <w:sz w:val="16"/>
                <w:szCs w:val="16"/>
              </w:rPr>
              <w:t xml:space="preserve"> manažér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v</w:t>
            </w:r>
            <w:r w:rsidRPr="00DD6590">
              <w:rPr>
                <w:color w:val="000000"/>
                <w:sz w:val="16"/>
                <w:szCs w:val="16"/>
              </w:rPr>
              <w:t xml:space="preserve"> dotazník</w:t>
            </w:r>
            <w:r>
              <w:rPr>
                <w:color w:val="000000"/>
                <w:sz w:val="16"/>
                <w:szCs w:val="16"/>
              </w:rPr>
              <w:t>u</w:t>
            </w:r>
            <w:r w:rsidRPr="00DD6590">
              <w:rPr>
                <w:color w:val="000000"/>
                <w:sz w:val="16"/>
                <w:szCs w:val="16"/>
              </w:rPr>
              <w:t xml:space="preserve"> identifik</w:t>
            </w:r>
            <w:r>
              <w:rPr>
                <w:color w:val="000000"/>
                <w:sz w:val="16"/>
                <w:szCs w:val="16"/>
              </w:rPr>
              <w:t xml:space="preserve">ovali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jeden plánovaný projekt, ktorý bude napĺňať tento ukazovateľ, </w:t>
            </w:r>
            <w:r>
              <w:rPr>
                <w:color w:val="000000"/>
                <w:sz w:val="16"/>
                <w:szCs w:val="16"/>
              </w:rPr>
              <w:t>ale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ešte nie je možné </w:t>
            </w:r>
            <w:r w:rsidR="00604D90" w:rsidRPr="00DD6590">
              <w:rPr>
                <w:color w:val="000000"/>
                <w:sz w:val="16"/>
                <w:szCs w:val="16"/>
              </w:rPr>
              <w:t xml:space="preserve">určiť </w:t>
            </w:r>
            <w:r w:rsidR="00A40396" w:rsidRPr="00DD6590">
              <w:rPr>
                <w:color w:val="000000"/>
                <w:sz w:val="16"/>
                <w:szCs w:val="16"/>
              </w:rPr>
              <w:t xml:space="preserve">do akej miery. </w:t>
            </w:r>
            <w:r w:rsidR="00A40396" w:rsidRPr="00DD6590">
              <w:rPr>
                <w:sz w:val="16"/>
                <w:szCs w:val="16"/>
              </w:rPr>
              <w:t xml:space="preserve">Projekt je vo fáze prebiehajúceho verejného obstarávania a na posúdení na ÚHP.  </w:t>
            </w:r>
          </w:p>
          <w:p w14:paraId="61FBFCFE" w14:textId="77777777" w:rsidR="00A40396" w:rsidRPr="00DD6590" w:rsidRDefault="00A40396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04A66C02" w14:textId="55B20C9B" w:rsidR="00A40396" w:rsidRPr="00DD6590" w:rsidRDefault="00A40396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Prehodnot</w:t>
            </w:r>
            <w:r w:rsidR="002B259E">
              <w:rPr>
                <w:sz w:val="16"/>
                <w:szCs w:val="16"/>
              </w:rPr>
              <w:t>iť</w:t>
            </w:r>
            <w:r w:rsidRPr="00DD6590">
              <w:rPr>
                <w:sz w:val="16"/>
                <w:szCs w:val="16"/>
              </w:rPr>
              <w:t xml:space="preserve"> </w:t>
            </w:r>
            <w:r w:rsidR="002B259E" w:rsidRPr="00DD6590">
              <w:rPr>
                <w:color w:val="000000"/>
                <w:sz w:val="16"/>
                <w:szCs w:val="16"/>
              </w:rPr>
              <w:t>zacieleni</w:t>
            </w:r>
            <w:r w:rsidR="002B259E">
              <w:rPr>
                <w:color w:val="000000"/>
                <w:sz w:val="16"/>
                <w:szCs w:val="16"/>
              </w:rPr>
              <w:t>e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ŠC 5.2, prípadne </w:t>
            </w:r>
            <w:r w:rsidR="0076022E" w:rsidRPr="00DD6590">
              <w:rPr>
                <w:color w:val="000000"/>
                <w:sz w:val="16"/>
                <w:szCs w:val="16"/>
              </w:rPr>
              <w:t xml:space="preserve">využitie </w:t>
            </w:r>
            <w:r w:rsidRPr="00DD6590">
              <w:rPr>
                <w:color w:val="000000"/>
                <w:sz w:val="16"/>
                <w:szCs w:val="16"/>
              </w:rPr>
              <w:t xml:space="preserve">finančných prostriedkov </w:t>
            </w:r>
            <w:r w:rsidR="0076022E" w:rsidRPr="00DD6590">
              <w:rPr>
                <w:color w:val="000000"/>
                <w:sz w:val="16"/>
                <w:szCs w:val="16"/>
              </w:rPr>
              <w:t>v rámci iného</w:t>
            </w:r>
            <w:r w:rsidRPr="00DD6590">
              <w:rPr>
                <w:color w:val="000000"/>
                <w:sz w:val="16"/>
                <w:szCs w:val="16"/>
              </w:rPr>
              <w:t xml:space="preserve"> ŠC PO5, keďže merateľný ukazovateľ sa napĺňa </w:t>
            </w:r>
            <w:r w:rsidR="0076022E" w:rsidRPr="00DD6590">
              <w:rPr>
                <w:color w:val="000000"/>
                <w:sz w:val="16"/>
                <w:szCs w:val="16"/>
              </w:rPr>
              <w:t>aj </w:t>
            </w:r>
            <w:r w:rsidRPr="00DD6590">
              <w:rPr>
                <w:color w:val="000000"/>
                <w:sz w:val="16"/>
                <w:szCs w:val="16"/>
              </w:rPr>
              <w:t>bez realizácie projektov.</w:t>
            </w:r>
          </w:p>
          <w:p w14:paraId="1B257B36" w14:textId="2AEDA62D" w:rsidR="008918F4" w:rsidRPr="00DD6590" w:rsidRDefault="00E066EC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</w:tbl>
    <w:p w14:paraId="5E73D08B" w14:textId="77777777" w:rsidR="00527BCC" w:rsidRPr="00DD6590" w:rsidRDefault="00527BCC" w:rsidP="00A40396">
      <w:pPr>
        <w:rPr>
          <w:i/>
          <w:u w:val="single"/>
        </w:rPr>
      </w:pPr>
    </w:p>
    <w:p w14:paraId="49C8D335" w14:textId="47107C0D" w:rsidR="00A40396" w:rsidRPr="00DD6590" w:rsidRDefault="00A40396" w:rsidP="00A40396">
      <w:pPr>
        <w:rPr>
          <w:i/>
          <w:u w:val="single"/>
        </w:rPr>
      </w:pPr>
      <w:r w:rsidRPr="00DD6590">
        <w:rPr>
          <w:i/>
          <w:u w:val="single"/>
        </w:rPr>
        <w:t>Vyhodnotenie ukazovateľov výstupu</w:t>
      </w:r>
    </w:p>
    <w:p w14:paraId="385B7FF5" w14:textId="62264F15" w:rsidR="00E17868" w:rsidRPr="00DD6590" w:rsidRDefault="00E17868" w:rsidP="00E17868">
      <w:pPr>
        <w:pStyle w:val="Caption"/>
      </w:pPr>
      <w:bookmarkStart w:id="15" w:name="_Toc8805490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7</w:t>
      </w:r>
      <w:r w:rsidRPr="00DD6590">
        <w:fldChar w:fldCharType="end"/>
      </w:r>
      <w:r w:rsidRPr="00DD6590">
        <w:t xml:space="preserve"> Vyhodnotenie ukazovateľov výstupu PO5</w:t>
      </w:r>
      <w:bookmarkEnd w:id="15"/>
    </w:p>
    <w:tbl>
      <w:tblPr>
        <w:tblStyle w:val="TableGrid"/>
        <w:tblW w:w="14670" w:type="dxa"/>
        <w:tblInd w:w="-27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790"/>
        <w:gridCol w:w="1620"/>
        <w:gridCol w:w="1530"/>
        <w:gridCol w:w="1440"/>
        <w:gridCol w:w="1260"/>
        <w:gridCol w:w="1080"/>
        <w:gridCol w:w="4500"/>
      </w:tblGrid>
      <w:tr w:rsidR="00A40396" w:rsidRPr="00DD6590" w14:paraId="39620E59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50" w:type="dxa"/>
            <w:shd w:val="clear" w:color="auto" w:fill="DBDCDE" w:themeFill="text2" w:themeFillTint="33"/>
            <w:vAlign w:val="center"/>
          </w:tcPr>
          <w:p w14:paraId="29489C78" w14:textId="77777777" w:rsidR="00A40396" w:rsidRPr="00DD6590" w:rsidRDefault="00A40396" w:rsidP="004F5380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790" w:type="dxa"/>
            <w:shd w:val="clear" w:color="auto" w:fill="DBDCDE" w:themeFill="text2" w:themeFillTint="33"/>
            <w:vAlign w:val="center"/>
          </w:tcPr>
          <w:p w14:paraId="61A75F7D" w14:textId="77777777" w:rsidR="00A40396" w:rsidRPr="00DD6590" w:rsidRDefault="00A40396" w:rsidP="004F5380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620" w:type="dxa"/>
            <w:shd w:val="clear" w:color="auto" w:fill="DBDCDE" w:themeFill="text2" w:themeFillTint="33"/>
            <w:vAlign w:val="center"/>
          </w:tcPr>
          <w:p w14:paraId="6D072B94" w14:textId="1E8303D0" w:rsidR="00A40396" w:rsidRPr="00DD6590" w:rsidRDefault="00A40396" w:rsidP="004F5380">
            <w:pPr>
              <w:spacing w:before="60" w:after="0" w:line="240" w:lineRule="auto"/>
              <w:ind w:left="42" w:firstLine="1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FA1B33" w:rsidRPr="00DD6590">
              <w:rPr>
                <w:b/>
                <w:sz w:val="16"/>
                <w:szCs w:val="16"/>
              </w:rPr>
              <w:t xml:space="preserve"> OPII</w:t>
            </w:r>
            <w:r w:rsidRPr="00DD6590">
              <w:rPr>
                <w:b/>
                <w:sz w:val="16"/>
                <w:szCs w:val="16"/>
              </w:rPr>
              <w:t xml:space="preserve"> (2023)</w:t>
            </w:r>
          </w:p>
        </w:tc>
        <w:tc>
          <w:tcPr>
            <w:tcW w:w="1530" w:type="dxa"/>
            <w:shd w:val="clear" w:color="auto" w:fill="DBDCDE" w:themeFill="text2" w:themeFillTint="33"/>
            <w:vAlign w:val="center"/>
          </w:tcPr>
          <w:p w14:paraId="471FBF8E" w14:textId="77777777" w:rsidR="00A40396" w:rsidRPr="00DD6590" w:rsidRDefault="00A40396" w:rsidP="004F5380">
            <w:pPr>
              <w:spacing w:before="6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440" w:type="dxa"/>
            <w:shd w:val="clear" w:color="auto" w:fill="DBDCDE" w:themeFill="text2" w:themeFillTint="33"/>
            <w:vAlign w:val="center"/>
          </w:tcPr>
          <w:p w14:paraId="28048EEB" w14:textId="77777777" w:rsidR="00A40396" w:rsidRPr="00DD6590" w:rsidRDefault="00A40396" w:rsidP="004F5380">
            <w:pPr>
              <w:spacing w:before="60" w:after="0" w:line="240" w:lineRule="auto"/>
              <w:ind w:left="42" w:hanging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51EB892A" w14:textId="77777777" w:rsidR="00A40396" w:rsidRPr="00DD6590" w:rsidRDefault="00A40396" w:rsidP="004F5380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1080" w:type="dxa"/>
            <w:shd w:val="clear" w:color="auto" w:fill="DBDCDE" w:themeFill="text2" w:themeFillTint="33"/>
            <w:vAlign w:val="center"/>
          </w:tcPr>
          <w:p w14:paraId="53F9E826" w14:textId="77777777" w:rsidR="00A40396" w:rsidRPr="00DD6590" w:rsidRDefault="00A40396" w:rsidP="004F5380">
            <w:pPr>
              <w:spacing w:before="60" w:after="0" w:line="240" w:lineRule="auto"/>
              <w:ind w:left="42" w:firstLine="6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500" w:type="dxa"/>
            <w:shd w:val="clear" w:color="auto" w:fill="DBDCDE" w:themeFill="text2" w:themeFillTint="33"/>
            <w:vAlign w:val="center"/>
          </w:tcPr>
          <w:p w14:paraId="354BD61E" w14:textId="77777777" w:rsidR="00A40396" w:rsidRPr="00DD6590" w:rsidRDefault="00A40396" w:rsidP="004F5380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A40396" w:rsidRPr="00DD6590" w14:paraId="4C620860" w14:textId="77777777" w:rsidTr="008B121C">
        <w:trPr>
          <w:trHeight w:val="20"/>
        </w:trPr>
        <w:tc>
          <w:tcPr>
            <w:tcW w:w="450" w:type="dxa"/>
            <w:vAlign w:val="center"/>
          </w:tcPr>
          <w:p w14:paraId="01CD30D2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0" w:type="dxa"/>
            <w:vAlign w:val="center"/>
          </w:tcPr>
          <w:p w14:paraId="37D69C84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rekonštruovaných alebo zrenovovaných železničných tratí</w:t>
            </w:r>
          </w:p>
        </w:tc>
        <w:tc>
          <w:tcPr>
            <w:tcW w:w="1620" w:type="dxa"/>
            <w:vAlign w:val="center"/>
          </w:tcPr>
          <w:p w14:paraId="3F3F3E96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54,5 km</w:t>
            </w:r>
          </w:p>
        </w:tc>
        <w:tc>
          <w:tcPr>
            <w:tcW w:w="1530" w:type="dxa"/>
            <w:vAlign w:val="center"/>
          </w:tcPr>
          <w:p w14:paraId="7850C7AC" w14:textId="77777777" w:rsidR="00A40396" w:rsidRPr="00DD6590" w:rsidRDefault="00A40396" w:rsidP="004F5380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0,0 km</w:t>
            </w:r>
          </w:p>
        </w:tc>
        <w:tc>
          <w:tcPr>
            <w:tcW w:w="1440" w:type="dxa"/>
            <w:vAlign w:val="center"/>
          </w:tcPr>
          <w:p w14:paraId="4E0900C1" w14:textId="77777777" w:rsidR="00A40396" w:rsidRPr="00DD6590" w:rsidRDefault="00A40396" w:rsidP="004F5380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0,0 km</w:t>
            </w:r>
          </w:p>
        </w:tc>
        <w:tc>
          <w:tcPr>
            <w:tcW w:w="1260" w:type="dxa"/>
            <w:shd w:val="clear" w:color="auto" w:fill="FFD653"/>
            <w:vAlign w:val="center"/>
          </w:tcPr>
          <w:p w14:paraId="4A6EBBE9" w14:textId="162D926F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2B259E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152BC4A5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500" w:type="dxa"/>
            <w:vAlign w:val="center"/>
          </w:tcPr>
          <w:p w14:paraId="71CCE41B" w14:textId="2A9A6B21" w:rsidR="00FF1E39" w:rsidRPr="00DD6590" w:rsidRDefault="00FF1E39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Celková dĺžka rekonštruovaných alebo zrenovovaných železničných tratí sa 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2B259E">
              <w:rPr>
                <w:color w:val="000000"/>
                <w:sz w:val="16"/>
                <w:szCs w:val="16"/>
              </w:rPr>
              <w:t>v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jednom projekte. </w:t>
            </w:r>
          </w:p>
          <w:p w14:paraId="5C57D36C" w14:textId="5BCEF209" w:rsidR="00FF1E39" w:rsidRPr="00DD6590" w:rsidRDefault="00FF1E39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Manažéri RO a prijímatelia identifikovali sedem plánovaných projektov, </w:t>
            </w:r>
            <w:r w:rsidR="002B259E">
              <w:rPr>
                <w:color w:val="000000"/>
                <w:sz w:val="16"/>
                <w:szCs w:val="16"/>
              </w:rPr>
              <w:t>v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ktorých by </w:t>
            </w:r>
            <w:r w:rsidR="002B259E">
              <w:rPr>
                <w:color w:val="000000"/>
                <w:sz w:val="16"/>
                <w:szCs w:val="16"/>
              </w:rPr>
              <w:t xml:space="preserve">sa </w:t>
            </w:r>
            <w:r w:rsidRPr="00DD6590">
              <w:rPr>
                <w:color w:val="000000"/>
                <w:sz w:val="16"/>
                <w:szCs w:val="16"/>
              </w:rPr>
              <w:t xml:space="preserve">mal </w:t>
            </w:r>
            <w:r w:rsidR="002B259E" w:rsidRPr="00DD6590">
              <w:rPr>
                <w:color w:val="000000"/>
                <w:sz w:val="16"/>
                <w:szCs w:val="16"/>
              </w:rPr>
              <w:t>vykazova</w:t>
            </w:r>
            <w:r w:rsidR="002B259E">
              <w:rPr>
                <w:color w:val="000000"/>
                <w:sz w:val="16"/>
                <w:szCs w:val="16"/>
              </w:rPr>
              <w:t>ť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tento ukazovateľ. Pri troch projektoch určili predpokladanú dĺžku rekonštruovanej na 59,9 km, čím sa ukazovateľ naplní. </w:t>
            </w:r>
          </w:p>
          <w:p w14:paraId="3056BA91" w14:textId="77777777" w:rsidR="00FF1E39" w:rsidRPr="00DD6590" w:rsidRDefault="00FF1E39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>Odporúčania</w:t>
            </w:r>
            <w:r w:rsidRPr="00DD6590">
              <w:rPr>
                <w:color w:val="000000"/>
                <w:sz w:val="16"/>
                <w:szCs w:val="16"/>
              </w:rPr>
              <w:t>:</w:t>
            </w:r>
          </w:p>
          <w:p w14:paraId="3999626F" w14:textId="0A400879" w:rsidR="00A40396" w:rsidRPr="00DD6590" w:rsidRDefault="00FF1E39" w:rsidP="00FF1E39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projekty zamerané na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rekonštrukciu alebo renováciu železničných tratí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a to hlavne projekty s najvyššou cieľovou hodnotou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A40396" w:rsidRPr="00DD6590" w14:paraId="79B6ED6F" w14:textId="77777777" w:rsidTr="008B121C">
        <w:trPr>
          <w:trHeight w:val="20"/>
        </w:trPr>
        <w:tc>
          <w:tcPr>
            <w:tcW w:w="450" w:type="dxa"/>
            <w:vAlign w:val="center"/>
          </w:tcPr>
          <w:p w14:paraId="67E832B9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0" w:type="dxa"/>
            <w:vAlign w:val="center"/>
          </w:tcPr>
          <w:p w14:paraId="51EED9F8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85" w:hanging="13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rekonštruovaných alebo zrenovovaných železničných tratí v sieti TEN-T</w:t>
            </w:r>
          </w:p>
        </w:tc>
        <w:tc>
          <w:tcPr>
            <w:tcW w:w="1620" w:type="dxa"/>
            <w:vAlign w:val="center"/>
          </w:tcPr>
          <w:p w14:paraId="532CD51C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21,5 km</w:t>
            </w:r>
          </w:p>
        </w:tc>
        <w:tc>
          <w:tcPr>
            <w:tcW w:w="1530" w:type="dxa"/>
            <w:vAlign w:val="center"/>
          </w:tcPr>
          <w:p w14:paraId="79F88117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0,0 km</w:t>
            </w:r>
          </w:p>
        </w:tc>
        <w:tc>
          <w:tcPr>
            <w:tcW w:w="1440" w:type="dxa"/>
            <w:vAlign w:val="center"/>
          </w:tcPr>
          <w:p w14:paraId="4D7D3B1A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0,0 km</w:t>
            </w:r>
          </w:p>
        </w:tc>
        <w:tc>
          <w:tcPr>
            <w:tcW w:w="1260" w:type="dxa"/>
            <w:shd w:val="clear" w:color="auto" w:fill="EF858F"/>
            <w:vAlign w:val="center"/>
          </w:tcPr>
          <w:p w14:paraId="58513613" w14:textId="4762FC2B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2B259E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3E946ABE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500" w:type="dxa"/>
            <w:vAlign w:val="center"/>
          </w:tcPr>
          <w:p w14:paraId="58200B79" w14:textId="2D281EC2" w:rsidR="00FF1E39" w:rsidRPr="00DD6590" w:rsidRDefault="00FF1E39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Celková dĺžka rekonštruovaných alebo zrenovovaných železničných tratí sa 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2B259E">
              <w:rPr>
                <w:color w:val="000000"/>
                <w:sz w:val="16"/>
                <w:szCs w:val="16"/>
              </w:rPr>
              <w:t>v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jeden</w:t>
            </w:r>
            <w:r w:rsidR="002B259E">
              <w:rPr>
                <w:color w:val="000000"/>
                <w:sz w:val="16"/>
                <w:szCs w:val="16"/>
              </w:rPr>
              <w:t>om</w:t>
            </w:r>
            <w:r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2B259E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60650EBA" w14:textId="7DB8C7B2" w:rsidR="00FF1E39" w:rsidRPr="00DD6590" w:rsidRDefault="002B259E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Projektoví manažéri v dotazníku </w:t>
            </w:r>
            <w:r w:rsidR="00FF1E39" w:rsidRPr="00DD6590">
              <w:rPr>
                <w:color w:val="000000"/>
                <w:sz w:val="16"/>
                <w:szCs w:val="16"/>
              </w:rPr>
              <w:t>identifikova</w:t>
            </w:r>
            <w:r>
              <w:rPr>
                <w:color w:val="000000"/>
                <w:sz w:val="16"/>
                <w:szCs w:val="16"/>
              </w:rPr>
              <w:t>li</w:t>
            </w:r>
            <w:r w:rsidR="00FF1E39" w:rsidRPr="00DD6590">
              <w:rPr>
                <w:color w:val="000000"/>
                <w:sz w:val="16"/>
                <w:szCs w:val="16"/>
              </w:rPr>
              <w:t xml:space="preserve"> dva plánované projekty, ktoré budú napĺňať tento ukazovateľ, </w:t>
            </w:r>
            <w:r>
              <w:rPr>
                <w:color w:val="000000"/>
                <w:sz w:val="16"/>
                <w:szCs w:val="16"/>
              </w:rPr>
              <w:t>ale</w:t>
            </w:r>
            <w:r w:rsidR="00FF1E39" w:rsidRPr="00DD659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iba</w:t>
            </w:r>
            <w:r w:rsidR="00FF1E39" w:rsidRPr="00DD6590">
              <w:rPr>
                <w:color w:val="000000"/>
                <w:sz w:val="16"/>
                <w:szCs w:val="16"/>
              </w:rPr>
              <w:t xml:space="preserve"> pre jeden projekt bola určená hodnota 4,9 km, čím by sa ukazovateľ naplnil len na 22,8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FF1E39" w:rsidRPr="00DD6590">
              <w:rPr>
                <w:color w:val="000000"/>
                <w:sz w:val="16"/>
                <w:szCs w:val="16"/>
              </w:rPr>
              <w:t xml:space="preserve">% </w:t>
            </w:r>
          </w:p>
          <w:p w14:paraId="1FF2D362" w14:textId="77777777" w:rsidR="00FF1E39" w:rsidRPr="00DD6590" w:rsidRDefault="00FF1E39" w:rsidP="00FF1E39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>Odporúčania</w:t>
            </w:r>
            <w:r w:rsidRPr="00DD6590">
              <w:rPr>
                <w:color w:val="000000"/>
                <w:sz w:val="16"/>
                <w:szCs w:val="16"/>
              </w:rPr>
              <w:t>:</w:t>
            </w:r>
          </w:p>
          <w:p w14:paraId="41A419F6" w14:textId="77777777" w:rsidR="00FF1E39" w:rsidRPr="00DD6590" w:rsidRDefault="00FF1E39" w:rsidP="00FF1E39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V rámci schvaľovania projektov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projekty zamerané na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rekonštrukciu alebo renováciu železničných tratí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a to hlavne projekty s najvyššou cieľovou hodnotou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6AA98DC" w14:textId="4F84D785" w:rsidR="00F01B72" w:rsidRPr="00DD6590" w:rsidRDefault="00FF1E39" w:rsidP="00FF1E39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Prehodnotiť cieľovú hodnotu ukazovateľa na základe aktuálneho stavu projektov.</w:t>
            </w:r>
          </w:p>
        </w:tc>
      </w:tr>
      <w:tr w:rsidR="00A40396" w:rsidRPr="00DD6590" w14:paraId="3D5F34F6" w14:textId="77777777" w:rsidTr="008B121C">
        <w:trPr>
          <w:trHeight w:val="20"/>
        </w:trPr>
        <w:tc>
          <w:tcPr>
            <w:tcW w:w="450" w:type="dxa"/>
            <w:vAlign w:val="center"/>
          </w:tcPr>
          <w:p w14:paraId="79BFC065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0" w:type="dxa"/>
            <w:vAlign w:val="center"/>
          </w:tcPr>
          <w:p w14:paraId="4C44D34F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Počet lokalít s odstránením environmentálnej záťaže spôsobenej prevádzkou železničnej dopravy</w:t>
            </w:r>
          </w:p>
        </w:tc>
        <w:tc>
          <w:tcPr>
            <w:tcW w:w="1620" w:type="dxa"/>
            <w:vAlign w:val="center"/>
          </w:tcPr>
          <w:p w14:paraId="076B57D7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30" w:type="dxa"/>
            <w:vAlign w:val="center"/>
          </w:tcPr>
          <w:p w14:paraId="3C159A4A" w14:textId="78042C4A" w:rsidR="00A40396" w:rsidRPr="00DD6590" w:rsidRDefault="00DA7085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  <w:r w:rsidRPr="00DD6590">
              <w:rPr>
                <w:rStyle w:val="FootnoteReference"/>
                <w:rFonts w:asciiTheme="minorHAnsi" w:hAnsiTheme="minorHAnsi"/>
                <w:color w:val="000000" w:themeColor="text1"/>
                <w:sz w:val="16"/>
                <w:szCs w:val="16"/>
              </w:rPr>
              <w:footnoteReference w:id="9"/>
            </w:r>
          </w:p>
        </w:tc>
        <w:tc>
          <w:tcPr>
            <w:tcW w:w="1440" w:type="dxa"/>
            <w:vAlign w:val="center"/>
          </w:tcPr>
          <w:p w14:paraId="23CCD1CA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60" w:type="dxa"/>
            <w:shd w:val="clear" w:color="auto" w:fill="FFD653"/>
            <w:vAlign w:val="center"/>
          </w:tcPr>
          <w:p w14:paraId="0399021C" w14:textId="72414DB3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2B259E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1FF2A9D7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500" w:type="dxa"/>
            <w:vAlign w:val="center"/>
          </w:tcPr>
          <w:p w14:paraId="3B6A6364" w14:textId="7BF8C883" w:rsidR="00A40396" w:rsidRPr="00DD6590" w:rsidRDefault="00A40396" w:rsidP="004F5380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 xml:space="preserve">Počet lokalít s odstránením environmentálnej záťaže spôsobenej prevádzkou železničnej dopravy sa </w:t>
            </w:r>
            <w:r w:rsidR="004E3A07" w:rsidRPr="00DD6590">
              <w:rPr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2B259E">
              <w:rPr>
                <w:color w:val="000000"/>
                <w:sz w:val="16"/>
                <w:szCs w:val="16"/>
              </w:rPr>
              <w:t>v</w:t>
            </w:r>
            <w:r w:rsidR="002B259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jeden</w:t>
            </w:r>
            <w:r w:rsidR="002B259E">
              <w:rPr>
                <w:color w:val="000000"/>
                <w:sz w:val="16"/>
                <w:szCs w:val="16"/>
              </w:rPr>
              <w:t>om</w:t>
            </w:r>
            <w:r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2B259E">
              <w:rPr>
                <w:color w:val="000000"/>
                <w:sz w:val="16"/>
                <w:szCs w:val="16"/>
              </w:rPr>
              <w:t>e.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2B259E">
              <w:rPr>
                <w:color w:val="000000"/>
                <w:sz w:val="16"/>
                <w:szCs w:val="16"/>
              </w:rPr>
              <w:t>V</w:t>
            </w:r>
            <w:r w:rsidRPr="00DD6590">
              <w:rPr>
                <w:color w:val="000000"/>
                <w:sz w:val="16"/>
                <w:szCs w:val="16"/>
              </w:rPr>
              <w:t> procese schvaľovania sú</w:t>
            </w:r>
            <w:r w:rsidR="002B259E">
              <w:rPr>
                <w:color w:val="000000"/>
                <w:sz w:val="16"/>
                <w:szCs w:val="16"/>
              </w:rPr>
              <w:t xml:space="preserve"> však</w:t>
            </w:r>
            <w:r w:rsidRPr="00DD6590">
              <w:rPr>
                <w:color w:val="000000"/>
                <w:sz w:val="16"/>
                <w:szCs w:val="16"/>
              </w:rPr>
              <w:t xml:space="preserve"> tri projekty, ktoré </w:t>
            </w:r>
            <w:r w:rsidR="00CF560A" w:rsidRPr="00DD6590">
              <w:rPr>
                <w:color w:val="000000"/>
                <w:sz w:val="16"/>
                <w:szCs w:val="16"/>
              </w:rPr>
              <w:t xml:space="preserve">v prípade ich schválenia </w:t>
            </w:r>
            <w:r w:rsidRPr="00DD6590">
              <w:rPr>
                <w:color w:val="000000"/>
                <w:sz w:val="16"/>
                <w:szCs w:val="16"/>
              </w:rPr>
              <w:t>prispejú k naplneniu tohto ukazovateľa na 100</w:t>
            </w:r>
            <w:r w:rsidR="002B259E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%.</w:t>
            </w:r>
          </w:p>
          <w:p w14:paraId="7B73B556" w14:textId="090D13BE" w:rsidR="00A40396" w:rsidRPr="00DD6590" w:rsidRDefault="002B259E" w:rsidP="004F5380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Projektoví manažéri v dotazníku iden</w:t>
            </w:r>
            <w:r w:rsidR="00A4039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tifikova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li</w:t>
            </w:r>
            <w:r w:rsidR="00A4039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ďalšie dva plánované projekty, ktorých realizáciou je možné napln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iť</w:t>
            </w:r>
            <w:r w:rsidR="00A4039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t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ento</w:t>
            </w:r>
            <w:r w:rsidR="00A4039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ukazovateľ na 166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A4039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%.</w:t>
            </w:r>
          </w:p>
          <w:p w14:paraId="747B0850" w14:textId="77777777" w:rsidR="00B41E21" w:rsidRPr="00DD6590" w:rsidRDefault="00B41E21" w:rsidP="004F5380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Zistenie:</w:t>
            </w:r>
          </w:p>
          <w:p w14:paraId="30D6D968" w14:textId="55BB2661" w:rsidR="00A40396" w:rsidRPr="00DD6590" w:rsidRDefault="00B41E21" w:rsidP="002B259E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Keďže na schválenie týchto projektov by bola nutná revízia OPII</w:t>
            </w:r>
            <w:r w:rsidR="002B259E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odporúčame zamerať sa na projekty, ktoré budú napĺňať ostatné ukazovatele výkonnostného rámca.</w:t>
            </w:r>
          </w:p>
        </w:tc>
      </w:tr>
      <w:tr w:rsidR="00A40396" w:rsidRPr="00DD6590" w14:paraId="040AE164" w14:textId="77777777" w:rsidTr="008B121C">
        <w:trPr>
          <w:trHeight w:val="643"/>
        </w:trPr>
        <w:tc>
          <w:tcPr>
            <w:tcW w:w="450" w:type="dxa"/>
            <w:vAlign w:val="center"/>
          </w:tcPr>
          <w:p w14:paraId="087F9477" w14:textId="77777777" w:rsidR="00A40396" w:rsidRPr="00DD6590" w:rsidRDefault="00A40396" w:rsidP="004F5380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2790" w:type="dxa"/>
            <w:vAlign w:val="center"/>
          </w:tcPr>
          <w:p w14:paraId="216F5D91" w14:textId="77777777" w:rsidR="00A40396" w:rsidRPr="00DD6590" w:rsidRDefault="00A40396" w:rsidP="004F5380">
            <w:pPr>
              <w:spacing w:before="60" w:after="0" w:line="240" w:lineRule="auto"/>
              <w:ind w:left="85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Dĺžka železničných tratí (mimo TEN-T CORE) so zavedeným systémom ERTMS</w:t>
            </w:r>
          </w:p>
        </w:tc>
        <w:tc>
          <w:tcPr>
            <w:tcW w:w="1620" w:type="dxa"/>
            <w:vAlign w:val="center"/>
          </w:tcPr>
          <w:p w14:paraId="48655054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182 km</w:t>
            </w:r>
          </w:p>
        </w:tc>
        <w:tc>
          <w:tcPr>
            <w:tcW w:w="1530" w:type="dxa"/>
            <w:vAlign w:val="center"/>
          </w:tcPr>
          <w:p w14:paraId="71C77962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0,0 km</w:t>
            </w:r>
          </w:p>
        </w:tc>
        <w:tc>
          <w:tcPr>
            <w:tcW w:w="1440" w:type="dxa"/>
            <w:vAlign w:val="center"/>
          </w:tcPr>
          <w:p w14:paraId="0C88A0C3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0,0 km</w:t>
            </w:r>
          </w:p>
        </w:tc>
        <w:tc>
          <w:tcPr>
            <w:tcW w:w="1260" w:type="dxa"/>
            <w:shd w:val="clear" w:color="auto" w:fill="EF858F"/>
            <w:vAlign w:val="center"/>
          </w:tcPr>
          <w:p w14:paraId="708C0B90" w14:textId="31F6FA9C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5B21CF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080" w:type="dxa"/>
            <w:vAlign w:val="center"/>
          </w:tcPr>
          <w:p w14:paraId="47A49264" w14:textId="77777777" w:rsidR="00A40396" w:rsidRPr="00DD6590" w:rsidRDefault="00A40396" w:rsidP="004F5380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500" w:type="dxa"/>
            <w:vAlign w:val="center"/>
          </w:tcPr>
          <w:p w14:paraId="0F90E291" w14:textId="349A3ED1" w:rsidR="00A40396" w:rsidRPr="00DD6590" w:rsidRDefault="00A40396" w:rsidP="004F5380">
            <w:pPr>
              <w:pStyle w:val="Style30"/>
              <w:spacing w:before="60" w:after="0" w:line="240" w:lineRule="auto"/>
              <w:ind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Výstupový ukazovateľ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  <w:lang w:eastAsia="cs-CZ"/>
              </w:rPr>
              <w:t>Dĺžka železničných tratí (mimo TEN-T CORE) so zavedeným systémom ERTMS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sa </w:t>
            </w:r>
            <w:r w:rsidR="004E3A0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nevykazuje ani </w:t>
            </w:r>
            <w:r w:rsidR="005B21CF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5B21CF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jeden</w:t>
            </w:r>
            <w:r w:rsidR="005B21CF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om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projekt</w:t>
            </w:r>
            <w:r w:rsidR="005B21CF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e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</w:p>
          <w:p w14:paraId="44509F28" w14:textId="024B4F91" w:rsidR="00A40396" w:rsidRPr="00DD6590" w:rsidRDefault="005B21CF" w:rsidP="004F5380">
            <w:pPr>
              <w:pStyle w:val="Style30"/>
              <w:spacing w:before="60" w:after="0" w:line="240" w:lineRule="auto"/>
              <w:ind w:left="24"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Projektoví manažéri v dotazníku </w:t>
            </w:r>
            <w:r w:rsidR="00A4039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identifikova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li</w:t>
            </w:r>
            <w:r w:rsidR="00A4039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jeden plánovaný projekt, ktorý bude napĺňať tento ukazovateľ. </w:t>
            </w:r>
            <w:r w:rsidR="00B41E21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Projekt Komunikačná infraštruktúra služieb </w:t>
            </w:r>
            <w:proofErr w:type="spellStart"/>
            <w:r w:rsidR="00B41E21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telematiky</w:t>
            </w:r>
            <w:proofErr w:type="spellEnd"/>
            <w:r w:rsidR="00B41E21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ŽSR,</w:t>
            </w:r>
            <w:r w:rsidR="00A4039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ktorý je v procese verejného obstarávania a na posúdení zástupcami ÚHP, by mal zaistiť naplnenie tohto ukazovateľa do určitej miery, 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ale</w:t>
            </w:r>
            <w:r w:rsidR="00A4039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nepredpokladá sa, že sa daný ukazovateľ naplní v plnej výške cieľovej hodnoty 182 km.  </w:t>
            </w:r>
          </w:p>
          <w:p w14:paraId="63F68A23" w14:textId="77777777" w:rsidR="00A40396" w:rsidRPr="00DD6590" w:rsidRDefault="00A40396" w:rsidP="004F5380">
            <w:pPr>
              <w:pStyle w:val="Style30"/>
              <w:spacing w:before="60" w:after="0" w:line="240" w:lineRule="auto"/>
              <w:ind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Odporúčania:</w:t>
            </w:r>
          </w:p>
          <w:p w14:paraId="3352DE72" w14:textId="3B9827C0" w:rsidR="00BE7998" w:rsidRPr="00DD6590" w:rsidRDefault="00A40396" w:rsidP="004F5380">
            <w:pPr>
              <w:pStyle w:val="Style30"/>
              <w:widowControl/>
              <w:spacing w:before="60" w:after="0" w:line="240" w:lineRule="auto"/>
              <w:ind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 rámci schvaľovania projektov </w:t>
            </w:r>
            <w:proofErr w:type="spellStart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projekt </w:t>
            </w:r>
            <w:r w:rsidR="00BE799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zameraný </w:t>
            </w:r>
            <w:r w:rsidR="00120B4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na systém ERTMS</w:t>
            </w:r>
            <w:r w:rsidR="00BE799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</w:p>
          <w:p w14:paraId="001D6DD3" w14:textId="669F8D3F" w:rsidR="00A40396" w:rsidRPr="00DD6590" w:rsidRDefault="00BE7998" w:rsidP="004F5380">
            <w:pPr>
              <w:pStyle w:val="Style30"/>
              <w:widowControl/>
              <w:spacing w:before="60" w:after="0" w:line="240" w:lineRule="auto"/>
              <w:ind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Využiť</w:t>
            </w:r>
            <w:r w:rsidR="00A40396"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finančné prostriedky v rámci </w:t>
            </w:r>
            <w:r w:rsidR="00CC7831"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>iného</w:t>
            </w:r>
            <w:r w:rsidR="00A40396"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ŠC </w:t>
            </w:r>
            <w:r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>prioritnej osi 5</w:t>
            </w:r>
            <w:r w:rsidR="00A40396" w:rsidRPr="00DD6590">
              <w:rPr>
                <w:rFonts w:asciiTheme="majorHAnsi" w:hAnsiTheme="majorHAnsi"/>
                <w:color w:val="000000"/>
                <w:sz w:val="16"/>
                <w:szCs w:val="16"/>
              </w:rPr>
              <w:t>, keďže v súčasnosti nie sú plánované projekty, ktoré by daný merateľný ukazovateľ naplnili.</w:t>
            </w:r>
          </w:p>
        </w:tc>
      </w:tr>
    </w:tbl>
    <w:p w14:paraId="6223CFB7" w14:textId="77777777" w:rsidR="00E428A4" w:rsidRDefault="00E428A4" w:rsidP="00426C31">
      <w:bookmarkStart w:id="16" w:name="_Toc9350284"/>
    </w:p>
    <w:p w14:paraId="65E3445C" w14:textId="77777777" w:rsidR="00E428A4" w:rsidRDefault="00E428A4">
      <w:pPr>
        <w:spacing w:before="0"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Cs w:val="26"/>
        </w:rPr>
      </w:pPr>
      <w:r>
        <w:br w:type="page"/>
      </w:r>
    </w:p>
    <w:p w14:paraId="24DBCF5F" w14:textId="12E492E0" w:rsidR="00A40396" w:rsidRPr="00DD6590" w:rsidRDefault="00A40396" w:rsidP="00B0035E">
      <w:pPr>
        <w:pStyle w:val="Heading2"/>
      </w:pPr>
      <w:r w:rsidRPr="00DD6590">
        <w:lastRenderedPageBreak/>
        <w:t>Vyhodnotenie napĺňania cieľo</w:t>
      </w:r>
      <w:r w:rsidR="00E17868" w:rsidRPr="00DD6590">
        <w:t>v a výkonnostného rámca pre PO</w:t>
      </w:r>
      <w:bookmarkEnd w:id="16"/>
    </w:p>
    <w:p w14:paraId="1FAF3E14" w14:textId="367AEE88" w:rsidR="00E17868" w:rsidRPr="00DD6590" w:rsidRDefault="00E17868" w:rsidP="00E17868">
      <w:pPr>
        <w:pStyle w:val="Caption"/>
      </w:pPr>
      <w:bookmarkStart w:id="17" w:name="_Toc8805491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2464A2">
        <w:rPr>
          <w:noProof/>
        </w:rPr>
        <w:t>8</w:t>
      </w:r>
      <w:r w:rsidRPr="00DD6590">
        <w:fldChar w:fldCharType="end"/>
      </w:r>
      <w:r w:rsidRPr="00DD6590">
        <w:t xml:space="preserve"> Vyhodnotenie výkonnostného rámca PO5</w:t>
      </w:r>
      <w:bookmarkEnd w:id="17"/>
    </w:p>
    <w:tbl>
      <w:tblPr>
        <w:tblStyle w:val="TableGrid"/>
        <w:tblW w:w="5251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526"/>
        <w:gridCol w:w="3061"/>
        <w:gridCol w:w="1707"/>
        <w:gridCol w:w="1172"/>
        <w:gridCol w:w="6930"/>
      </w:tblGrid>
      <w:tr w:rsidR="00FA1B33" w:rsidRPr="00DD6590" w14:paraId="7F96A6C2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30" w:type="pct"/>
            <w:tcBorders>
              <w:left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20ED36D5" w14:textId="77777777" w:rsidR="00A40396" w:rsidRPr="00DD6590" w:rsidRDefault="00A40396" w:rsidP="00AE05E4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063" w:type="pct"/>
            <w:shd w:val="clear" w:color="auto" w:fill="DBDCDE" w:themeFill="text2" w:themeFillTint="33"/>
            <w:vAlign w:val="center"/>
          </w:tcPr>
          <w:p w14:paraId="475D55FE" w14:textId="77777777" w:rsidR="00A40396" w:rsidRPr="00DD6590" w:rsidRDefault="00A40396" w:rsidP="00AE05E4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593" w:type="pct"/>
            <w:shd w:val="clear" w:color="auto" w:fill="DBDCDE" w:themeFill="text2" w:themeFillTint="33"/>
            <w:vAlign w:val="center"/>
          </w:tcPr>
          <w:p w14:paraId="62B8D3D7" w14:textId="77777777" w:rsidR="00A40396" w:rsidRPr="00DD6590" w:rsidRDefault="00A40396" w:rsidP="00AE05E4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67A3CA1A" w14:textId="77777777" w:rsidR="00A40396" w:rsidRPr="00DD6590" w:rsidRDefault="00A40396" w:rsidP="00AE05E4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407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118D2FF9" w14:textId="77777777" w:rsidR="00A40396" w:rsidRPr="00DD6590" w:rsidRDefault="00A40396" w:rsidP="00AE05E4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407" w:type="pct"/>
            <w:shd w:val="clear" w:color="auto" w:fill="DBDCDE" w:themeFill="text2" w:themeFillTint="33"/>
            <w:vAlign w:val="center"/>
          </w:tcPr>
          <w:p w14:paraId="707625D7" w14:textId="77777777" w:rsidR="00A40396" w:rsidRPr="00DD6590" w:rsidRDefault="00A40396" w:rsidP="00AE05E4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B41E21" w:rsidRPr="00DD6590" w14:paraId="69717D8F" w14:textId="77777777" w:rsidTr="008B121C">
        <w:trPr>
          <w:trHeight w:val="454"/>
        </w:trPr>
        <w:tc>
          <w:tcPr>
            <w:tcW w:w="530" w:type="pct"/>
            <w:tcBorders>
              <w:left w:val="single" w:sz="4" w:space="0" w:color="D9D9D9" w:themeColor="background1" w:themeShade="D9"/>
            </w:tcBorders>
            <w:vAlign w:val="center"/>
          </w:tcPr>
          <w:p w14:paraId="518851D8" w14:textId="77777777" w:rsidR="00B41E21" w:rsidRPr="00DD6590" w:rsidRDefault="00B41E21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063" w:type="pct"/>
            <w:vAlign w:val="center"/>
          </w:tcPr>
          <w:p w14:paraId="75B89E90" w14:textId="77777777" w:rsidR="00B41E21" w:rsidRPr="00DD6590" w:rsidRDefault="00B41E21" w:rsidP="00B41E21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593" w:type="pct"/>
            <w:vAlign w:val="center"/>
          </w:tcPr>
          <w:p w14:paraId="46A7E503" w14:textId="77777777" w:rsidR="00B41E21" w:rsidRPr="00DD6590" w:rsidRDefault="00B41E21" w:rsidP="00B41E2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332 037 915 EUR</w:t>
            </w:r>
          </w:p>
        </w:tc>
        <w:tc>
          <w:tcPr>
            <w:tcW w:w="407" w:type="pct"/>
            <w:shd w:val="clear" w:color="auto" w:fill="FFD653"/>
            <w:vAlign w:val="center"/>
          </w:tcPr>
          <w:p w14:paraId="320970BE" w14:textId="60B2D4E8" w:rsidR="00B41E21" w:rsidRPr="00DD6590" w:rsidRDefault="00B41E21" w:rsidP="004E7FA3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  <w:shd w:val="clear" w:color="auto" w:fill="FFD653"/>
              </w:rPr>
              <w:t>0,58</w:t>
            </w:r>
            <w:r w:rsidR="005B21CF">
              <w:rPr>
                <w:sz w:val="16"/>
                <w:szCs w:val="16"/>
                <w:shd w:val="clear" w:color="auto" w:fill="FFD653"/>
              </w:rPr>
              <w:t xml:space="preserve"> </w:t>
            </w:r>
            <w:r w:rsidRPr="00DD6590">
              <w:rPr>
                <w:sz w:val="16"/>
                <w:szCs w:val="16"/>
                <w:shd w:val="clear" w:color="auto" w:fill="FFD653"/>
              </w:rPr>
              <w:t>% kontrahované, 0,</w:t>
            </w:r>
            <w:r w:rsidR="004E7FA3" w:rsidRPr="00DD6590">
              <w:rPr>
                <w:sz w:val="16"/>
                <w:szCs w:val="16"/>
                <w:shd w:val="clear" w:color="auto" w:fill="FFD653"/>
              </w:rPr>
              <w:t>41</w:t>
            </w:r>
            <w:r w:rsidR="005B21CF">
              <w:rPr>
                <w:sz w:val="16"/>
                <w:szCs w:val="16"/>
                <w:shd w:val="clear" w:color="auto" w:fill="FFD653"/>
              </w:rPr>
              <w:t xml:space="preserve"> </w:t>
            </w:r>
            <w:r w:rsidRPr="00DD6590">
              <w:rPr>
                <w:sz w:val="16"/>
                <w:szCs w:val="16"/>
                <w:shd w:val="clear" w:color="auto" w:fill="FFD653"/>
              </w:rPr>
              <w:t>% čerpa</w:t>
            </w:r>
            <w:r w:rsidRPr="00DD6590">
              <w:rPr>
                <w:sz w:val="16"/>
                <w:szCs w:val="16"/>
              </w:rPr>
              <w:t>né</w:t>
            </w:r>
          </w:p>
        </w:tc>
        <w:tc>
          <w:tcPr>
            <w:tcW w:w="2407" w:type="pct"/>
            <w:vAlign w:val="center"/>
          </w:tcPr>
          <w:p w14:paraId="2AF716A1" w14:textId="1FF03480" w:rsidR="004F5380" w:rsidRPr="00DD6590" w:rsidRDefault="00520A0C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</w:t>
            </w:r>
            <w:r w:rsidR="00B41E21" w:rsidRPr="00DD6590">
              <w:rPr>
                <w:sz w:val="16"/>
                <w:szCs w:val="16"/>
              </w:rPr>
              <w:t xml:space="preserve"> rámci prebiehajúcich projektov je </w:t>
            </w:r>
            <w:r w:rsidR="00B41E21" w:rsidRPr="00DD6590">
              <w:rPr>
                <w:b/>
                <w:sz w:val="16"/>
                <w:szCs w:val="16"/>
              </w:rPr>
              <w:t>kontrahovaných 1,92 mil. EUR, z toho 1,63</w:t>
            </w:r>
            <w:r w:rsidR="005B21CF">
              <w:rPr>
                <w:b/>
                <w:sz w:val="16"/>
                <w:szCs w:val="16"/>
              </w:rPr>
              <w:t> </w:t>
            </w:r>
            <w:r w:rsidR="00B41E21" w:rsidRPr="00DD6590">
              <w:rPr>
                <w:b/>
                <w:sz w:val="16"/>
                <w:szCs w:val="16"/>
              </w:rPr>
              <w:t xml:space="preserve">mil. </w:t>
            </w:r>
            <w:r w:rsidR="005B21CF">
              <w:rPr>
                <w:b/>
                <w:sz w:val="16"/>
                <w:szCs w:val="16"/>
              </w:rPr>
              <w:t xml:space="preserve">EUR </w:t>
            </w:r>
            <w:r w:rsidR="00B41E21" w:rsidRPr="00DD6590">
              <w:rPr>
                <w:b/>
                <w:sz w:val="16"/>
                <w:szCs w:val="16"/>
              </w:rPr>
              <w:t>z EÚ zdrojov</w:t>
            </w:r>
            <w:r w:rsidR="00B41E21" w:rsidRPr="00DD6590">
              <w:rPr>
                <w:sz w:val="16"/>
                <w:szCs w:val="16"/>
              </w:rPr>
              <w:t>. Na základe dotazníka vyplneného projektovými manažérmi je plánovaných na realizáciu 1</w:t>
            </w:r>
            <w:r w:rsidR="005B6911" w:rsidRPr="00DD6590">
              <w:rPr>
                <w:sz w:val="16"/>
                <w:szCs w:val="16"/>
              </w:rPr>
              <w:t>4</w:t>
            </w:r>
            <w:r w:rsidR="00B41E21" w:rsidRPr="00DD6590">
              <w:rPr>
                <w:sz w:val="16"/>
                <w:szCs w:val="16"/>
              </w:rPr>
              <w:t xml:space="preserve"> ďalších projektov v celkovej hodnote 56</w:t>
            </w:r>
            <w:r w:rsidR="001D7490" w:rsidRPr="00DD6590">
              <w:rPr>
                <w:sz w:val="16"/>
                <w:szCs w:val="16"/>
              </w:rPr>
              <w:t>0</w:t>
            </w:r>
            <w:r w:rsidR="005B21CF">
              <w:rPr>
                <w:sz w:val="16"/>
                <w:szCs w:val="16"/>
              </w:rPr>
              <w:t> </w:t>
            </w:r>
            <w:r w:rsidR="00B41E21" w:rsidRPr="00DD6590">
              <w:rPr>
                <w:sz w:val="16"/>
                <w:szCs w:val="16"/>
              </w:rPr>
              <w:t>mil. EUR, čo prevyšuje finančný ukazovateľ o</w:t>
            </w:r>
            <w:r w:rsidR="005B21CF">
              <w:rPr>
                <w:sz w:val="16"/>
                <w:szCs w:val="16"/>
              </w:rPr>
              <w:t> </w:t>
            </w:r>
            <w:r w:rsidR="00B41E21" w:rsidRPr="00DD6590">
              <w:rPr>
                <w:sz w:val="16"/>
                <w:szCs w:val="16"/>
              </w:rPr>
              <w:t>68</w:t>
            </w:r>
            <w:r w:rsidR="005B21CF">
              <w:rPr>
                <w:sz w:val="16"/>
                <w:szCs w:val="16"/>
              </w:rPr>
              <w:t xml:space="preserve"> </w:t>
            </w:r>
            <w:r w:rsidR="00B41E21" w:rsidRPr="00DD6590">
              <w:rPr>
                <w:sz w:val="16"/>
                <w:szCs w:val="16"/>
              </w:rPr>
              <w:t xml:space="preserve">%. </w:t>
            </w:r>
            <w:r w:rsidR="004F5380" w:rsidRPr="00DD6590">
              <w:rPr>
                <w:sz w:val="16"/>
                <w:szCs w:val="16"/>
              </w:rPr>
              <w:t>Dva plánované projekty od žiadateľa ZSSK sú podmienené revíziou OPII.</w:t>
            </w:r>
          </w:p>
          <w:p w14:paraId="6CD20C64" w14:textId="79D68689" w:rsidR="00B41E21" w:rsidRPr="00DD6590" w:rsidRDefault="00B41E21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Tri projekty boli v čase spracovania hodnotenia </w:t>
            </w:r>
            <w:r w:rsidR="004F5380" w:rsidRPr="00DD6590">
              <w:rPr>
                <w:sz w:val="16"/>
                <w:szCs w:val="16"/>
              </w:rPr>
              <w:t>schválen</w:t>
            </w:r>
            <w:r w:rsidR="00171273" w:rsidRPr="00DD6590">
              <w:rPr>
                <w:sz w:val="16"/>
                <w:szCs w:val="16"/>
              </w:rPr>
              <w:t>é</w:t>
            </w:r>
            <w:r w:rsidR="004F5380" w:rsidRPr="00DD6590">
              <w:rPr>
                <w:sz w:val="16"/>
                <w:szCs w:val="16"/>
              </w:rPr>
              <w:t xml:space="preserve"> RO OPII a pripravené na podpis zmluvy o</w:t>
            </w:r>
            <w:r w:rsidR="005B21CF">
              <w:rPr>
                <w:sz w:val="16"/>
                <w:szCs w:val="16"/>
              </w:rPr>
              <w:t> </w:t>
            </w:r>
            <w:r w:rsidR="004F5380" w:rsidRPr="00DD6590">
              <w:rPr>
                <w:sz w:val="16"/>
                <w:szCs w:val="16"/>
              </w:rPr>
              <w:t>NFP</w:t>
            </w:r>
            <w:r w:rsidR="005B21CF">
              <w:rPr>
                <w:sz w:val="16"/>
                <w:szCs w:val="16"/>
              </w:rPr>
              <w:t>.</w:t>
            </w:r>
            <w:r w:rsidR="004F5380" w:rsidRPr="00DD6590">
              <w:rPr>
                <w:sz w:val="16"/>
                <w:szCs w:val="16"/>
              </w:rPr>
              <w:t xml:space="preserve"> </w:t>
            </w:r>
            <w:r w:rsidR="005B21CF">
              <w:rPr>
                <w:sz w:val="16"/>
                <w:szCs w:val="16"/>
              </w:rPr>
              <w:t>P</w:t>
            </w:r>
            <w:r w:rsidR="004F5380" w:rsidRPr="00DD6590">
              <w:rPr>
                <w:sz w:val="16"/>
                <w:szCs w:val="16"/>
              </w:rPr>
              <w:t>o podpise</w:t>
            </w:r>
            <w:r w:rsidR="005B21CF">
              <w:rPr>
                <w:sz w:val="16"/>
                <w:szCs w:val="16"/>
              </w:rPr>
              <w:t xml:space="preserve"> zmluvy</w:t>
            </w:r>
            <w:r w:rsidRPr="00DD6590">
              <w:rPr>
                <w:sz w:val="16"/>
                <w:szCs w:val="16"/>
              </w:rPr>
              <w:t xml:space="preserve"> sa finančný ukazovateľ naplnil na </w:t>
            </w:r>
            <w:r w:rsidR="001D7490" w:rsidRPr="00DD6590">
              <w:rPr>
                <w:sz w:val="16"/>
                <w:szCs w:val="16"/>
              </w:rPr>
              <w:t>30,28</w:t>
            </w:r>
            <w:r w:rsidR="005B21CF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%. </w:t>
            </w:r>
          </w:p>
          <w:p w14:paraId="67E23351" w14:textId="35F43AC5" w:rsidR="004F5380" w:rsidRPr="00DD6590" w:rsidRDefault="00B41E21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Pozn.: </w:t>
            </w:r>
            <w:r w:rsidR="005B21CF">
              <w:rPr>
                <w:sz w:val="16"/>
                <w:szCs w:val="16"/>
              </w:rPr>
              <w:t>Na</w:t>
            </w:r>
            <w:r w:rsidRPr="00DD6590">
              <w:rPr>
                <w:sz w:val="16"/>
                <w:szCs w:val="16"/>
              </w:rPr>
              <w:t xml:space="preserve"> dosiahnutie hodnoty plánovanej v roku 2023 je potrebné </w:t>
            </w:r>
            <w:proofErr w:type="spellStart"/>
            <w:r w:rsidRPr="00DD6590">
              <w:rPr>
                <w:sz w:val="16"/>
                <w:szCs w:val="16"/>
              </w:rPr>
              <w:t>zazmluvniť</w:t>
            </w:r>
            <w:proofErr w:type="spellEnd"/>
            <w:r w:rsidRPr="00DD6590">
              <w:rPr>
                <w:sz w:val="16"/>
                <w:szCs w:val="16"/>
              </w:rPr>
              <w:t xml:space="preserve"> projekty v PO5 v hodnote </w:t>
            </w:r>
            <w:r w:rsidR="009A302B" w:rsidRPr="00DD6590">
              <w:rPr>
                <w:sz w:val="16"/>
                <w:szCs w:val="16"/>
              </w:rPr>
              <w:t>231</w:t>
            </w:r>
            <w:r w:rsidRPr="00DD6590">
              <w:rPr>
                <w:sz w:val="16"/>
                <w:szCs w:val="16"/>
              </w:rPr>
              <w:t xml:space="preserve"> mil. EUR.</w:t>
            </w:r>
          </w:p>
          <w:p w14:paraId="688CE2D8" w14:textId="0FFA806E" w:rsidR="004F5380" w:rsidRPr="00DD6590" w:rsidRDefault="004F5380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6B6A55FB" w14:textId="2D93758B" w:rsidR="00B41E21" w:rsidRPr="00DD6590" w:rsidRDefault="004F5380" w:rsidP="005B21CF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Vypracovať databázu projektov, v ktorej by žiadatelia pravidelne hlásili pokrok v príprave projektov</w:t>
            </w:r>
            <w:r w:rsidR="005B21CF">
              <w:rPr>
                <w:sz w:val="16"/>
                <w:szCs w:val="16"/>
              </w:rPr>
              <w:t>, a</w:t>
            </w:r>
            <w:r w:rsidR="009A302B" w:rsidRPr="00DD6590">
              <w:rPr>
                <w:sz w:val="16"/>
                <w:szCs w:val="16"/>
              </w:rPr>
              <w:t xml:space="preserve"> </w:t>
            </w:r>
            <w:r w:rsidR="005B21CF">
              <w:rPr>
                <w:sz w:val="16"/>
                <w:szCs w:val="16"/>
              </w:rPr>
              <w:t>n</w:t>
            </w:r>
            <w:r w:rsidRPr="00DD6590">
              <w:rPr>
                <w:sz w:val="16"/>
                <w:szCs w:val="16"/>
              </w:rPr>
              <w:t xml:space="preserve">a základe databázy </w:t>
            </w:r>
            <w:r w:rsidR="005B21CF">
              <w:rPr>
                <w:sz w:val="16"/>
                <w:szCs w:val="16"/>
              </w:rPr>
              <w:t xml:space="preserve">sa </w:t>
            </w:r>
            <w:r w:rsidRPr="00DD6590">
              <w:rPr>
                <w:sz w:val="16"/>
                <w:szCs w:val="16"/>
              </w:rPr>
              <w:t xml:space="preserve">zamerať sa projekty, ktoré sú najlepšie pripravené a prispejú k naplneniu výkonnostného rámca. </w:t>
            </w:r>
          </w:p>
        </w:tc>
      </w:tr>
      <w:tr w:rsidR="00B41E21" w:rsidRPr="00DD6590" w14:paraId="5913AA5F" w14:textId="77777777" w:rsidTr="008B121C">
        <w:trPr>
          <w:trHeight w:val="454"/>
        </w:trPr>
        <w:tc>
          <w:tcPr>
            <w:tcW w:w="530" w:type="pct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1EACF0F" w14:textId="77777777" w:rsidR="00B41E21" w:rsidRPr="00DD6590" w:rsidRDefault="00B41E21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063" w:type="pct"/>
            <w:vAlign w:val="center"/>
          </w:tcPr>
          <w:p w14:paraId="681652CE" w14:textId="77777777" w:rsidR="00B41E21" w:rsidRPr="00DD6590" w:rsidRDefault="00B41E21" w:rsidP="00B41E21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Celková dĺžka rekonštruovaných alebo zrenovovaných železničných tratí </w:t>
            </w:r>
          </w:p>
        </w:tc>
        <w:tc>
          <w:tcPr>
            <w:tcW w:w="593" w:type="pct"/>
            <w:vAlign w:val="center"/>
          </w:tcPr>
          <w:p w14:paraId="3B73994E" w14:textId="77777777" w:rsidR="00B41E21" w:rsidRPr="00DD6590" w:rsidRDefault="00B41E21" w:rsidP="00B41E2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54,5 km</w:t>
            </w:r>
          </w:p>
        </w:tc>
        <w:tc>
          <w:tcPr>
            <w:tcW w:w="407" w:type="pct"/>
            <w:shd w:val="clear" w:color="auto" w:fill="FFD653"/>
            <w:vAlign w:val="center"/>
          </w:tcPr>
          <w:p w14:paraId="5CCD1176" w14:textId="392105C6" w:rsidR="00B41E21" w:rsidRPr="00DD6590" w:rsidRDefault="00B41E21" w:rsidP="00B41E2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5B21CF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2407" w:type="pct"/>
            <w:vAlign w:val="center"/>
          </w:tcPr>
          <w:p w14:paraId="2509B318" w14:textId="0D112DB1" w:rsidR="00B41E21" w:rsidRPr="00DD6590" w:rsidRDefault="00B41E21" w:rsidP="00B41E21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Celková dĺžka rekonštruovaných alebo zrenovovaných železničných tratí sa 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5B21CF">
              <w:rPr>
                <w:color w:val="000000"/>
                <w:sz w:val="16"/>
                <w:szCs w:val="16"/>
              </w:rPr>
              <w:t>v</w:t>
            </w:r>
            <w:r w:rsidR="005B21CF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jed</w:t>
            </w:r>
            <w:r w:rsidR="00171273" w:rsidRPr="00DD6590">
              <w:rPr>
                <w:color w:val="000000"/>
                <w:sz w:val="16"/>
                <w:szCs w:val="16"/>
              </w:rPr>
              <w:t>nom</w:t>
            </w:r>
            <w:r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171273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39996567" w14:textId="47D173D2" w:rsidR="00882E5D" w:rsidRPr="00DD6590" w:rsidRDefault="00882E5D" w:rsidP="00B41E21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 základe dotazníkov bolo identifikovaných päť projektov, ktoré by mali napĺňať tento ukazovateľ. Pri troch projektoch bola určená aj dĺžka rekonštruovaných tratí v</w:t>
            </w:r>
            <w:r w:rsidR="005B21CF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celkov</w:t>
            </w:r>
            <w:r w:rsidR="005B21CF">
              <w:rPr>
                <w:color w:val="000000"/>
                <w:sz w:val="16"/>
                <w:szCs w:val="16"/>
              </w:rPr>
              <w:t>om rozsahu</w:t>
            </w:r>
            <w:r w:rsidRPr="00DD6590">
              <w:rPr>
                <w:color w:val="000000"/>
                <w:sz w:val="16"/>
                <w:szCs w:val="16"/>
              </w:rPr>
              <w:t xml:space="preserve"> 59,9 km. Realizáciou týchto troch projektov sa ukazovateľ naplní na </w:t>
            </w:r>
            <w:r w:rsidR="00171273" w:rsidRPr="00DD6590">
              <w:rPr>
                <w:color w:val="000000"/>
                <w:sz w:val="16"/>
                <w:szCs w:val="16"/>
              </w:rPr>
              <w:t>109,9</w:t>
            </w:r>
            <w:r w:rsidR="005B21CF">
              <w:rPr>
                <w:color w:val="000000"/>
                <w:sz w:val="16"/>
                <w:szCs w:val="16"/>
              </w:rPr>
              <w:t xml:space="preserve"> </w:t>
            </w:r>
            <w:r w:rsidR="00171273" w:rsidRPr="00DD6590">
              <w:rPr>
                <w:color w:val="000000"/>
                <w:sz w:val="16"/>
                <w:szCs w:val="16"/>
              </w:rPr>
              <w:t>%.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2A152358" w14:textId="77777777" w:rsidR="00171273" w:rsidRPr="00DD6590" w:rsidRDefault="00171273" w:rsidP="008F694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40DF36E9" w14:textId="77777777" w:rsidR="00171273" w:rsidRPr="00DD6590" w:rsidRDefault="00171273" w:rsidP="008F694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Pri schvaľovaní projektov je potrebné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najmä projekty:</w:t>
            </w:r>
          </w:p>
          <w:p w14:paraId="7D3A01B7" w14:textId="49550BCA" w:rsidR="00171273" w:rsidRPr="00DD6590" w:rsidRDefault="00171273" w:rsidP="003E761D">
            <w:pPr>
              <w:pStyle w:val="ListParagraph"/>
              <w:numPr>
                <w:ilvl w:val="0"/>
                <w:numId w:val="84"/>
              </w:numPr>
              <w:tabs>
                <w:tab w:val="left" w:pos="357"/>
              </w:tabs>
              <w:spacing w:before="60" w:after="0" w:line="240" w:lineRule="auto"/>
              <w:ind w:left="357" w:hanging="270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Elektrifikácia trate Haniska pri Košiciach </w:t>
            </w:r>
            <w:r w:rsidR="005B21CF" w:rsidRPr="00DD6590">
              <w:rPr>
                <w:color w:val="000000"/>
                <w:sz w:val="16"/>
                <w:szCs w:val="16"/>
              </w:rPr>
              <w:t>–</w:t>
            </w:r>
            <w:r w:rsidRPr="00DD6590">
              <w:rPr>
                <w:color w:val="000000"/>
                <w:sz w:val="16"/>
                <w:szCs w:val="16"/>
              </w:rPr>
              <w:t xml:space="preserve"> Moldava nad Bodvou, realizácia</w:t>
            </w:r>
            <w:r w:rsidRPr="00DD6590" w:rsidDel="00882E5D">
              <w:rPr>
                <w:color w:val="000000"/>
                <w:sz w:val="16"/>
                <w:szCs w:val="16"/>
              </w:rPr>
              <w:t xml:space="preserve"> </w:t>
            </w:r>
          </w:p>
          <w:p w14:paraId="409899BB" w14:textId="74DC043E" w:rsidR="00171273" w:rsidRPr="00DD6590" w:rsidRDefault="00171273" w:rsidP="003E761D">
            <w:pPr>
              <w:pStyle w:val="ListParagraph"/>
              <w:numPr>
                <w:ilvl w:val="0"/>
                <w:numId w:val="84"/>
              </w:numPr>
              <w:tabs>
                <w:tab w:val="left" w:pos="357"/>
              </w:tabs>
              <w:spacing w:before="60" w:after="0" w:line="240" w:lineRule="auto"/>
              <w:ind w:left="357" w:hanging="270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Modernizácia koridoru št. hranica ČR/SR – Čadca – Krásno nad Kysucou, úsek štátna hranica ČR/SR </w:t>
            </w:r>
            <w:r w:rsidR="005B21CF" w:rsidRPr="00DD6590">
              <w:rPr>
                <w:color w:val="000000"/>
                <w:sz w:val="16"/>
                <w:szCs w:val="16"/>
              </w:rPr>
              <w:t>–</w:t>
            </w:r>
            <w:r w:rsidRPr="00DD6590">
              <w:rPr>
                <w:color w:val="000000"/>
                <w:sz w:val="16"/>
                <w:szCs w:val="16"/>
              </w:rPr>
              <w:t xml:space="preserve"> Čadca (mimo)</w:t>
            </w:r>
          </w:p>
          <w:p w14:paraId="72238E36" w14:textId="379BBD27" w:rsidR="00B41E21" w:rsidRPr="00DD6590" w:rsidRDefault="00171273" w:rsidP="003E761D">
            <w:pPr>
              <w:pStyle w:val="ListParagraph"/>
              <w:numPr>
                <w:ilvl w:val="0"/>
                <w:numId w:val="84"/>
              </w:numPr>
              <w:tabs>
                <w:tab w:val="left" w:pos="357"/>
              </w:tabs>
              <w:spacing w:before="60" w:after="0" w:line="240" w:lineRule="auto"/>
              <w:ind w:left="357" w:hanging="270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ŽSR, Elektrifikácia trate Bánovce nad Ondavou </w:t>
            </w:r>
            <w:r w:rsidR="005B21CF" w:rsidRPr="00DD6590">
              <w:rPr>
                <w:color w:val="000000"/>
                <w:sz w:val="16"/>
                <w:szCs w:val="16"/>
              </w:rPr>
              <w:t>–</w:t>
            </w:r>
            <w:r w:rsidRPr="00DD6590">
              <w:rPr>
                <w:color w:val="000000"/>
                <w:sz w:val="16"/>
                <w:szCs w:val="16"/>
              </w:rPr>
              <w:t xml:space="preserve"> Humenné, realizácia</w:t>
            </w:r>
            <w:r w:rsidRPr="00DD6590" w:rsidDel="00882E5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41E21" w:rsidRPr="00DD6590" w14:paraId="4474EB53" w14:textId="77777777" w:rsidTr="008B121C">
        <w:trPr>
          <w:trHeight w:val="454"/>
        </w:trPr>
        <w:tc>
          <w:tcPr>
            <w:tcW w:w="53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vAlign w:val="center"/>
          </w:tcPr>
          <w:p w14:paraId="627BE8FC" w14:textId="77777777" w:rsidR="00B41E21" w:rsidRPr="00DD6590" w:rsidRDefault="00B41E21" w:rsidP="00B41E2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063" w:type="pct"/>
            <w:vAlign w:val="center"/>
          </w:tcPr>
          <w:p w14:paraId="46A5E9A8" w14:textId="77777777" w:rsidR="00B41E21" w:rsidRPr="00DD6590" w:rsidRDefault="00B41E21" w:rsidP="00B41E21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Počet lokalít s odstránením environmentálnej záťaže spôsobenej prevádzkou železničnej dopravy</w:t>
            </w:r>
          </w:p>
        </w:tc>
        <w:tc>
          <w:tcPr>
            <w:tcW w:w="593" w:type="pct"/>
            <w:vAlign w:val="center"/>
          </w:tcPr>
          <w:p w14:paraId="6601B143" w14:textId="77777777" w:rsidR="00B41E21" w:rsidRPr="00DD6590" w:rsidRDefault="00B41E21" w:rsidP="00B41E2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</w:t>
            </w:r>
          </w:p>
        </w:tc>
        <w:tc>
          <w:tcPr>
            <w:tcW w:w="407" w:type="pct"/>
            <w:shd w:val="clear" w:color="auto" w:fill="D0EC9F"/>
            <w:vAlign w:val="center"/>
          </w:tcPr>
          <w:p w14:paraId="69FA525F" w14:textId="64FA5CD7" w:rsidR="00B41E21" w:rsidRPr="00DD6590" w:rsidRDefault="00B41E21" w:rsidP="00B41E2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5B21CF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2407" w:type="pct"/>
            <w:vAlign w:val="center"/>
          </w:tcPr>
          <w:p w14:paraId="0C5019DE" w14:textId="5DF1AEF3" w:rsidR="00B41E21" w:rsidRPr="00DD6590" w:rsidRDefault="00B41E21" w:rsidP="00B41E21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sa daný ukazovateľ nevykazuje ani </w:t>
            </w:r>
            <w:r w:rsidR="005B21CF">
              <w:rPr>
                <w:color w:val="000000"/>
                <w:sz w:val="16"/>
                <w:szCs w:val="16"/>
              </w:rPr>
              <w:t>v</w:t>
            </w:r>
            <w:r w:rsidR="005B21CF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jed</w:t>
            </w:r>
            <w:r w:rsidR="00171273" w:rsidRPr="00DD6590">
              <w:rPr>
                <w:color w:val="000000"/>
                <w:sz w:val="16"/>
                <w:szCs w:val="16"/>
              </w:rPr>
              <w:t>nom</w:t>
            </w:r>
            <w:r w:rsidRPr="00DD6590">
              <w:rPr>
                <w:color w:val="000000"/>
                <w:sz w:val="16"/>
                <w:szCs w:val="16"/>
              </w:rPr>
              <w:t xml:space="preserve"> projekt</w:t>
            </w:r>
            <w:r w:rsidR="00171273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, </w:t>
            </w:r>
            <w:r w:rsidR="005B21CF">
              <w:rPr>
                <w:color w:val="000000"/>
                <w:sz w:val="16"/>
                <w:szCs w:val="16"/>
              </w:rPr>
              <w:t>ale</w:t>
            </w:r>
            <w:r w:rsidR="005B21CF" w:rsidRPr="00DD6590">
              <w:rPr>
                <w:color w:val="000000"/>
                <w:sz w:val="16"/>
                <w:szCs w:val="16"/>
              </w:rPr>
              <w:t xml:space="preserve"> </w:t>
            </w:r>
            <w:r w:rsidR="00171273" w:rsidRPr="00DD6590">
              <w:rPr>
                <w:color w:val="000000"/>
                <w:sz w:val="16"/>
                <w:szCs w:val="16"/>
              </w:rPr>
              <w:t>v súčasnej dobe sú tri projekty schválené RO OPII</w:t>
            </w:r>
            <w:r w:rsidRPr="00DD6590">
              <w:rPr>
                <w:color w:val="000000"/>
                <w:sz w:val="16"/>
                <w:szCs w:val="16"/>
              </w:rPr>
              <w:t>, ktoré prispejú k naplneniu tohto ukazovateľa na 100</w:t>
            </w:r>
            <w:r w:rsidR="005B21CF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%.</w:t>
            </w:r>
          </w:p>
          <w:p w14:paraId="2CBF5D8E" w14:textId="0E7324B0" w:rsidR="00B41E21" w:rsidRPr="00DD6590" w:rsidRDefault="005B21CF" w:rsidP="005B21CF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Projektoví manažéri v dotazníku identifikovali </w:t>
            </w:r>
            <w:r w:rsidR="00B41E2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ďalšie dva plánované projekty,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b</w:t>
            </w:r>
            <w:r w:rsidR="00B41E2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ola by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však</w:t>
            </w:r>
            <w:r w:rsidR="00B41E2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nutná revízia OPII.</w:t>
            </w:r>
          </w:p>
        </w:tc>
      </w:tr>
    </w:tbl>
    <w:p w14:paraId="50A8DA28" w14:textId="77777777" w:rsidR="00AE05E4" w:rsidRPr="00DD6590" w:rsidRDefault="00AE05E4" w:rsidP="00A40396">
      <w:pPr>
        <w:rPr>
          <w:b/>
        </w:rPr>
        <w:sectPr w:rsidR="00AE05E4" w:rsidRPr="00DD6590" w:rsidSect="00AE05E4">
          <w:pgSz w:w="16838" w:h="11906" w:orient="landscape" w:code="9"/>
          <w:pgMar w:top="1411" w:right="1987" w:bottom="1138" w:left="1138" w:header="677" w:footer="562" w:gutter="0"/>
          <w:cols w:space="9"/>
          <w:titlePg/>
          <w:docGrid w:linePitch="360"/>
        </w:sectPr>
      </w:pPr>
    </w:p>
    <w:bookmarkEnd w:id="1"/>
    <w:p w14:paraId="7C3CE3A2" w14:textId="77777777" w:rsidR="00BF6F8B" w:rsidRPr="00053D7B" w:rsidRDefault="00BF6F8B" w:rsidP="00E428A4"/>
    <w:sectPr w:rsidR="00BF6F8B" w:rsidRPr="00053D7B" w:rsidSect="00E428A4">
      <w:type w:val="continuous"/>
      <w:pgSz w:w="16838" w:h="11906" w:orient="landscape" w:code="9"/>
      <w:pgMar w:top="1411" w:right="1987" w:bottom="1138" w:left="1138" w:header="677" w:footer="562" w:gutter="0"/>
      <w:cols w:num="3" w:space="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56641D" w:rsidRDefault="0056641D" w:rsidP="00C702C7">
      <w:r>
        <w:separator/>
      </w:r>
    </w:p>
  </w:endnote>
  <w:endnote w:type="continuationSeparator" w:id="0">
    <w:p w14:paraId="48BD6A56" w14:textId="77777777" w:rsidR="0056641D" w:rsidRDefault="0056641D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776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482984" w14:textId="33671589" w:rsidR="002464A2" w:rsidRDefault="002464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9B4A9D3" w14:textId="77777777" w:rsidR="0056641D" w:rsidRPr="00335CF3" w:rsidRDefault="0056641D" w:rsidP="00D21B5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9922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6E5B8" w14:textId="175C7224" w:rsidR="002464A2" w:rsidRDefault="002464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C27993" w14:textId="77777777" w:rsidR="0056641D" w:rsidRDefault="0056641D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56641D" w:rsidRDefault="0056641D" w:rsidP="00C702C7">
      <w:r>
        <w:separator/>
      </w:r>
    </w:p>
  </w:footnote>
  <w:footnote w:type="continuationSeparator" w:id="0">
    <w:p w14:paraId="09316071" w14:textId="77777777" w:rsidR="0056641D" w:rsidRDefault="0056641D" w:rsidP="00C702C7">
      <w:r>
        <w:continuationSeparator/>
      </w:r>
    </w:p>
  </w:footnote>
  <w:footnote w:id="1">
    <w:p w14:paraId="797ACDB4" w14:textId="77777777" w:rsidR="0056641D" w:rsidRPr="001C487B" w:rsidRDefault="0056641D" w:rsidP="00A947AC">
      <w:pPr>
        <w:pStyle w:val="FootnoteText"/>
      </w:pPr>
      <w:r w:rsidRPr="001C487B">
        <w:rPr>
          <w:rStyle w:val="FootnoteReference"/>
        </w:rPr>
        <w:footnoteRef/>
      </w:r>
      <w:r w:rsidRPr="001C487B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77325C69" w14:textId="280C9D5A" w:rsidR="0056641D" w:rsidRPr="00A40396" w:rsidRDefault="0056641D" w:rsidP="00A40396">
      <w:pPr>
        <w:pStyle w:val="FootnoteText"/>
        <w:spacing w:before="0" w:line="240" w:lineRule="auto"/>
        <w:contextualSpacing/>
      </w:pPr>
      <w:r>
        <w:rPr>
          <w:rStyle w:val="FootnoteReference"/>
        </w:rPr>
        <w:footnoteRef/>
      </w:r>
      <w:r>
        <w:t xml:space="preserve"> </w:t>
      </w:r>
      <w:r w:rsidRPr="00A40396">
        <w:t>Zdroj: Údaje čerpané z </w:t>
      </w:r>
      <w:r>
        <w:t>m</w:t>
      </w:r>
      <w:r w:rsidRPr="00A40396">
        <w:t xml:space="preserve">onitorovacích správ </w:t>
      </w:r>
      <w:r w:rsidR="00700B8E" w:rsidRPr="00A40396">
        <w:t>dostupný</w:t>
      </w:r>
      <w:r w:rsidR="00700B8E">
        <w:t>ch</w:t>
      </w:r>
      <w:r w:rsidR="00700B8E" w:rsidRPr="00A40396">
        <w:t xml:space="preserve"> </w:t>
      </w:r>
      <w:r w:rsidRPr="00A40396">
        <w:t xml:space="preserve">v ITMS k 31. 1. </w:t>
      </w:r>
      <w:r w:rsidRPr="003D5CE7">
        <w:t>2019</w:t>
      </w:r>
      <w:r w:rsidRPr="00A40396">
        <w:t xml:space="preserve"> a z informácií k projektom poskytnutým zadávateľom</w:t>
      </w:r>
      <w:r>
        <w:t>.</w:t>
      </w:r>
      <w:r w:rsidRPr="00A40396">
        <w:t xml:space="preserve"> </w:t>
      </w:r>
    </w:p>
  </w:footnote>
  <w:footnote w:id="3">
    <w:p w14:paraId="6210293F" w14:textId="77777777" w:rsidR="0056641D" w:rsidRPr="00A40396" w:rsidRDefault="0056641D" w:rsidP="00A40396">
      <w:pPr>
        <w:pStyle w:val="FootnoteText"/>
        <w:spacing w:before="0" w:line="240" w:lineRule="auto"/>
        <w:contextualSpacing/>
      </w:pPr>
      <w:r w:rsidRPr="00A40396">
        <w:rPr>
          <w:rStyle w:val="FootnoteReference"/>
        </w:rPr>
        <w:footnoteRef/>
      </w:r>
      <w:r w:rsidRPr="00A40396">
        <w:t xml:space="preserve"> </w:t>
      </w:r>
      <w:r w:rsidRPr="00A40396">
        <w:t>Od začiatku projektu do 31. 12. 2018.</w:t>
      </w:r>
    </w:p>
  </w:footnote>
  <w:footnote w:id="4">
    <w:p w14:paraId="210B2E87" w14:textId="77777777" w:rsidR="0056641D" w:rsidRPr="00A40396" w:rsidRDefault="0056641D" w:rsidP="00A40396">
      <w:pPr>
        <w:pStyle w:val="FootnoteText"/>
        <w:spacing w:before="0" w:line="240" w:lineRule="auto"/>
        <w:contextualSpacing/>
      </w:pPr>
      <w:r w:rsidRPr="00A40396">
        <w:rPr>
          <w:rStyle w:val="FootnoteReference"/>
        </w:rPr>
        <w:footnoteRef/>
      </w:r>
      <w:r w:rsidRPr="00A40396">
        <w:t xml:space="preserve"> </w:t>
      </w:r>
      <w:r w:rsidRPr="00A40396">
        <w:t>Percentuálny podiel a stav vecného plnenia podľa odhadu projektových manažérov.</w:t>
      </w:r>
    </w:p>
  </w:footnote>
  <w:footnote w:id="5">
    <w:p w14:paraId="4504C650" w14:textId="06FD4131" w:rsidR="0056641D" w:rsidRPr="00A40396" w:rsidRDefault="0056641D">
      <w:pPr>
        <w:pStyle w:val="FootnoteText"/>
        <w:contextualSpacing/>
      </w:pPr>
      <w:r>
        <w:rPr>
          <w:rStyle w:val="FootnoteReference"/>
        </w:rPr>
        <w:footnoteRef/>
      </w:r>
      <w:r>
        <w:t xml:space="preserve"> </w:t>
      </w:r>
      <w:r>
        <w:t xml:space="preserve">Projekt bude </w:t>
      </w:r>
      <w:proofErr w:type="spellStart"/>
      <w:r>
        <w:t>zazmluvnený</w:t>
      </w:r>
      <w:proofErr w:type="spellEnd"/>
      <w:r>
        <w:t xml:space="preserve">, v súčasnosti bolo ukončené Administratívne overenie </w:t>
      </w:r>
      <w:proofErr w:type="spellStart"/>
      <w:r>
        <w:t>ŽoNFP</w:t>
      </w:r>
      <w:proofErr w:type="spellEnd"/>
      <w:r w:rsidR="004F53E1">
        <w:t>.</w:t>
      </w:r>
    </w:p>
  </w:footnote>
  <w:footnote w:id="6">
    <w:p w14:paraId="6338B9A9" w14:textId="0D84E4FB" w:rsidR="0056641D" w:rsidRPr="00A40396" w:rsidRDefault="0056641D" w:rsidP="00CC2122">
      <w:pPr>
        <w:pStyle w:val="FootnoteText"/>
        <w:contextualSpacing/>
      </w:pPr>
      <w:r>
        <w:rPr>
          <w:rStyle w:val="FootnoteReference"/>
        </w:rPr>
        <w:footnoteRef/>
      </w:r>
      <w:r>
        <w:t xml:space="preserve"> </w:t>
      </w:r>
      <w:r>
        <w:t xml:space="preserve">Projekt bude </w:t>
      </w:r>
      <w:proofErr w:type="spellStart"/>
      <w:r>
        <w:t>zazmluvnený</w:t>
      </w:r>
      <w:proofErr w:type="spellEnd"/>
      <w:r>
        <w:t xml:space="preserve">, v súčasnosti je na Odbornom hodnotení </w:t>
      </w:r>
      <w:proofErr w:type="spellStart"/>
      <w:r>
        <w:t>ŽoNFP</w:t>
      </w:r>
      <w:proofErr w:type="spellEnd"/>
      <w:r w:rsidR="004F53E1">
        <w:t>.</w:t>
      </w:r>
    </w:p>
  </w:footnote>
  <w:footnote w:id="7">
    <w:p w14:paraId="123776FE" w14:textId="6C1D2798" w:rsidR="0056641D" w:rsidRPr="00A40396" w:rsidRDefault="0056641D" w:rsidP="00CC2122">
      <w:pPr>
        <w:pStyle w:val="FootnoteText"/>
        <w:contextualSpacing/>
      </w:pPr>
      <w:r>
        <w:rPr>
          <w:rStyle w:val="FootnoteReference"/>
        </w:rPr>
        <w:footnoteRef/>
      </w:r>
      <w:r>
        <w:t xml:space="preserve"> </w:t>
      </w:r>
      <w:r>
        <w:t xml:space="preserve">Projekt bude </w:t>
      </w:r>
      <w:proofErr w:type="spellStart"/>
      <w:r>
        <w:t>zazmluvnený</w:t>
      </w:r>
      <w:proofErr w:type="spellEnd"/>
      <w:r>
        <w:t xml:space="preserve">, v súčasnosti je na Odbornom hodnotení </w:t>
      </w:r>
      <w:proofErr w:type="spellStart"/>
      <w:r>
        <w:t>ŽoNFP</w:t>
      </w:r>
      <w:proofErr w:type="spellEnd"/>
      <w:r w:rsidR="004F53E1">
        <w:t>.</w:t>
      </w:r>
    </w:p>
  </w:footnote>
  <w:footnote w:id="8">
    <w:p w14:paraId="74DCA5A4" w14:textId="77777777" w:rsidR="0056641D" w:rsidRPr="00BD487E" w:rsidRDefault="0056641D" w:rsidP="00A40396">
      <w:pPr>
        <w:pStyle w:val="FootnoteText"/>
        <w:spacing w:before="0"/>
      </w:pPr>
      <w:r w:rsidRPr="00BD487E">
        <w:rPr>
          <w:rStyle w:val="FootnoteReference"/>
        </w:rPr>
        <w:footnoteRef/>
      </w:r>
      <w:r w:rsidRPr="00BD487E">
        <w:t xml:space="preserve"> </w:t>
      </w:r>
      <w:r w:rsidRPr="00BD487E">
        <w:t>Z kontrahovaných prostriedkov.</w:t>
      </w:r>
    </w:p>
  </w:footnote>
  <w:footnote w:id="9">
    <w:p w14:paraId="53241602" w14:textId="50EA4BF1" w:rsidR="0056641D" w:rsidRDefault="005664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Tri projekty sú v procese schvaľovania.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8A3B" w14:textId="4E6E14EB" w:rsidR="0056641D" w:rsidRDefault="002464A2">
    <w:pPr>
      <w:pStyle w:val="Header"/>
    </w:pPr>
    <w:r>
      <w:rPr>
        <w:noProof/>
      </w:rPr>
      <w:pict w14:anchorId="600582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3441647" o:spid="_x0000_s2056" type="#_x0000_t136" style="position:absolute;margin-left:0;margin-top:0;width:494.7pt;height:164.9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6DB63" w14:textId="19467A11" w:rsidR="0056641D" w:rsidRPr="00E428A4" w:rsidRDefault="0056641D">
    <w:pPr>
      <w:pStyle w:val="Header"/>
      <w:rPr>
        <w:b w:val="0"/>
        <w:sz w:val="16"/>
        <w:szCs w:val="16"/>
      </w:rPr>
    </w:pPr>
    <w:r>
      <w:rPr>
        <w:b w:val="0"/>
        <w:sz w:val="16"/>
        <w:szCs w:val="16"/>
        <w:lang w:val="sk-SK"/>
      </w:rPr>
      <w:t xml:space="preserve">Príloha č. 8 Výsledky analýzy prioritnej osi 5 </w:t>
    </w:r>
    <w:r w:rsidR="00E62166" w:rsidRPr="00D76E8D">
      <w:rPr>
        <w:sz w:val="16"/>
        <w:szCs w:val="16"/>
      </w:rPr>
      <w:t>–</w:t>
    </w:r>
    <w:r w:rsidR="00E62166">
      <w:rPr>
        <w:sz w:val="16"/>
        <w:szCs w:val="16"/>
      </w:rPr>
      <w:t xml:space="preserve"> </w:t>
    </w:r>
    <w:r>
      <w:rPr>
        <w:b w:val="0"/>
        <w:sz w:val="16"/>
        <w:szCs w:val="16"/>
        <w:lang w:val="sk-SK"/>
      </w:rPr>
      <w:t>Železničná infraštruktúra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7A4474CF" w:rsidR="0056641D" w:rsidRPr="00E428A4" w:rsidRDefault="0056641D" w:rsidP="00E428A4">
    <w:pPr>
      <w:pStyle w:val="Header"/>
      <w:rPr>
        <w:b w:val="0"/>
        <w:sz w:val="16"/>
        <w:szCs w:val="16"/>
      </w:rPr>
    </w:pPr>
    <w:r>
      <w:rPr>
        <w:b w:val="0"/>
        <w:sz w:val="16"/>
        <w:szCs w:val="16"/>
        <w:lang w:val="sk-SK"/>
      </w:rPr>
      <w:t xml:space="preserve">Príloha č. 8 Výsledky analýzy prioritnej osi 5 </w:t>
    </w:r>
    <w:r w:rsidR="00E62166" w:rsidRPr="00D76E8D">
      <w:rPr>
        <w:sz w:val="16"/>
        <w:szCs w:val="16"/>
      </w:rPr>
      <w:t>–</w:t>
    </w:r>
    <w:r w:rsidR="00E62166">
      <w:rPr>
        <w:sz w:val="16"/>
        <w:szCs w:val="16"/>
      </w:rPr>
      <w:t xml:space="preserve"> </w:t>
    </w:r>
    <w:r>
      <w:rPr>
        <w:b w:val="0"/>
        <w:sz w:val="16"/>
        <w:szCs w:val="16"/>
        <w:lang w:val="sk-SK"/>
      </w:rPr>
      <w:t>Železničná infraštruktúra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464A2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E97"/>
    <w:rsid w:val="002A13EF"/>
    <w:rsid w:val="002A2AE2"/>
    <w:rsid w:val="002A4002"/>
    <w:rsid w:val="002B13EC"/>
    <w:rsid w:val="002B1B99"/>
    <w:rsid w:val="002B2376"/>
    <w:rsid w:val="002B259E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5CE7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5A01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26C31"/>
    <w:rsid w:val="0043006A"/>
    <w:rsid w:val="004312D5"/>
    <w:rsid w:val="004314E1"/>
    <w:rsid w:val="00431E74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53E1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41D"/>
    <w:rsid w:val="00566556"/>
    <w:rsid w:val="00566C4C"/>
    <w:rsid w:val="005676F0"/>
    <w:rsid w:val="00570C44"/>
    <w:rsid w:val="00573556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21CF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E9F"/>
    <w:rsid w:val="006609D8"/>
    <w:rsid w:val="00660C0C"/>
    <w:rsid w:val="00661EAF"/>
    <w:rsid w:val="00662DAD"/>
    <w:rsid w:val="0066395C"/>
    <w:rsid w:val="00665515"/>
    <w:rsid w:val="0066553B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34F5"/>
    <w:rsid w:val="006E6FAC"/>
    <w:rsid w:val="006F0DBC"/>
    <w:rsid w:val="006F65CA"/>
    <w:rsid w:val="006F6F8B"/>
    <w:rsid w:val="006F72B6"/>
    <w:rsid w:val="00700B8E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1E5B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3338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39D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2FDA"/>
    <w:rsid w:val="00D11120"/>
    <w:rsid w:val="00D13397"/>
    <w:rsid w:val="00D16095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28A4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166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16A5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7103E"/>
    <w:rsid w:val="00F71D35"/>
    <w:rsid w:val="00F7435C"/>
    <w:rsid w:val="00F7744A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188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autoRedefine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  <w:style w:type="paragraph" w:styleId="Revision">
    <w:name w:val="Revision"/>
    <w:hidden/>
    <w:uiPriority w:val="99"/>
    <w:semiHidden/>
    <w:rsid w:val="00700B8E"/>
    <w:pPr>
      <w:spacing w:after="0" w:line="240" w:lineRule="auto"/>
    </w:pPr>
    <w:rPr>
      <w:sz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82344-536C-4F3D-9ED5-F21468FE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3773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25231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4</cp:revision>
  <cp:lastPrinted>2019-06-27T12:46:00Z</cp:lastPrinted>
  <dcterms:created xsi:type="dcterms:W3CDTF">2019-06-06T06:23:00Z</dcterms:created>
  <dcterms:modified xsi:type="dcterms:W3CDTF">2019-06-27T12:46:00Z</dcterms:modified>
</cp:coreProperties>
</file>