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4D179" w14:textId="78F961E5" w:rsidR="00ED50D9" w:rsidRPr="00DD6590" w:rsidRDefault="00ED50D9" w:rsidP="00ED50D9">
      <w:pPr>
        <w:pStyle w:val="Heading1"/>
      </w:pPr>
      <w:bookmarkStart w:id="0" w:name="_Toc9350285"/>
      <w:bookmarkStart w:id="1" w:name="_Toc1132682"/>
      <w:bookmarkStart w:id="2" w:name="_GoBack"/>
      <w:bookmarkEnd w:id="2"/>
      <w:r w:rsidRPr="00DD6590">
        <w:t>Prioritná os 6 – Cestná infraštruktúra (mimo TEN-T CORE)</w:t>
      </w:r>
      <w:bookmarkEnd w:id="0"/>
      <w:r w:rsidRPr="00DD6590">
        <w:t xml:space="preserve"> </w:t>
      </w:r>
    </w:p>
    <w:p w14:paraId="4A491788" w14:textId="70B9A60C" w:rsidR="00072B76" w:rsidRPr="00DD6590" w:rsidRDefault="00072B76" w:rsidP="00ED50D9">
      <w:pPr>
        <w:rPr>
          <w:szCs w:val="18"/>
        </w:rPr>
      </w:pPr>
      <w:r w:rsidRPr="00DD6590">
        <w:rPr>
          <w:szCs w:val="18"/>
        </w:rPr>
        <w:t>Táto prioritná os dopĺňa PO2</w:t>
      </w:r>
      <w:r w:rsidR="00B657CB">
        <w:rPr>
          <w:szCs w:val="18"/>
        </w:rPr>
        <w:t>.</w:t>
      </w:r>
      <w:r w:rsidR="00B657CB" w:rsidRPr="00DD6590">
        <w:rPr>
          <w:szCs w:val="18"/>
        </w:rPr>
        <w:t xml:space="preserve"> </w:t>
      </w:r>
      <w:r w:rsidR="00B657CB">
        <w:rPr>
          <w:szCs w:val="18"/>
        </w:rPr>
        <w:t>R</w:t>
      </w:r>
      <w:r w:rsidRPr="00DD6590">
        <w:rPr>
          <w:szCs w:val="18"/>
        </w:rPr>
        <w:t>ealizáciou projektov sa zabezpečí kvalitné cestné spojenie medzi jednotlivými regiónmi, ako aj krajskými sídlami. Investície v rámci tejto prioritnej osi budú smerovať na výstavbu nových úsekov rýchlostných ciest mimo TEMT-CORE.</w:t>
      </w:r>
    </w:p>
    <w:p w14:paraId="6AE4B205" w14:textId="13309822" w:rsidR="00ED50D9" w:rsidRPr="00DD6590" w:rsidRDefault="00350A24" w:rsidP="00ED50D9">
      <w:pPr>
        <w:rPr>
          <w:szCs w:val="18"/>
        </w:rPr>
      </w:pPr>
      <w:r w:rsidRPr="00DD6590">
        <w:rPr>
          <w:szCs w:val="18"/>
        </w:rPr>
        <w:t xml:space="preserve">V rámci prioritnej osi 6 boli stanovené dva špecifické </w:t>
      </w:r>
      <w:r w:rsidR="00ED50D9" w:rsidRPr="00DD6590">
        <w:rPr>
          <w:szCs w:val="18"/>
        </w:rPr>
        <w:t>ciele:</w:t>
      </w:r>
    </w:p>
    <w:p w14:paraId="628E6A52" w14:textId="1D2407D5" w:rsidR="00ED50D9" w:rsidRPr="00DD6590" w:rsidRDefault="00ED50D9" w:rsidP="003E761D">
      <w:pPr>
        <w:pStyle w:val="ListParagraph"/>
        <w:numPr>
          <w:ilvl w:val="1"/>
          <w:numId w:val="28"/>
        </w:numPr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Odstránenie kľúčových úzkych miest na cestnej infraštruktúre TEN-T prostredníctvom výstavby nových úsekov rýchlostných ciest</w:t>
      </w:r>
    </w:p>
    <w:p w14:paraId="0C91A9FA" w14:textId="0A4D3865" w:rsidR="00ED50D9" w:rsidRPr="00DD6590" w:rsidRDefault="00ED50D9" w:rsidP="003E761D">
      <w:pPr>
        <w:pStyle w:val="ListParagraph"/>
        <w:numPr>
          <w:ilvl w:val="1"/>
          <w:numId w:val="28"/>
        </w:numPr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Zlepšenie bezpečnosti a dostupnosti cestnej infraštruktúry TEN-T a regionálnej mobility prostredníctvom výstavby a modernizácie ciest I. triedy</w:t>
      </w:r>
    </w:p>
    <w:p w14:paraId="6F8A72F1" w14:textId="77777777" w:rsidR="00ED50D9" w:rsidRPr="00DD6590" w:rsidRDefault="00ED50D9" w:rsidP="00ED50D9">
      <w:pPr>
        <w:rPr>
          <w:szCs w:val="18"/>
        </w:rPr>
      </w:pPr>
      <w:r w:rsidRPr="00DD6590">
        <w:rPr>
          <w:szCs w:val="18"/>
        </w:rPr>
        <w:t>Na úrovni PO6 je stanovený výkonnostný rámec nasledovne:</w:t>
      </w:r>
    </w:p>
    <w:p w14:paraId="570E70FB" w14:textId="15A172F3" w:rsidR="00C844EE" w:rsidRPr="00DD6590" w:rsidRDefault="00C844EE" w:rsidP="00C844EE">
      <w:pPr>
        <w:pStyle w:val="Caption"/>
      </w:pPr>
      <w:bookmarkStart w:id="3" w:name="_Toc8805492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5F4669">
        <w:rPr>
          <w:noProof/>
        </w:rPr>
        <w:t>1</w:t>
      </w:r>
      <w:r w:rsidRPr="00DD6590">
        <w:fldChar w:fldCharType="end"/>
      </w:r>
      <w:r w:rsidRPr="00DD6590">
        <w:t xml:space="preserve"> Výkonnostný rámec PO6</w:t>
      </w:r>
      <w:bookmarkEnd w:id="3"/>
    </w:p>
    <w:tbl>
      <w:tblPr>
        <w:tblStyle w:val="Svetlzoznamzvraznenie11"/>
        <w:tblW w:w="0" w:type="auto"/>
        <w:tblBorders>
          <w:top w:val="single" w:sz="4" w:space="0" w:color="86BC25" w:themeColor="accent1"/>
          <w:left w:val="single" w:sz="4" w:space="0" w:color="86BC25" w:themeColor="accent1"/>
          <w:bottom w:val="single" w:sz="4" w:space="0" w:color="86BC25" w:themeColor="accent1"/>
          <w:right w:val="single" w:sz="4" w:space="0" w:color="86BC25" w:themeColor="accent1"/>
          <w:insideH w:val="single" w:sz="4" w:space="0" w:color="86BC25" w:themeColor="accent1"/>
          <w:insideV w:val="single" w:sz="4" w:space="0" w:color="86BC25" w:themeColor="accent1"/>
        </w:tblBorders>
        <w:tblLook w:val="04A0" w:firstRow="1" w:lastRow="0" w:firstColumn="1" w:lastColumn="0" w:noHBand="0" w:noVBand="1"/>
      </w:tblPr>
      <w:tblGrid>
        <w:gridCol w:w="1847"/>
        <w:gridCol w:w="2648"/>
        <w:gridCol w:w="1200"/>
        <w:gridCol w:w="1832"/>
        <w:gridCol w:w="1817"/>
      </w:tblGrid>
      <w:tr w:rsidR="00ED50D9" w:rsidRPr="00DD6590" w14:paraId="5FAA85B0" w14:textId="77777777" w:rsidTr="005A4D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2D686B82" w14:textId="77777777" w:rsidR="00ED50D9" w:rsidRPr="00DD6590" w:rsidRDefault="00ED50D9" w:rsidP="00C32525">
            <w:pPr>
              <w:spacing w:before="60"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Typ ukazovateľa</w:t>
            </w:r>
          </w:p>
        </w:tc>
        <w:tc>
          <w:tcPr>
            <w:tcW w:w="2648" w:type="dxa"/>
          </w:tcPr>
          <w:p w14:paraId="19F119B2" w14:textId="77777777" w:rsidR="00ED50D9" w:rsidRPr="00DD6590" w:rsidRDefault="00ED50D9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Definícia ukazovateľa alebo implementačného kroku</w:t>
            </w:r>
          </w:p>
        </w:tc>
        <w:tc>
          <w:tcPr>
            <w:tcW w:w="1200" w:type="dxa"/>
          </w:tcPr>
          <w:p w14:paraId="51736F5F" w14:textId="77777777" w:rsidR="00ED50D9" w:rsidRPr="00DD6590" w:rsidRDefault="00ED50D9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Merná jednotka</w:t>
            </w:r>
          </w:p>
        </w:tc>
        <w:tc>
          <w:tcPr>
            <w:tcW w:w="1832" w:type="dxa"/>
          </w:tcPr>
          <w:p w14:paraId="548461B5" w14:textId="77777777" w:rsidR="00ED50D9" w:rsidRPr="00DD6590" w:rsidRDefault="00ED50D9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Čiastkový cieľ pre rok 2018</w:t>
            </w:r>
          </w:p>
        </w:tc>
        <w:tc>
          <w:tcPr>
            <w:tcW w:w="1817" w:type="dxa"/>
          </w:tcPr>
          <w:p w14:paraId="75A5408E" w14:textId="77777777" w:rsidR="00ED50D9" w:rsidRPr="00DD6590" w:rsidRDefault="00ED50D9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Zámer</w:t>
            </w:r>
            <w:r w:rsidRPr="00DD6590">
              <w:rPr>
                <w:rStyle w:val="FootnoteReference"/>
                <w:rFonts w:asciiTheme="minorHAnsi" w:hAnsiTheme="minorHAnsi"/>
                <w:sz w:val="16"/>
                <w:szCs w:val="16"/>
              </w:rPr>
              <w:footnoteReference w:id="1"/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(2023)</w:t>
            </w:r>
          </w:p>
        </w:tc>
      </w:tr>
      <w:tr w:rsidR="00ED50D9" w:rsidRPr="00DD6590" w14:paraId="67E1A9A0" w14:textId="77777777" w:rsidTr="005A4D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2BD7A5C1" w14:textId="77777777" w:rsidR="00ED50D9" w:rsidRPr="00DD6590" w:rsidRDefault="00ED50D9" w:rsidP="00C32525">
            <w:pPr>
              <w:spacing w:before="60" w:after="0" w:line="240" w:lineRule="auto"/>
              <w:jc w:val="left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Finančný ukazovateľ</w:t>
            </w:r>
          </w:p>
        </w:tc>
        <w:tc>
          <w:tcPr>
            <w:tcW w:w="2648" w:type="dxa"/>
          </w:tcPr>
          <w:p w14:paraId="0AFE9769" w14:textId="77777777" w:rsidR="00ED50D9" w:rsidRPr="00DD6590" w:rsidRDefault="00ED50D9" w:rsidP="00C32525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Celková suma oprávnených výdavkov po ich certifikácii certifikačným orgánom a predložení žiadostí o platby Európskej komisii</w:t>
            </w:r>
          </w:p>
        </w:tc>
        <w:tc>
          <w:tcPr>
            <w:tcW w:w="1200" w:type="dxa"/>
          </w:tcPr>
          <w:p w14:paraId="640356C2" w14:textId="77777777" w:rsidR="00ED50D9" w:rsidRPr="00DD6590" w:rsidRDefault="00ED50D9" w:rsidP="00C32525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1832" w:type="dxa"/>
          </w:tcPr>
          <w:p w14:paraId="6F24327B" w14:textId="77777777" w:rsidR="00ED50D9" w:rsidRPr="00DD6590" w:rsidRDefault="00ED50D9" w:rsidP="00C32525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142 575 656</w:t>
            </w:r>
          </w:p>
        </w:tc>
        <w:tc>
          <w:tcPr>
            <w:tcW w:w="1817" w:type="dxa"/>
          </w:tcPr>
          <w:p w14:paraId="5AB18900" w14:textId="77777777" w:rsidR="00ED50D9" w:rsidRPr="00DD6590" w:rsidRDefault="00ED50D9" w:rsidP="00C32525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570 302 622</w:t>
            </w:r>
          </w:p>
        </w:tc>
      </w:tr>
      <w:tr w:rsidR="00ED50D9" w:rsidRPr="00DD6590" w14:paraId="374C315B" w14:textId="77777777" w:rsidTr="005A4D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57355D27" w14:textId="77777777" w:rsidR="00ED50D9" w:rsidRPr="00DD6590" w:rsidRDefault="00ED50D9" w:rsidP="00C32525">
            <w:pPr>
              <w:spacing w:before="60" w:after="0" w:line="240" w:lineRule="auto"/>
              <w:jc w:val="left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Výstupový ukazovateľ</w:t>
            </w:r>
          </w:p>
        </w:tc>
        <w:tc>
          <w:tcPr>
            <w:tcW w:w="2648" w:type="dxa"/>
          </w:tcPr>
          <w:p w14:paraId="35438EF0" w14:textId="77777777" w:rsidR="00ED50D9" w:rsidRPr="00DD6590" w:rsidRDefault="00ED50D9" w:rsidP="00C32525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Celková dĺžka novo-vybudovaných ciest</w:t>
            </w:r>
          </w:p>
        </w:tc>
        <w:tc>
          <w:tcPr>
            <w:tcW w:w="1200" w:type="dxa"/>
          </w:tcPr>
          <w:p w14:paraId="7BCF6AFF" w14:textId="77777777" w:rsidR="00ED50D9" w:rsidRPr="00DD6590" w:rsidRDefault="00ED50D9" w:rsidP="00C32525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832" w:type="dxa"/>
          </w:tcPr>
          <w:p w14:paraId="5F48A25C" w14:textId="77777777" w:rsidR="00ED50D9" w:rsidRPr="00DD6590" w:rsidRDefault="00ED50D9" w:rsidP="00C32525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10,25</w:t>
            </w:r>
          </w:p>
        </w:tc>
        <w:tc>
          <w:tcPr>
            <w:tcW w:w="1817" w:type="dxa"/>
          </w:tcPr>
          <w:p w14:paraId="008988A7" w14:textId="77777777" w:rsidR="00ED50D9" w:rsidRPr="00DD6590" w:rsidRDefault="00ED50D9" w:rsidP="00C32525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31,75</w:t>
            </w:r>
          </w:p>
        </w:tc>
      </w:tr>
    </w:tbl>
    <w:p w14:paraId="1E03A5AC" w14:textId="77777777" w:rsidR="00ED50D9" w:rsidRPr="00DD6590" w:rsidRDefault="00ED50D9" w:rsidP="00B0035E">
      <w:pPr>
        <w:pStyle w:val="Heading2"/>
      </w:pPr>
      <w:bookmarkStart w:id="4" w:name="_Toc9350286"/>
      <w:r w:rsidRPr="00DD6590">
        <w:t>Špecifický cieľ 6.1</w:t>
      </w:r>
      <w:bookmarkEnd w:id="4"/>
      <w:r w:rsidRPr="00DD6590">
        <w:t xml:space="preserve"> </w:t>
      </w:r>
    </w:p>
    <w:p w14:paraId="010E3CDE" w14:textId="4ACFB947" w:rsidR="00ED50D9" w:rsidRPr="00DD6590" w:rsidRDefault="00ED50D9" w:rsidP="00ED50D9">
      <w:pPr>
        <w:rPr>
          <w:b/>
        </w:rPr>
      </w:pPr>
      <w:r w:rsidRPr="00DD6590">
        <w:rPr>
          <w:b/>
        </w:rPr>
        <w:t>Odstránenie kľúčových úzkych miest na cestnej infraštruktúre TEN-T prostredníctvom výstavby nových úsekov rýchlostných ciest</w:t>
      </w:r>
    </w:p>
    <w:p w14:paraId="1A41B032" w14:textId="048AB339" w:rsidR="00ED50D9" w:rsidRPr="00DD6590" w:rsidRDefault="005A4DB1" w:rsidP="00ED50D9">
      <w:pPr>
        <w:rPr>
          <w:szCs w:val="18"/>
        </w:rPr>
      </w:pPr>
      <w:r w:rsidRPr="00DD6590">
        <w:rPr>
          <w:szCs w:val="18"/>
        </w:rPr>
        <w:t>Očakávanými v</w:t>
      </w:r>
      <w:r w:rsidR="00ED50D9" w:rsidRPr="00DD6590">
        <w:rPr>
          <w:szCs w:val="18"/>
        </w:rPr>
        <w:t>ýsledkami implementácie ŠC 6.1 sú:</w:t>
      </w:r>
    </w:p>
    <w:p w14:paraId="651133B2" w14:textId="77777777" w:rsidR="00ED50D9" w:rsidRPr="00DD6590" w:rsidRDefault="00ED50D9" w:rsidP="003E761D">
      <w:pPr>
        <w:pStyle w:val="ListParagraph"/>
        <w:numPr>
          <w:ilvl w:val="0"/>
          <w:numId w:val="29"/>
        </w:numPr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odstránenie kľúčových úzkych miest na súhrnnej sieti TEN-T,</w:t>
      </w:r>
    </w:p>
    <w:p w14:paraId="5FF92E95" w14:textId="77777777" w:rsidR="00ED50D9" w:rsidRPr="00DD6590" w:rsidRDefault="00ED50D9" w:rsidP="003E761D">
      <w:pPr>
        <w:pStyle w:val="ListParagraph"/>
        <w:numPr>
          <w:ilvl w:val="0"/>
          <w:numId w:val="29"/>
        </w:numPr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zvýšenie bezpečnosti cestnej premávky a zníženie nehodovosti,</w:t>
      </w:r>
    </w:p>
    <w:p w14:paraId="757CF679" w14:textId="77777777" w:rsidR="00ED50D9" w:rsidRPr="00DD6590" w:rsidRDefault="00ED50D9" w:rsidP="003E761D">
      <w:pPr>
        <w:pStyle w:val="ListParagraph"/>
        <w:numPr>
          <w:ilvl w:val="0"/>
          <w:numId w:val="29"/>
        </w:numPr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zníženie negatívnych vplyvov na životné prostredie (zníženie hlukovej záťaže a emisií CO</w:t>
      </w:r>
      <w:r w:rsidRPr="00DD6590">
        <w:rPr>
          <w:rFonts w:asciiTheme="majorHAnsi" w:hAnsiTheme="majorHAnsi"/>
          <w:szCs w:val="18"/>
          <w:vertAlign w:val="subscript"/>
        </w:rPr>
        <w:t>2</w:t>
      </w:r>
      <w:r w:rsidRPr="00DD6590">
        <w:rPr>
          <w:rFonts w:asciiTheme="majorHAnsi" w:hAnsiTheme="majorHAnsi"/>
          <w:szCs w:val="18"/>
        </w:rPr>
        <w:t>, NO</w:t>
      </w:r>
      <w:r w:rsidRPr="00DD6590">
        <w:rPr>
          <w:rFonts w:asciiTheme="majorHAnsi" w:hAnsiTheme="majorHAnsi"/>
          <w:szCs w:val="18"/>
          <w:vertAlign w:val="subscript"/>
        </w:rPr>
        <w:t>2</w:t>
      </w:r>
      <w:r w:rsidRPr="00DD6590">
        <w:rPr>
          <w:rFonts w:asciiTheme="majorHAnsi" w:hAnsiTheme="majorHAnsi"/>
          <w:szCs w:val="18"/>
        </w:rPr>
        <w:t xml:space="preserve"> a PM</w:t>
      </w:r>
      <w:r w:rsidRPr="00DD6590">
        <w:rPr>
          <w:rFonts w:asciiTheme="majorHAnsi" w:hAnsiTheme="majorHAnsi"/>
          <w:szCs w:val="18"/>
          <w:vertAlign w:val="subscript"/>
        </w:rPr>
        <w:t>10</w:t>
      </w:r>
      <w:r w:rsidRPr="00DD6590">
        <w:rPr>
          <w:rFonts w:asciiTheme="majorHAnsi" w:hAnsiTheme="majorHAnsi"/>
          <w:szCs w:val="18"/>
        </w:rPr>
        <w:t xml:space="preserve"> v intraviláne miest a obcí),</w:t>
      </w:r>
    </w:p>
    <w:p w14:paraId="560872D2" w14:textId="77777777" w:rsidR="00ED50D9" w:rsidRPr="00DD6590" w:rsidRDefault="00ED50D9" w:rsidP="003E761D">
      <w:pPr>
        <w:pStyle w:val="ListParagraph"/>
        <w:numPr>
          <w:ilvl w:val="0"/>
          <w:numId w:val="29"/>
        </w:numPr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zníženie časových strát a prevádzkových nákladov,</w:t>
      </w:r>
    </w:p>
    <w:p w14:paraId="1D29CDAA" w14:textId="77777777" w:rsidR="00ED50D9" w:rsidRPr="00DD6590" w:rsidRDefault="00ED50D9" w:rsidP="003E761D">
      <w:pPr>
        <w:pStyle w:val="ListParagraph"/>
        <w:numPr>
          <w:ilvl w:val="0"/>
          <w:numId w:val="29"/>
        </w:numPr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zabezpečenie bezpečnej migrácie zveri – budovanie bezpečných koridorov pre migráciu zveri (tzv. zelené prechody),</w:t>
      </w:r>
    </w:p>
    <w:p w14:paraId="67C3B165" w14:textId="77777777" w:rsidR="00ED50D9" w:rsidRPr="00DD6590" w:rsidRDefault="00ED50D9" w:rsidP="003E761D">
      <w:pPr>
        <w:pStyle w:val="ListParagraph"/>
        <w:numPr>
          <w:ilvl w:val="0"/>
          <w:numId w:val="29"/>
        </w:numPr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vytváranie predpokladov pre zvýšenie konkurencieschopnosti regiónov, zlepšenia mobility obyvateľstva a potenciálu rastu zamestnanosti (napr. v cestovnom ruchu, stavebníctve).</w:t>
      </w:r>
    </w:p>
    <w:p w14:paraId="59796A33" w14:textId="4F792F24" w:rsidR="00ED50D9" w:rsidRPr="00DD6590" w:rsidRDefault="00ED50D9" w:rsidP="00ED50D9">
      <w:pPr>
        <w:ind w:left="90"/>
        <w:rPr>
          <w:szCs w:val="18"/>
        </w:rPr>
      </w:pPr>
      <w:r w:rsidRPr="00DD6590">
        <w:rPr>
          <w:szCs w:val="18"/>
        </w:rPr>
        <w:t>Výsledky projektov naplnia jednotlivé špecifické výsledkové a spoločné výstupové ukazovatele</w:t>
      </w:r>
      <w:r w:rsidR="00532A8C">
        <w:rPr>
          <w:szCs w:val="18"/>
        </w:rPr>
        <w:t>.</w:t>
      </w:r>
    </w:p>
    <w:p w14:paraId="7A330769" w14:textId="02AAA10F" w:rsidR="00C844EE" w:rsidRPr="00DD6590" w:rsidRDefault="00C844EE" w:rsidP="00C844EE">
      <w:pPr>
        <w:pStyle w:val="Caption"/>
      </w:pPr>
      <w:bookmarkStart w:id="5" w:name="_Toc8805493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5F4669">
        <w:rPr>
          <w:noProof/>
        </w:rPr>
        <w:t>2</w:t>
      </w:r>
      <w:r w:rsidRPr="00DD6590">
        <w:fldChar w:fldCharType="end"/>
      </w:r>
      <w:r w:rsidRPr="00DD6590">
        <w:t xml:space="preserve"> Výsledkové a výstupové ukazovatele ŠC 6.1</w:t>
      </w:r>
      <w:bookmarkEnd w:id="5"/>
    </w:p>
    <w:tbl>
      <w:tblPr>
        <w:tblStyle w:val="Svetlzoznamzvraznenie11"/>
        <w:tblW w:w="0" w:type="auto"/>
        <w:jc w:val="center"/>
        <w:tblLook w:val="04A0" w:firstRow="1" w:lastRow="0" w:firstColumn="1" w:lastColumn="0" w:noHBand="0" w:noVBand="1"/>
      </w:tblPr>
      <w:tblGrid>
        <w:gridCol w:w="581"/>
        <w:gridCol w:w="2953"/>
        <w:gridCol w:w="1277"/>
        <w:gridCol w:w="1117"/>
        <w:gridCol w:w="1605"/>
        <w:gridCol w:w="1575"/>
      </w:tblGrid>
      <w:tr w:rsidR="00ED50D9" w:rsidRPr="00DD6590" w14:paraId="6F8FF9CB" w14:textId="77777777" w:rsidTr="005A4D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21EBFFB2" w14:textId="77777777" w:rsidR="00ED50D9" w:rsidRPr="00DD6590" w:rsidRDefault="00ED50D9" w:rsidP="00C32525">
            <w:pPr>
              <w:spacing w:before="60" w:after="0" w:line="240" w:lineRule="auto"/>
              <w:rPr>
                <w:rFonts w:asciiTheme="minorHAnsi" w:hAnsiTheme="minorHAnsi"/>
                <w:sz w:val="16"/>
                <w:szCs w:val="18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8"/>
              </w:rPr>
              <w:t>P.č</w:t>
            </w:r>
            <w:proofErr w:type="spellEnd"/>
            <w:r w:rsidRPr="00DD6590">
              <w:rPr>
                <w:rFonts w:asciiTheme="minorHAnsi" w:hAnsiTheme="minorHAnsi"/>
                <w:sz w:val="16"/>
                <w:szCs w:val="18"/>
              </w:rPr>
              <w:t>.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5BD08FB" w14:textId="77777777" w:rsidR="00ED50D9" w:rsidRPr="00DD6590" w:rsidRDefault="00ED50D9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Ukazovateľ 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00E83A9" w14:textId="77777777" w:rsidR="00ED50D9" w:rsidRPr="00DD6590" w:rsidRDefault="00ED50D9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Typ 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7DDDB9C" w14:textId="77777777" w:rsidR="00ED50D9" w:rsidRPr="00DD6590" w:rsidRDefault="00ED50D9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Merná jednotka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53EDB32" w14:textId="77777777" w:rsidR="00ED50D9" w:rsidRPr="00DD6590" w:rsidRDefault="00ED50D9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Východisková hodnota (2013)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276BD9D1" w14:textId="77777777" w:rsidR="00ED50D9" w:rsidRPr="00DD6590" w:rsidRDefault="00ED50D9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Cieľová hodnota (2023)</w:t>
            </w:r>
          </w:p>
        </w:tc>
      </w:tr>
      <w:tr w:rsidR="00ED50D9" w:rsidRPr="00DD6590" w14:paraId="74F341B3" w14:textId="77777777" w:rsidTr="005A4D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016EDCE8" w14:textId="77777777" w:rsidR="00ED50D9" w:rsidRPr="00DD6590" w:rsidRDefault="00ED50D9" w:rsidP="00C32525">
            <w:pPr>
              <w:spacing w:before="60" w:after="0" w:line="240" w:lineRule="auto"/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8"/>
              </w:rPr>
              <w:t>1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51D6303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Úspora času v cestnej doprave na rýchlostných cestách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36C1C72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výsledkový 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58C02CB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EUR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753D882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66 259 814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16A5E29C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38 225 440</w:t>
            </w:r>
          </w:p>
        </w:tc>
      </w:tr>
      <w:tr w:rsidR="00ED50D9" w:rsidRPr="00DD6590" w14:paraId="7582405B" w14:textId="77777777" w:rsidTr="005A4DB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332C77B9" w14:textId="77777777" w:rsidR="00ED50D9" w:rsidRPr="00DD6590" w:rsidRDefault="00ED50D9" w:rsidP="00C32525">
            <w:pPr>
              <w:spacing w:before="60" w:after="0" w:line="240" w:lineRule="auto"/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8"/>
              </w:rPr>
              <w:t>2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BF9CC3F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Úspora produkcie emisií PM</w:t>
            </w:r>
            <w:r w:rsidRPr="00DD6590">
              <w:rPr>
                <w:rFonts w:asciiTheme="minorHAnsi" w:hAnsiTheme="minorHAnsi"/>
                <w:sz w:val="16"/>
                <w:szCs w:val="18"/>
                <w:vertAlign w:val="subscript"/>
              </w:rPr>
              <w:t>10</w:t>
            </w:r>
            <w:r w:rsidRPr="00DD6590">
              <w:rPr>
                <w:rFonts w:asciiTheme="minorHAnsi" w:hAnsiTheme="minorHAnsi"/>
                <w:sz w:val="16"/>
                <w:szCs w:val="18"/>
              </w:rPr>
              <w:t xml:space="preserve"> (vplyvom výstavby rýchlostných ciest)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91D7723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výsledkový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A7042EC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tona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FC41CF9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2,89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719829A3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0,44</w:t>
            </w:r>
          </w:p>
        </w:tc>
      </w:tr>
      <w:tr w:rsidR="00ED50D9" w:rsidRPr="00DD6590" w14:paraId="225DEE02" w14:textId="77777777" w:rsidTr="005A4D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20EBE3DD" w14:textId="77777777" w:rsidR="00ED50D9" w:rsidRPr="00DD6590" w:rsidRDefault="00ED50D9" w:rsidP="00C32525">
            <w:pPr>
              <w:spacing w:before="60" w:after="0" w:line="240" w:lineRule="auto"/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8"/>
              </w:rPr>
              <w:lastRenderedPageBreak/>
              <w:t>3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491520E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Úspora produkcie emisií  NO</w:t>
            </w:r>
            <w:r w:rsidRPr="00DD6590">
              <w:rPr>
                <w:rFonts w:asciiTheme="minorHAnsi" w:hAnsiTheme="minorHAnsi"/>
                <w:sz w:val="16"/>
                <w:szCs w:val="18"/>
                <w:vertAlign w:val="subscript"/>
              </w:rPr>
              <w:t>2</w:t>
            </w:r>
            <w:r w:rsidRPr="00DD6590">
              <w:rPr>
                <w:rFonts w:asciiTheme="minorHAnsi" w:hAnsiTheme="minorHAnsi"/>
                <w:sz w:val="16"/>
                <w:szCs w:val="18"/>
              </w:rPr>
              <w:t xml:space="preserve"> (vplyvom výstavby rýchlostných ciest)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605A27A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výsledkový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136EF6C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tona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38BD88D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11,64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56FF7CA7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1,92</w:t>
            </w:r>
          </w:p>
        </w:tc>
      </w:tr>
      <w:tr w:rsidR="00ED50D9" w:rsidRPr="00DD6590" w14:paraId="17DFF447" w14:textId="77777777" w:rsidTr="005A4DB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08808651" w14:textId="77777777" w:rsidR="00ED50D9" w:rsidRPr="00DD6590" w:rsidRDefault="00ED50D9" w:rsidP="00C32525">
            <w:pPr>
              <w:spacing w:before="60" w:after="0" w:line="240" w:lineRule="auto"/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8"/>
              </w:rPr>
              <w:t>4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5AD7EC2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Celková dĺžka novo-vybudovaných ciest v sieti TEN-T 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BE4AE32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výstupový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EFB8635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km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2589B7D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-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6C51C42D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21,5</w:t>
            </w:r>
          </w:p>
        </w:tc>
      </w:tr>
    </w:tbl>
    <w:p w14:paraId="05AAFA13" w14:textId="77777777" w:rsidR="00ED50D9" w:rsidRPr="00DD6590" w:rsidRDefault="00ED50D9" w:rsidP="00ED50D9">
      <w:pPr>
        <w:ind w:left="90"/>
        <w:rPr>
          <w:szCs w:val="18"/>
        </w:rPr>
      </w:pPr>
      <w:r w:rsidRPr="00DD6590">
        <w:rPr>
          <w:szCs w:val="18"/>
        </w:rPr>
        <w:t>Napĺňanie cieľov sa realizuje prostredníctvom týchto aktivít:</w:t>
      </w:r>
    </w:p>
    <w:p w14:paraId="0B4859D0" w14:textId="7712579C" w:rsidR="00ED50D9" w:rsidRPr="00DD6590" w:rsidRDefault="00B657CB" w:rsidP="003E761D">
      <w:pPr>
        <w:pStyle w:val="ListParagraph"/>
        <w:numPr>
          <w:ilvl w:val="0"/>
          <w:numId w:val="30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v</w:t>
      </w:r>
      <w:r w:rsidRPr="00DD6590">
        <w:rPr>
          <w:rFonts w:asciiTheme="majorHAnsi" w:hAnsiTheme="majorHAnsi"/>
          <w:szCs w:val="18"/>
        </w:rPr>
        <w:t xml:space="preserve">ýstavba </w:t>
      </w:r>
      <w:r w:rsidR="00ED50D9" w:rsidRPr="00DD6590">
        <w:rPr>
          <w:rFonts w:asciiTheme="majorHAnsi" w:hAnsiTheme="majorHAnsi"/>
          <w:szCs w:val="18"/>
        </w:rPr>
        <w:t>rýchlostných ciest (mimo TEN-T),</w:t>
      </w:r>
    </w:p>
    <w:p w14:paraId="71AA28CC" w14:textId="15B7EC38" w:rsidR="00ED50D9" w:rsidRPr="00DD6590" w:rsidRDefault="00B657CB" w:rsidP="003E761D">
      <w:pPr>
        <w:pStyle w:val="ListParagraph"/>
        <w:numPr>
          <w:ilvl w:val="0"/>
          <w:numId w:val="30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p</w:t>
      </w:r>
      <w:r w:rsidR="00ED50D9" w:rsidRPr="00DD6590">
        <w:rPr>
          <w:rFonts w:asciiTheme="majorHAnsi" w:hAnsiTheme="majorHAnsi"/>
          <w:szCs w:val="18"/>
        </w:rPr>
        <w:t>rojektová príprava.</w:t>
      </w:r>
    </w:p>
    <w:p w14:paraId="135524A6" w14:textId="77777777" w:rsidR="00ED50D9" w:rsidRPr="00DD6590" w:rsidRDefault="00ED50D9" w:rsidP="00B0035E">
      <w:pPr>
        <w:pStyle w:val="Heading2"/>
      </w:pPr>
      <w:bookmarkStart w:id="6" w:name="_Toc9350287"/>
      <w:r w:rsidRPr="00DD6590">
        <w:t>Špecifický cieľ 6.2</w:t>
      </w:r>
      <w:bookmarkEnd w:id="6"/>
      <w:r w:rsidRPr="00DD6590">
        <w:t xml:space="preserve"> </w:t>
      </w:r>
    </w:p>
    <w:p w14:paraId="27EC08B5" w14:textId="6E5D7B6E" w:rsidR="00ED50D9" w:rsidRPr="00DD6590" w:rsidRDefault="00ED50D9" w:rsidP="00ED50D9">
      <w:pPr>
        <w:rPr>
          <w:b/>
        </w:rPr>
      </w:pPr>
      <w:r w:rsidRPr="00DD6590">
        <w:rPr>
          <w:b/>
        </w:rPr>
        <w:t>Zlepšenie bezpečnosti a dostupnosti cestnej infraštruktúry TEN-T a regionálnej mobility prostredníctvom výstavby a modernizácie ciest I. triedy</w:t>
      </w:r>
    </w:p>
    <w:p w14:paraId="2516BF21" w14:textId="446B8061" w:rsidR="00ED50D9" w:rsidRPr="00DD6590" w:rsidRDefault="005A4DB1" w:rsidP="00ED50D9">
      <w:r w:rsidRPr="00DD6590">
        <w:t>Očakávanými v</w:t>
      </w:r>
      <w:r w:rsidR="00ED50D9" w:rsidRPr="00DD6590">
        <w:t>ýsledkami realizácie ŠC 6.2 sú:</w:t>
      </w:r>
    </w:p>
    <w:p w14:paraId="74AF1161" w14:textId="77777777" w:rsidR="00ED50D9" w:rsidRPr="00DD6590" w:rsidRDefault="00ED50D9" w:rsidP="003E761D">
      <w:pPr>
        <w:pStyle w:val="Default"/>
        <w:numPr>
          <w:ilvl w:val="0"/>
          <w:numId w:val="31"/>
        </w:numPr>
        <w:spacing w:after="21"/>
        <w:rPr>
          <w:rFonts w:asciiTheme="majorHAnsi" w:hAnsiTheme="majorHAnsi"/>
          <w:sz w:val="18"/>
          <w:szCs w:val="18"/>
          <w:lang w:val="sk-SK"/>
        </w:rPr>
      </w:pPr>
      <w:r w:rsidRPr="00DD6590">
        <w:rPr>
          <w:rFonts w:asciiTheme="majorHAnsi" w:hAnsiTheme="majorHAnsi"/>
          <w:sz w:val="18"/>
          <w:szCs w:val="18"/>
          <w:lang w:val="sk-SK"/>
        </w:rPr>
        <w:t xml:space="preserve">zvýšenie kapacity ciest I. triedy na exponovaných úsekoch, </w:t>
      </w:r>
    </w:p>
    <w:p w14:paraId="7B3A9F82" w14:textId="77777777" w:rsidR="00ED50D9" w:rsidRPr="00DD6590" w:rsidRDefault="00ED50D9" w:rsidP="003E761D">
      <w:pPr>
        <w:pStyle w:val="Default"/>
        <w:numPr>
          <w:ilvl w:val="0"/>
          <w:numId w:val="31"/>
        </w:numPr>
        <w:spacing w:after="21"/>
        <w:rPr>
          <w:rFonts w:asciiTheme="majorHAnsi" w:hAnsiTheme="majorHAnsi"/>
          <w:sz w:val="18"/>
          <w:szCs w:val="18"/>
          <w:lang w:val="sk-SK"/>
        </w:rPr>
      </w:pPr>
      <w:r w:rsidRPr="00DD6590">
        <w:rPr>
          <w:rFonts w:asciiTheme="majorHAnsi" w:hAnsiTheme="majorHAnsi"/>
          <w:sz w:val="18"/>
          <w:szCs w:val="18"/>
          <w:lang w:val="sk-SK"/>
        </w:rPr>
        <w:t xml:space="preserve">zvýšenie bezpečnosti cestnej premávky a zníženie nehodovosti, </w:t>
      </w:r>
    </w:p>
    <w:p w14:paraId="13064660" w14:textId="77777777" w:rsidR="00ED50D9" w:rsidRPr="00DD6590" w:rsidRDefault="00ED50D9" w:rsidP="003E761D">
      <w:pPr>
        <w:pStyle w:val="Default"/>
        <w:numPr>
          <w:ilvl w:val="0"/>
          <w:numId w:val="31"/>
        </w:numPr>
        <w:spacing w:after="21"/>
        <w:rPr>
          <w:rFonts w:asciiTheme="majorHAnsi" w:hAnsiTheme="majorHAnsi"/>
          <w:sz w:val="18"/>
          <w:szCs w:val="18"/>
          <w:lang w:val="sk-SK"/>
        </w:rPr>
      </w:pPr>
      <w:r w:rsidRPr="00DD6590">
        <w:rPr>
          <w:rFonts w:asciiTheme="majorHAnsi" w:hAnsiTheme="majorHAnsi"/>
          <w:sz w:val="18"/>
          <w:szCs w:val="18"/>
          <w:lang w:val="sk-SK"/>
        </w:rPr>
        <w:t xml:space="preserve">zníženie negatívnych vplyvov na životné prostredie (zníženie hluku, emisií CO2, NO2 a PM10, vibrácií, prašnosti a pod. v intraviláne miest a obcí), </w:t>
      </w:r>
    </w:p>
    <w:p w14:paraId="72C685FF" w14:textId="77777777" w:rsidR="00ED50D9" w:rsidRPr="00DD6590" w:rsidRDefault="00ED50D9" w:rsidP="003E761D">
      <w:pPr>
        <w:pStyle w:val="Default"/>
        <w:numPr>
          <w:ilvl w:val="0"/>
          <w:numId w:val="31"/>
        </w:numPr>
        <w:spacing w:after="21"/>
        <w:rPr>
          <w:rFonts w:asciiTheme="majorHAnsi" w:hAnsiTheme="majorHAnsi"/>
          <w:sz w:val="18"/>
          <w:szCs w:val="18"/>
          <w:lang w:val="sk-SK"/>
        </w:rPr>
      </w:pPr>
      <w:r w:rsidRPr="00DD6590">
        <w:rPr>
          <w:rFonts w:asciiTheme="majorHAnsi" w:hAnsiTheme="majorHAnsi"/>
          <w:sz w:val="18"/>
          <w:szCs w:val="18"/>
          <w:lang w:val="sk-SK"/>
        </w:rPr>
        <w:t xml:space="preserve">zníženie časových strát a prevádzkových nákladov, </w:t>
      </w:r>
    </w:p>
    <w:p w14:paraId="450F7F86" w14:textId="77777777" w:rsidR="00ED50D9" w:rsidRPr="00DD6590" w:rsidRDefault="00ED50D9" w:rsidP="003E761D">
      <w:pPr>
        <w:pStyle w:val="Default"/>
        <w:numPr>
          <w:ilvl w:val="0"/>
          <w:numId w:val="31"/>
        </w:numPr>
        <w:rPr>
          <w:rFonts w:asciiTheme="majorHAnsi" w:hAnsiTheme="majorHAnsi"/>
          <w:sz w:val="18"/>
          <w:szCs w:val="18"/>
          <w:lang w:val="sk-SK"/>
        </w:rPr>
      </w:pPr>
      <w:r w:rsidRPr="00DD6590">
        <w:rPr>
          <w:rFonts w:asciiTheme="majorHAnsi" w:hAnsiTheme="majorHAnsi"/>
          <w:sz w:val="18"/>
          <w:szCs w:val="18"/>
          <w:lang w:val="sk-SK"/>
        </w:rPr>
        <w:t xml:space="preserve">vytváranie predpokladov pre zvýšenie konkurencieschopnosti regiónov, zlepšenia mobility obyvateľstva a potenciálu rastu zamestnanosti. </w:t>
      </w:r>
    </w:p>
    <w:p w14:paraId="7E9C0321" w14:textId="6B28DCEE" w:rsidR="00ED50D9" w:rsidRPr="00DD6590" w:rsidRDefault="00ED50D9" w:rsidP="00ED50D9">
      <w:pPr>
        <w:contextualSpacing/>
        <w:rPr>
          <w:szCs w:val="18"/>
        </w:rPr>
      </w:pPr>
      <w:r w:rsidRPr="00DD6590">
        <w:rPr>
          <w:szCs w:val="18"/>
        </w:rPr>
        <w:t>Výsledky projektov naplnia jednotlivé špecifické výsledkové a</w:t>
      </w:r>
      <w:r w:rsidR="00DB39FE" w:rsidRPr="00DD6590">
        <w:rPr>
          <w:szCs w:val="18"/>
        </w:rPr>
        <w:t> </w:t>
      </w:r>
      <w:r w:rsidRPr="00DD6590">
        <w:rPr>
          <w:szCs w:val="18"/>
        </w:rPr>
        <w:t>spoločné</w:t>
      </w:r>
      <w:r w:rsidR="00DB39FE" w:rsidRPr="00DD6590">
        <w:rPr>
          <w:szCs w:val="18"/>
        </w:rPr>
        <w:t xml:space="preserve"> a špecifické</w:t>
      </w:r>
      <w:r w:rsidRPr="00DD6590">
        <w:rPr>
          <w:szCs w:val="18"/>
        </w:rPr>
        <w:t xml:space="preserve"> výstupové ukazovatele</w:t>
      </w:r>
      <w:r w:rsidR="00532A8C">
        <w:rPr>
          <w:szCs w:val="18"/>
        </w:rPr>
        <w:t>.</w:t>
      </w:r>
    </w:p>
    <w:p w14:paraId="781E2117" w14:textId="192E1F95" w:rsidR="00C32525" w:rsidRPr="00DD6590" w:rsidRDefault="00C32525" w:rsidP="00C32525">
      <w:pPr>
        <w:pStyle w:val="Caption"/>
      </w:pPr>
      <w:bookmarkStart w:id="7" w:name="_Toc8805494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5F4669">
        <w:rPr>
          <w:noProof/>
        </w:rPr>
        <w:t>3</w:t>
      </w:r>
      <w:r w:rsidRPr="00DD6590">
        <w:fldChar w:fldCharType="end"/>
      </w:r>
      <w:r w:rsidRPr="00DD6590">
        <w:t xml:space="preserve"> </w:t>
      </w:r>
      <w:r w:rsidR="00C844EE" w:rsidRPr="00DD6590">
        <w:t>Výsledkové a výstupové ukazovatele ŠC 6.2</w:t>
      </w:r>
      <w:bookmarkEnd w:id="7"/>
    </w:p>
    <w:tbl>
      <w:tblPr>
        <w:tblStyle w:val="Svetlzoznamzvraznenie11"/>
        <w:tblW w:w="0" w:type="auto"/>
        <w:tblBorders>
          <w:top w:val="single" w:sz="4" w:space="0" w:color="86BC25" w:themeColor="accent1"/>
          <w:left w:val="single" w:sz="4" w:space="0" w:color="86BC25" w:themeColor="accent1"/>
          <w:bottom w:val="single" w:sz="4" w:space="0" w:color="86BC25" w:themeColor="accent1"/>
          <w:right w:val="single" w:sz="4" w:space="0" w:color="86BC25" w:themeColor="accent1"/>
          <w:insideH w:val="single" w:sz="4" w:space="0" w:color="86BC25" w:themeColor="accent1"/>
          <w:insideV w:val="single" w:sz="4" w:space="0" w:color="86BC25" w:themeColor="accent1"/>
        </w:tblBorders>
        <w:tblLook w:val="04A0" w:firstRow="1" w:lastRow="0" w:firstColumn="1" w:lastColumn="0" w:noHBand="0" w:noVBand="1"/>
      </w:tblPr>
      <w:tblGrid>
        <w:gridCol w:w="581"/>
        <w:gridCol w:w="2953"/>
        <w:gridCol w:w="1277"/>
        <w:gridCol w:w="1117"/>
        <w:gridCol w:w="1605"/>
        <w:gridCol w:w="1575"/>
      </w:tblGrid>
      <w:tr w:rsidR="00ED50D9" w:rsidRPr="00DD6590" w14:paraId="2F8F8731" w14:textId="77777777" w:rsidTr="005A4D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</w:tcPr>
          <w:p w14:paraId="423105D2" w14:textId="77777777" w:rsidR="00ED50D9" w:rsidRPr="00DD6590" w:rsidRDefault="00ED50D9" w:rsidP="00C32525">
            <w:pPr>
              <w:spacing w:before="60" w:after="0"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P.č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2953" w:type="dxa"/>
          </w:tcPr>
          <w:p w14:paraId="6DB91471" w14:textId="77777777" w:rsidR="00ED50D9" w:rsidRPr="00DD6590" w:rsidRDefault="00ED50D9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Ukazovateľ </w:t>
            </w:r>
          </w:p>
        </w:tc>
        <w:tc>
          <w:tcPr>
            <w:tcW w:w="1277" w:type="dxa"/>
          </w:tcPr>
          <w:p w14:paraId="70521401" w14:textId="77777777" w:rsidR="00ED50D9" w:rsidRPr="00DD6590" w:rsidRDefault="00ED50D9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Typ </w:t>
            </w:r>
          </w:p>
        </w:tc>
        <w:tc>
          <w:tcPr>
            <w:tcW w:w="1117" w:type="dxa"/>
          </w:tcPr>
          <w:p w14:paraId="17D66C5E" w14:textId="77777777" w:rsidR="00ED50D9" w:rsidRPr="00DD6590" w:rsidRDefault="00ED50D9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Merná jednotka</w:t>
            </w:r>
          </w:p>
        </w:tc>
        <w:tc>
          <w:tcPr>
            <w:tcW w:w="1605" w:type="dxa"/>
          </w:tcPr>
          <w:p w14:paraId="18080B52" w14:textId="77777777" w:rsidR="00ED50D9" w:rsidRPr="00DD6590" w:rsidRDefault="00ED50D9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Východisková hodnota (2013)</w:t>
            </w:r>
          </w:p>
        </w:tc>
        <w:tc>
          <w:tcPr>
            <w:tcW w:w="1575" w:type="dxa"/>
          </w:tcPr>
          <w:p w14:paraId="07A712F9" w14:textId="77777777" w:rsidR="00ED50D9" w:rsidRPr="00DD6590" w:rsidRDefault="00ED50D9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Cieľová hodnota (2023)</w:t>
            </w:r>
          </w:p>
        </w:tc>
      </w:tr>
      <w:tr w:rsidR="00ED50D9" w:rsidRPr="00DD6590" w14:paraId="5D62B219" w14:textId="77777777" w:rsidTr="005A4D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0422723" w14:textId="77777777" w:rsidR="00ED50D9" w:rsidRPr="00DD6590" w:rsidRDefault="00ED50D9" w:rsidP="00C32525">
            <w:pPr>
              <w:spacing w:before="60" w:after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2953" w:type="dxa"/>
            <w:tcBorders>
              <w:top w:val="none" w:sz="0" w:space="0" w:color="auto"/>
              <w:bottom w:val="none" w:sz="0" w:space="0" w:color="auto"/>
            </w:tcBorders>
          </w:tcPr>
          <w:p w14:paraId="74E4365D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Úspora času v cestnej doprave na cestách I. triedy  </w:t>
            </w:r>
          </w:p>
        </w:tc>
        <w:tc>
          <w:tcPr>
            <w:tcW w:w="1277" w:type="dxa"/>
            <w:tcBorders>
              <w:top w:val="none" w:sz="0" w:space="0" w:color="auto"/>
              <w:bottom w:val="none" w:sz="0" w:space="0" w:color="auto"/>
            </w:tcBorders>
          </w:tcPr>
          <w:p w14:paraId="72068704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výsledkový</w:t>
            </w:r>
          </w:p>
        </w:tc>
        <w:tc>
          <w:tcPr>
            <w:tcW w:w="1117" w:type="dxa"/>
            <w:tcBorders>
              <w:top w:val="none" w:sz="0" w:space="0" w:color="auto"/>
              <w:bottom w:val="none" w:sz="0" w:space="0" w:color="auto"/>
            </w:tcBorders>
          </w:tcPr>
          <w:p w14:paraId="7F76A0C1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1605" w:type="dxa"/>
            <w:tcBorders>
              <w:top w:val="none" w:sz="0" w:space="0" w:color="auto"/>
              <w:bottom w:val="none" w:sz="0" w:space="0" w:color="auto"/>
            </w:tcBorders>
          </w:tcPr>
          <w:p w14:paraId="05021982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96 853 141</w:t>
            </w:r>
          </w:p>
        </w:tc>
        <w:tc>
          <w:tcPr>
            <w:tcW w:w="157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C993A69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69 287 656</w:t>
            </w:r>
          </w:p>
        </w:tc>
      </w:tr>
      <w:tr w:rsidR="00ED50D9" w:rsidRPr="00DD6590" w14:paraId="6422E9B2" w14:textId="77777777" w:rsidTr="005A4D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</w:tcPr>
          <w:p w14:paraId="2E574EC3" w14:textId="77777777" w:rsidR="00ED50D9" w:rsidRPr="00DD6590" w:rsidRDefault="00ED50D9" w:rsidP="00C32525">
            <w:pPr>
              <w:spacing w:before="60" w:after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2</w:t>
            </w:r>
          </w:p>
        </w:tc>
        <w:tc>
          <w:tcPr>
            <w:tcW w:w="2953" w:type="dxa"/>
          </w:tcPr>
          <w:p w14:paraId="667554F9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Počet usmrtených na cestách I. triedy</w:t>
            </w:r>
          </w:p>
        </w:tc>
        <w:tc>
          <w:tcPr>
            <w:tcW w:w="1277" w:type="dxa"/>
          </w:tcPr>
          <w:p w14:paraId="3E49AEE5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výsledkový</w:t>
            </w:r>
          </w:p>
        </w:tc>
        <w:tc>
          <w:tcPr>
            <w:tcW w:w="1117" w:type="dxa"/>
          </w:tcPr>
          <w:p w14:paraId="2BC76A40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počet</w:t>
            </w:r>
          </w:p>
        </w:tc>
        <w:tc>
          <w:tcPr>
            <w:tcW w:w="1605" w:type="dxa"/>
          </w:tcPr>
          <w:p w14:paraId="1C43D1AC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83</w:t>
            </w:r>
          </w:p>
        </w:tc>
        <w:tc>
          <w:tcPr>
            <w:tcW w:w="1575" w:type="dxa"/>
          </w:tcPr>
          <w:p w14:paraId="70CF84B4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70</w:t>
            </w:r>
          </w:p>
        </w:tc>
      </w:tr>
      <w:tr w:rsidR="00ED50D9" w:rsidRPr="00DD6590" w14:paraId="38053307" w14:textId="77777777" w:rsidTr="005A4D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</w:tcPr>
          <w:p w14:paraId="2A6C38B1" w14:textId="77777777" w:rsidR="00ED50D9" w:rsidRPr="00DD6590" w:rsidRDefault="00ED50D9" w:rsidP="00C32525">
            <w:pPr>
              <w:spacing w:before="60" w:after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3</w:t>
            </w:r>
          </w:p>
        </w:tc>
        <w:tc>
          <w:tcPr>
            <w:tcW w:w="2953" w:type="dxa"/>
          </w:tcPr>
          <w:p w14:paraId="14C7AEC7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Úspora produkcie emisií PM</w:t>
            </w:r>
            <w:r w:rsidRPr="00DD6590">
              <w:rPr>
                <w:rFonts w:asciiTheme="minorHAnsi" w:hAnsiTheme="minorHAnsi"/>
                <w:sz w:val="16"/>
                <w:szCs w:val="16"/>
                <w:vertAlign w:val="subscript"/>
              </w:rPr>
              <w:t>10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výstavby ciest I. triedy)</w:t>
            </w:r>
          </w:p>
        </w:tc>
        <w:tc>
          <w:tcPr>
            <w:tcW w:w="1277" w:type="dxa"/>
          </w:tcPr>
          <w:p w14:paraId="4B88BEEA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výsledkový</w:t>
            </w:r>
          </w:p>
        </w:tc>
        <w:tc>
          <w:tcPr>
            <w:tcW w:w="1117" w:type="dxa"/>
          </w:tcPr>
          <w:p w14:paraId="581100CE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tona</w:t>
            </w:r>
          </w:p>
        </w:tc>
        <w:tc>
          <w:tcPr>
            <w:tcW w:w="1605" w:type="dxa"/>
          </w:tcPr>
          <w:p w14:paraId="1F58CAF6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1,16</w:t>
            </w:r>
          </w:p>
        </w:tc>
        <w:tc>
          <w:tcPr>
            <w:tcW w:w="1575" w:type="dxa"/>
          </w:tcPr>
          <w:p w14:paraId="2C6EF6F7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0,29</w:t>
            </w:r>
          </w:p>
        </w:tc>
      </w:tr>
      <w:tr w:rsidR="00ED50D9" w:rsidRPr="00DD6590" w14:paraId="3C0E66E9" w14:textId="77777777" w:rsidTr="005A4D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</w:tcPr>
          <w:p w14:paraId="3A837074" w14:textId="77777777" w:rsidR="00ED50D9" w:rsidRPr="00DD6590" w:rsidRDefault="00ED50D9" w:rsidP="00C32525">
            <w:pPr>
              <w:spacing w:before="60" w:after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4</w:t>
            </w:r>
          </w:p>
        </w:tc>
        <w:tc>
          <w:tcPr>
            <w:tcW w:w="2953" w:type="dxa"/>
          </w:tcPr>
          <w:p w14:paraId="5F7DF4F8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Úspora produkcie emisií NO</w:t>
            </w:r>
            <w:r w:rsidRPr="00DD6590">
              <w:rPr>
                <w:rFonts w:asciiTheme="minorHAnsi" w:hAnsiTheme="minorHAnsi"/>
                <w:sz w:val="16"/>
                <w:szCs w:val="16"/>
                <w:vertAlign w:val="subscript"/>
              </w:rPr>
              <w:t>2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výstavby ciest I. triedy)</w:t>
            </w:r>
          </w:p>
        </w:tc>
        <w:tc>
          <w:tcPr>
            <w:tcW w:w="1277" w:type="dxa"/>
          </w:tcPr>
          <w:p w14:paraId="7E2BBE55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výsledkový</w:t>
            </w:r>
          </w:p>
        </w:tc>
        <w:tc>
          <w:tcPr>
            <w:tcW w:w="1117" w:type="dxa"/>
          </w:tcPr>
          <w:p w14:paraId="6F31C6D3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tona</w:t>
            </w:r>
          </w:p>
        </w:tc>
        <w:tc>
          <w:tcPr>
            <w:tcW w:w="1605" w:type="dxa"/>
          </w:tcPr>
          <w:p w14:paraId="63A587E8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4,63</w:t>
            </w:r>
          </w:p>
        </w:tc>
        <w:tc>
          <w:tcPr>
            <w:tcW w:w="1575" w:type="dxa"/>
          </w:tcPr>
          <w:p w14:paraId="605BC7D7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1,11</w:t>
            </w:r>
          </w:p>
        </w:tc>
      </w:tr>
      <w:tr w:rsidR="00ED50D9" w:rsidRPr="00DD6590" w14:paraId="733DA23B" w14:textId="77777777" w:rsidTr="005A4D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</w:tcPr>
          <w:p w14:paraId="0F8ED064" w14:textId="77777777" w:rsidR="00ED50D9" w:rsidRPr="00DD6590" w:rsidRDefault="00ED50D9" w:rsidP="00C32525">
            <w:pPr>
              <w:spacing w:before="60" w:after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5</w:t>
            </w:r>
          </w:p>
        </w:tc>
        <w:tc>
          <w:tcPr>
            <w:tcW w:w="2953" w:type="dxa"/>
          </w:tcPr>
          <w:p w14:paraId="74DD3456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Celková dĺžka novo-vybudovaných ciest</w:t>
            </w:r>
          </w:p>
        </w:tc>
        <w:tc>
          <w:tcPr>
            <w:tcW w:w="1277" w:type="dxa"/>
          </w:tcPr>
          <w:p w14:paraId="652DC74B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7" w:type="dxa"/>
          </w:tcPr>
          <w:p w14:paraId="2843726C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605" w:type="dxa"/>
          </w:tcPr>
          <w:p w14:paraId="3E895B79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  <w:tc>
          <w:tcPr>
            <w:tcW w:w="1575" w:type="dxa"/>
          </w:tcPr>
          <w:p w14:paraId="3686FA50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10,25</w:t>
            </w:r>
          </w:p>
        </w:tc>
      </w:tr>
      <w:tr w:rsidR="00ED50D9" w:rsidRPr="00DD6590" w14:paraId="7791761A" w14:textId="77777777" w:rsidTr="005A4D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</w:tcPr>
          <w:p w14:paraId="1E85A31A" w14:textId="77777777" w:rsidR="00ED50D9" w:rsidRPr="00DD6590" w:rsidRDefault="00ED50D9" w:rsidP="00C32525">
            <w:pPr>
              <w:spacing w:before="60" w:after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6</w:t>
            </w:r>
          </w:p>
        </w:tc>
        <w:tc>
          <w:tcPr>
            <w:tcW w:w="2953" w:type="dxa"/>
          </w:tcPr>
          <w:p w14:paraId="07CEE50E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Celková dĺžka rekonštruovaných alebo zrenovovaných ciest</w:t>
            </w:r>
          </w:p>
        </w:tc>
        <w:tc>
          <w:tcPr>
            <w:tcW w:w="1277" w:type="dxa"/>
          </w:tcPr>
          <w:p w14:paraId="2735FDF0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7" w:type="dxa"/>
          </w:tcPr>
          <w:p w14:paraId="5D5BAE56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605" w:type="dxa"/>
          </w:tcPr>
          <w:p w14:paraId="213C0464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  <w:tc>
          <w:tcPr>
            <w:tcW w:w="1575" w:type="dxa"/>
          </w:tcPr>
          <w:p w14:paraId="1681406E" w14:textId="77777777" w:rsidR="00ED50D9" w:rsidRPr="00DD6590" w:rsidRDefault="00ED50D9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286,4</w:t>
            </w:r>
          </w:p>
        </w:tc>
      </w:tr>
      <w:tr w:rsidR="00ED50D9" w:rsidRPr="00DD6590" w14:paraId="131B42A9" w14:textId="77777777" w:rsidTr="005A4D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</w:tcPr>
          <w:p w14:paraId="226CC1DA" w14:textId="77777777" w:rsidR="00ED50D9" w:rsidRPr="00DD6590" w:rsidRDefault="00ED50D9" w:rsidP="00C32525">
            <w:pPr>
              <w:spacing w:before="60" w:after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7</w:t>
            </w:r>
          </w:p>
        </w:tc>
        <w:tc>
          <w:tcPr>
            <w:tcW w:w="2953" w:type="dxa"/>
          </w:tcPr>
          <w:p w14:paraId="41558C28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Počet odstránených kritických nehodových lokalít a kolíznych bodov na cestách I. triedy</w:t>
            </w:r>
          </w:p>
        </w:tc>
        <w:tc>
          <w:tcPr>
            <w:tcW w:w="1277" w:type="dxa"/>
          </w:tcPr>
          <w:p w14:paraId="09EEAAB5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7" w:type="dxa"/>
          </w:tcPr>
          <w:p w14:paraId="2417A2DE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počet</w:t>
            </w:r>
          </w:p>
        </w:tc>
        <w:tc>
          <w:tcPr>
            <w:tcW w:w="1605" w:type="dxa"/>
          </w:tcPr>
          <w:p w14:paraId="39CFF292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  <w:tc>
          <w:tcPr>
            <w:tcW w:w="1575" w:type="dxa"/>
          </w:tcPr>
          <w:p w14:paraId="79998F4C" w14:textId="77777777" w:rsidR="00ED50D9" w:rsidRPr="00DD6590" w:rsidRDefault="00ED50D9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40</w:t>
            </w:r>
          </w:p>
        </w:tc>
      </w:tr>
    </w:tbl>
    <w:p w14:paraId="17D8FE2D" w14:textId="77777777" w:rsidR="00ED50D9" w:rsidRPr="00DD6590" w:rsidRDefault="00ED50D9" w:rsidP="00ED50D9">
      <w:pPr>
        <w:contextualSpacing/>
        <w:rPr>
          <w:szCs w:val="18"/>
        </w:rPr>
      </w:pPr>
    </w:p>
    <w:p w14:paraId="7A9BC156" w14:textId="77777777" w:rsidR="00ED50D9" w:rsidRPr="00DD6590" w:rsidRDefault="00ED50D9" w:rsidP="00ED50D9">
      <w:pPr>
        <w:rPr>
          <w:szCs w:val="18"/>
        </w:rPr>
      </w:pPr>
      <w:r w:rsidRPr="00DD6590">
        <w:rPr>
          <w:szCs w:val="18"/>
        </w:rPr>
        <w:t>Napĺňanie cieľov sa realizuje prostredníctvom týchto aktivít:</w:t>
      </w:r>
    </w:p>
    <w:p w14:paraId="4454FAE6" w14:textId="3164C768" w:rsidR="00ED50D9" w:rsidRPr="00DD6590" w:rsidRDefault="00B657CB" w:rsidP="003E761D">
      <w:pPr>
        <w:pStyle w:val="ListParagraph"/>
        <w:numPr>
          <w:ilvl w:val="0"/>
          <w:numId w:val="32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v</w:t>
      </w:r>
      <w:r w:rsidRPr="00DD6590">
        <w:rPr>
          <w:rFonts w:asciiTheme="majorHAnsi" w:hAnsiTheme="majorHAnsi"/>
          <w:szCs w:val="18"/>
        </w:rPr>
        <w:t xml:space="preserve">ýstavba </w:t>
      </w:r>
      <w:r w:rsidR="00ED50D9" w:rsidRPr="00DD6590">
        <w:rPr>
          <w:rFonts w:asciiTheme="majorHAnsi" w:hAnsiTheme="majorHAnsi"/>
          <w:szCs w:val="18"/>
        </w:rPr>
        <w:t>a modernizácia ciest I. triedy s cieľom zvýšenia bezpečnosti a plynulosti dopravy (mimo TEN-T CORE, mimo TEN-T),</w:t>
      </w:r>
    </w:p>
    <w:p w14:paraId="0B2A30BC" w14:textId="0242BF1F" w:rsidR="00ED50D9" w:rsidRPr="00DD6590" w:rsidRDefault="00B657CB" w:rsidP="003E761D">
      <w:pPr>
        <w:pStyle w:val="ListParagraph"/>
        <w:numPr>
          <w:ilvl w:val="0"/>
          <w:numId w:val="32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b</w:t>
      </w:r>
      <w:r w:rsidRPr="00DD6590">
        <w:rPr>
          <w:rFonts w:asciiTheme="majorHAnsi" w:hAnsiTheme="majorHAnsi"/>
          <w:szCs w:val="18"/>
        </w:rPr>
        <w:t xml:space="preserve">udovanie </w:t>
      </w:r>
      <w:r w:rsidR="00ED50D9" w:rsidRPr="00DD6590">
        <w:rPr>
          <w:rFonts w:asciiTheme="majorHAnsi" w:hAnsiTheme="majorHAnsi"/>
          <w:szCs w:val="18"/>
        </w:rPr>
        <w:t>inteligentných dopravných systémov,</w:t>
      </w:r>
    </w:p>
    <w:p w14:paraId="6C9C5457" w14:textId="55AAAFAC" w:rsidR="00ED50D9" w:rsidRPr="00DD6590" w:rsidRDefault="00B657CB" w:rsidP="003E761D">
      <w:pPr>
        <w:pStyle w:val="ListParagraph"/>
        <w:numPr>
          <w:ilvl w:val="0"/>
          <w:numId w:val="32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v</w:t>
      </w:r>
      <w:r w:rsidRPr="00DD6590">
        <w:rPr>
          <w:rFonts w:asciiTheme="majorHAnsi" w:hAnsiTheme="majorHAnsi"/>
          <w:szCs w:val="18"/>
        </w:rPr>
        <w:t xml:space="preserve">ýstavba </w:t>
      </w:r>
      <w:r w:rsidR="00ED50D9" w:rsidRPr="00DD6590">
        <w:rPr>
          <w:rFonts w:asciiTheme="majorHAnsi" w:hAnsiTheme="majorHAnsi"/>
          <w:szCs w:val="18"/>
        </w:rPr>
        <w:t xml:space="preserve">a modernizácia cestnej infraštruktúry v súvislosti so zabezpečením efektívneho colného konania, </w:t>
      </w:r>
    </w:p>
    <w:p w14:paraId="445C88B6" w14:textId="10224829" w:rsidR="00ED50D9" w:rsidRPr="00DD6590" w:rsidRDefault="00B657CB" w:rsidP="003E761D">
      <w:pPr>
        <w:pStyle w:val="ListParagraph"/>
        <w:numPr>
          <w:ilvl w:val="0"/>
          <w:numId w:val="32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p</w:t>
      </w:r>
      <w:r w:rsidRPr="00DD6590">
        <w:rPr>
          <w:rFonts w:asciiTheme="majorHAnsi" w:hAnsiTheme="majorHAnsi"/>
          <w:szCs w:val="18"/>
        </w:rPr>
        <w:t xml:space="preserve">rojektová </w:t>
      </w:r>
      <w:r w:rsidR="00ED50D9" w:rsidRPr="00DD6590">
        <w:rPr>
          <w:rFonts w:asciiTheme="majorHAnsi" w:hAnsiTheme="majorHAnsi"/>
          <w:szCs w:val="18"/>
        </w:rPr>
        <w:t>príprava.</w:t>
      </w:r>
    </w:p>
    <w:p w14:paraId="76E578CD" w14:textId="77777777" w:rsidR="00ED50D9" w:rsidRPr="00DD6590" w:rsidRDefault="00ED50D9" w:rsidP="00ED50D9">
      <w:pPr>
        <w:pStyle w:val="Heading1"/>
      </w:pPr>
      <w:bookmarkStart w:id="8" w:name="_Ref7084920"/>
      <w:bookmarkStart w:id="9" w:name="_Toc9350288"/>
      <w:r w:rsidRPr="00DD6590">
        <w:t>Výsledky analýzy Prioritnej osi 6 – Cestná infraštruktúra (mimo TEN-T CORE)</w:t>
      </w:r>
      <w:bookmarkEnd w:id="8"/>
      <w:bookmarkEnd w:id="9"/>
    </w:p>
    <w:p w14:paraId="5C58535F" w14:textId="0E36FBE1" w:rsidR="00ED50D9" w:rsidRPr="00DD6590" w:rsidRDefault="00ED50D9" w:rsidP="00ED50D9">
      <w:r w:rsidRPr="00DD6590">
        <w:t>V hodnotenom období bolo v realizácii 21 projektov. Z celkovej alokácie prioritnej osi 6 (</w:t>
      </w:r>
      <w:r w:rsidR="005A4DB1" w:rsidRPr="00DD6590">
        <w:t>5</w:t>
      </w:r>
      <w:r w:rsidRPr="00DD6590">
        <w:t xml:space="preserve">70 mil. EUR) bolo vyčerpaných </w:t>
      </w:r>
      <w:r w:rsidR="005A4DB1" w:rsidRPr="00DD6590">
        <w:t>25,73</w:t>
      </w:r>
      <w:r w:rsidR="00B657CB">
        <w:t xml:space="preserve"> </w:t>
      </w:r>
      <w:r w:rsidRPr="00DD6590">
        <w:t xml:space="preserve">% a zakontrahovaných </w:t>
      </w:r>
      <w:r w:rsidR="005A4DB1" w:rsidRPr="00DD6590">
        <w:t>36,61</w:t>
      </w:r>
      <w:r w:rsidR="00B657CB">
        <w:t xml:space="preserve"> </w:t>
      </w:r>
      <w:r w:rsidRPr="00DD6590">
        <w:t xml:space="preserve">%. Prijímateľmi v rámci prioritnej osi 6 sú Národná </w:t>
      </w:r>
      <w:r w:rsidRPr="00DD6590">
        <w:lastRenderedPageBreak/>
        <w:t>diaľničná spoločnosť, a.s. (ďalej aj „NDS“) a Slovenská správa ciest (ďalej aj „SSC“). Certifikované výdavky k 31.</w:t>
      </w:r>
      <w:r w:rsidR="00B657CB">
        <w:t xml:space="preserve"> </w:t>
      </w:r>
      <w:r w:rsidRPr="00DD6590">
        <w:t>12.</w:t>
      </w:r>
      <w:r w:rsidR="00B657CB">
        <w:t xml:space="preserve"> </w:t>
      </w:r>
      <w:r w:rsidRPr="00DD6590">
        <w:t>2018 boli vo výške 117 262 305 EUR (EÚ zdroje), čo predstavuje 24,19</w:t>
      </w:r>
      <w:r w:rsidR="00B657CB">
        <w:t xml:space="preserve"> </w:t>
      </w:r>
      <w:r w:rsidRPr="00DD6590">
        <w:t>% z alokácie PO6.</w:t>
      </w:r>
    </w:p>
    <w:p w14:paraId="438349F0" w14:textId="72123AFC" w:rsidR="00ED50D9" w:rsidRPr="00DD6590" w:rsidRDefault="00ED50D9" w:rsidP="00ED50D9">
      <w:r w:rsidRPr="00DD6590">
        <w:t>V rámci analýzy PO6 boli rozoslané dotazníky projektový</w:t>
      </w:r>
      <w:r w:rsidR="00B657CB">
        <w:t>m</w:t>
      </w:r>
      <w:r w:rsidRPr="00DD6590">
        <w:t xml:space="preserve"> manažéro</w:t>
      </w:r>
      <w:r w:rsidR="00B657CB">
        <w:t>m</w:t>
      </w:r>
      <w:r w:rsidRPr="00DD6590">
        <w:t xml:space="preserve">. Analýza prioritnej osi 6 spočívala vo vyhodnotení stavu realizácie projektov v PO6, vyhodnotení plnenia výsledkových a finančných ukazovateľov v rámci špecifických cieľov a ukazovateľov výstupu. Súčasťou analýzy bolo posúdenie plánovaných projektov, a to predovšetkým z hľadiska ich dopadu na </w:t>
      </w:r>
      <w:r w:rsidR="00DB39FE" w:rsidRPr="00DD6590">
        <w:t xml:space="preserve">napĺňanie </w:t>
      </w:r>
      <w:r w:rsidRPr="00DD6590">
        <w:t>ukazovateľov.</w:t>
      </w:r>
    </w:p>
    <w:p w14:paraId="1EB861A5" w14:textId="406DCC75" w:rsidR="00ED50D9" w:rsidRPr="00DD6590" w:rsidRDefault="00ED50D9" w:rsidP="00B0035E">
      <w:pPr>
        <w:pStyle w:val="Heading2"/>
        <w:rPr>
          <w:szCs w:val="18"/>
        </w:rPr>
      </w:pPr>
      <w:bookmarkStart w:id="10" w:name="_Toc9350289"/>
      <w:r w:rsidRPr="00DD6590">
        <w:t>Vyhodnotenie stavu realizácie jednotlivých projektov v PO6</w:t>
      </w:r>
      <w:bookmarkEnd w:id="10"/>
    </w:p>
    <w:p w14:paraId="2286A82C" w14:textId="4F498888" w:rsidR="00ED50D9" w:rsidRPr="00DD6590" w:rsidRDefault="00ED50D9" w:rsidP="00ED50D9">
      <w:pPr>
        <w:pStyle w:val="ListParagraph"/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 xml:space="preserve">Nasledujúca tabuľka obsahuje vyhodnotenie realizovaných projektov z hľadiska času, financií a plnenia ukazovateľov a návrh opatrení na úrovni jednotlivých projektov. Vyhodnotenie realizácie jednotlivých projektov je farebne rozlíšené nasledovne: </w:t>
      </w:r>
    </w:p>
    <w:p w14:paraId="1BBEE497" w14:textId="5307B60D" w:rsidR="00AE05E4" w:rsidRPr="00DD6590" w:rsidRDefault="00AE05E4" w:rsidP="003E761D">
      <w:pPr>
        <w:pStyle w:val="ListParagraph"/>
        <w:numPr>
          <w:ilvl w:val="0"/>
          <w:numId w:val="37"/>
        </w:numPr>
        <w:ind w:left="360"/>
        <w:contextualSpacing/>
        <w:rPr>
          <w:szCs w:val="18"/>
        </w:rPr>
      </w:pPr>
      <w:r w:rsidRPr="00DD6590">
        <w:rPr>
          <w:rFonts w:asciiTheme="minorHAnsi" w:hAnsiTheme="minorHAnsi"/>
          <w:color w:val="D0EC9F"/>
          <w:szCs w:val="18"/>
        </w:rPr>
        <w:t xml:space="preserve">zelená farba </w:t>
      </w:r>
      <w:r w:rsidRPr="00DD6590">
        <w:rPr>
          <w:rFonts w:asciiTheme="minorHAnsi" w:hAnsiTheme="minorHAnsi"/>
          <w:szCs w:val="18"/>
        </w:rPr>
        <w:t>– žiadne</w:t>
      </w:r>
      <w:r w:rsidR="00EC7D17" w:rsidRPr="00DD6590">
        <w:rPr>
          <w:rFonts w:asciiTheme="minorHAnsi" w:hAnsiTheme="minorHAnsi"/>
          <w:szCs w:val="18"/>
        </w:rPr>
        <w:t>, resp. nízke</w:t>
      </w:r>
      <w:r w:rsidRPr="00DD6590">
        <w:rPr>
          <w:rFonts w:asciiTheme="minorHAnsi" w:hAnsiTheme="minorHAnsi"/>
          <w:szCs w:val="18"/>
        </w:rPr>
        <w:t xml:space="preserve"> riziko, tzn. projekty sú realizované/ukončené v súlade s harmonogramom, bez omeškania. Naplnenie ukazovateľov z realizovaných projektov by malo byť na úrovni min. 85</w:t>
      </w:r>
      <w:r w:rsidR="00B657CB">
        <w:rPr>
          <w:rFonts w:asciiTheme="minorHAnsi" w:hAnsiTheme="minorHAnsi"/>
          <w:szCs w:val="18"/>
        </w:rPr>
        <w:t xml:space="preserve"> </w:t>
      </w:r>
      <w:r w:rsidRPr="00DD6590">
        <w:rPr>
          <w:rFonts w:asciiTheme="minorHAnsi" w:hAnsiTheme="minorHAnsi"/>
          <w:szCs w:val="18"/>
        </w:rPr>
        <w:t>%</w:t>
      </w:r>
      <w:r w:rsidR="00B657CB">
        <w:rPr>
          <w:rFonts w:asciiTheme="minorHAnsi" w:hAnsiTheme="minorHAnsi"/>
          <w:szCs w:val="18"/>
        </w:rPr>
        <w:t>,</w:t>
      </w:r>
    </w:p>
    <w:p w14:paraId="0554422F" w14:textId="299C46BA" w:rsidR="00AE05E4" w:rsidRPr="00DD6590" w:rsidRDefault="00AE05E4" w:rsidP="003E761D">
      <w:pPr>
        <w:pStyle w:val="ListParagraph"/>
        <w:numPr>
          <w:ilvl w:val="0"/>
          <w:numId w:val="37"/>
        </w:numPr>
        <w:ind w:left="360"/>
        <w:contextualSpacing/>
        <w:rPr>
          <w:szCs w:val="18"/>
        </w:rPr>
      </w:pPr>
      <w:r w:rsidRPr="00DD6590">
        <w:rPr>
          <w:rFonts w:asciiTheme="minorHAnsi" w:hAnsiTheme="minorHAnsi"/>
          <w:color w:val="FFD653"/>
          <w:szCs w:val="18"/>
        </w:rPr>
        <w:t xml:space="preserve">žltá farba </w:t>
      </w:r>
      <w:r w:rsidRPr="00DD6590">
        <w:rPr>
          <w:rFonts w:asciiTheme="minorHAnsi" w:hAnsiTheme="minorHAnsi"/>
          <w:szCs w:val="18"/>
        </w:rPr>
        <w:t>– stredné riziko, tzn. projekty, ktoré nevykazujú závažné riziká, avšak časová realizácia nie je v súlade s vecným plnením a čerpaním. Zazmluvnené projekty nenapĺňajú min. požadovanú hodnotu (85</w:t>
      </w:r>
      <w:r w:rsidR="00B657CB">
        <w:rPr>
          <w:rFonts w:asciiTheme="minorHAnsi" w:hAnsiTheme="minorHAnsi"/>
          <w:szCs w:val="18"/>
        </w:rPr>
        <w:t xml:space="preserve"> </w:t>
      </w:r>
      <w:r w:rsidRPr="00DD6590">
        <w:rPr>
          <w:rFonts w:asciiTheme="minorHAnsi" w:hAnsiTheme="minorHAnsi"/>
          <w:szCs w:val="18"/>
        </w:rPr>
        <w:t>%)</w:t>
      </w:r>
      <w:r w:rsidR="00B657CB">
        <w:rPr>
          <w:rFonts w:asciiTheme="minorHAnsi" w:hAnsiTheme="minorHAnsi"/>
          <w:szCs w:val="18"/>
        </w:rPr>
        <w:t>, ale</w:t>
      </w:r>
      <w:r w:rsidRPr="00DD6590">
        <w:rPr>
          <w:rFonts w:asciiTheme="minorHAnsi" w:hAnsiTheme="minorHAnsi"/>
          <w:szCs w:val="18"/>
        </w:rPr>
        <w:t xml:space="preserve"> v rámci PO sú plánované projekty, ktoré tento ukazovateľ naplnia</w:t>
      </w:r>
      <w:r w:rsidR="00B657CB">
        <w:rPr>
          <w:rFonts w:asciiTheme="minorHAnsi" w:hAnsiTheme="minorHAnsi"/>
          <w:szCs w:val="18"/>
        </w:rPr>
        <w:t>,</w:t>
      </w:r>
      <w:r w:rsidRPr="00DD6590">
        <w:rPr>
          <w:rFonts w:asciiTheme="minorHAnsi" w:hAnsiTheme="minorHAnsi"/>
          <w:szCs w:val="18"/>
        </w:rPr>
        <w:t xml:space="preserve"> </w:t>
      </w:r>
    </w:p>
    <w:p w14:paraId="0C7BC9F0" w14:textId="6B5217BF" w:rsidR="00AE05E4" w:rsidRPr="00DD6590" w:rsidRDefault="00AE05E4" w:rsidP="003E761D">
      <w:pPr>
        <w:pStyle w:val="ListParagraph"/>
        <w:numPr>
          <w:ilvl w:val="0"/>
          <w:numId w:val="37"/>
        </w:numPr>
        <w:ind w:left="360"/>
        <w:contextualSpacing/>
        <w:rPr>
          <w:szCs w:val="18"/>
        </w:rPr>
      </w:pPr>
      <w:r w:rsidRPr="00DD6590">
        <w:rPr>
          <w:rFonts w:asciiTheme="minorHAnsi" w:hAnsiTheme="minorHAnsi"/>
          <w:color w:val="EF858F"/>
          <w:szCs w:val="18"/>
        </w:rPr>
        <w:t xml:space="preserve">červená farba </w:t>
      </w:r>
      <w:r w:rsidRPr="00DD6590">
        <w:rPr>
          <w:rFonts w:asciiTheme="minorHAnsi" w:hAnsiTheme="minorHAnsi"/>
          <w:szCs w:val="18"/>
        </w:rPr>
        <w:t xml:space="preserve">– vysoké riziko, tzn. projekt nie je realizovaný v súlade s harmonogramom, resp. </w:t>
      </w:r>
      <w:r w:rsidR="00B657CB" w:rsidRPr="00DD6590">
        <w:rPr>
          <w:rFonts w:asciiTheme="minorHAnsi" w:hAnsiTheme="minorHAnsi"/>
          <w:szCs w:val="18"/>
        </w:rPr>
        <w:t xml:space="preserve">počas realizácie projektu </w:t>
      </w:r>
      <w:r w:rsidRPr="00DD6590">
        <w:rPr>
          <w:rFonts w:asciiTheme="minorHAnsi" w:hAnsiTheme="minorHAnsi"/>
          <w:szCs w:val="18"/>
        </w:rPr>
        <w:t>došlo k závažným udalostiam, ktoré môžu ohroziť úspešné ukončenie realizácie</w:t>
      </w:r>
      <w:r w:rsidR="00321137">
        <w:rPr>
          <w:rFonts w:asciiTheme="minorHAnsi" w:hAnsiTheme="minorHAnsi"/>
          <w:szCs w:val="18"/>
        </w:rPr>
        <w:t>,</w:t>
      </w:r>
      <w:r w:rsidR="008D5CCB" w:rsidRPr="00DD6590">
        <w:rPr>
          <w:rFonts w:asciiTheme="minorHAnsi" w:hAnsiTheme="minorHAnsi"/>
          <w:szCs w:val="18"/>
        </w:rPr>
        <w:t xml:space="preserve"> a</w:t>
      </w:r>
      <w:r w:rsidRPr="00DD6590">
        <w:rPr>
          <w:rFonts w:asciiTheme="minorHAnsi" w:hAnsiTheme="minorHAnsi"/>
          <w:szCs w:val="18"/>
        </w:rPr>
        <w:t xml:space="preserve"> </w:t>
      </w:r>
      <w:r w:rsidR="008D5CCB" w:rsidRPr="00DD6590">
        <w:rPr>
          <w:rFonts w:asciiTheme="minorHAnsi" w:hAnsiTheme="minorHAnsi"/>
          <w:szCs w:val="18"/>
        </w:rPr>
        <w:t>n</w:t>
      </w:r>
      <w:r w:rsidRPr="00DD6590">
        <w:rPr>
          <w:rFonts w:asciiTheme="minorHAnsi" w:hAnsiTheme="minorHAnsi"/>
          <w:szCs w:val="18"/>
        </w:rPr>
        <w:t xml:space="preserve">ie je predpoklad naplnenia min. hodnoty ukazovateľa. </w:t>
      </w:r>
    </w:p>
    <w:p w14:paraId="55C5F0E6" w14:textId="77777777" w:rsidR="00AE05E4" w:rsidRPr="00DD6590" w:rsidRDefault="00AE05E4" w:rsidP="00FA1B33">
      <w:pPr>
        <w:pStyle w:val="ListParagraph"/>
        <w:contextualSpacing/>
        <w:rPr>
          <w:rFonts w:asciiTheme="majorHAnsi" w:hAnsiTheme="majorHAnsi"/>
          <w:szCs w:val="18"/>
        </w:rPr>
      </w:pPr>
    </w:p>
    <w:p w14:paraId="22EE606D" w14:textId="77777777" w:rsidR="00ED50D9" w:rsidRPr="00DD6590" w:rsidRDefault="00ED50D9" w:rsidP="00AE05E4">
      <w:pPr>
        <w:pStyle w:val="ListParagraph"/>
        <w:contextualSpacing/>
        <w:rPr>
          <w:rFonts w:asciiTheme="majorHAnsi" w:hAnsiTheme="majorHAnsi"/>
          <w:szCs w:val="18"/>
        </w:rPr>
      </w:pPr>
    </w:p>
    <w:p w14:paraId="2DF5F12B" w14:textId="77777777" w:rsidR="00ED50D9" w:rsidRPr="00DD6590" w:rsidRDefault="00ED50D9" w:rsidP="00ED50D9">
      <w:pPr>
        <w:spacing w:before="0" w:line="240" w:lineRule="auto"/>
        <w:jc w:val="left"/>
        <w:rPr>
          <w:b/>
          <w:bCs/>
          <w:color w:val="FFFFFF" w:themeColor="background1"/>
          <w:sz w:val="16"/>
          <w:szCs w:val="16"/>
        </w:rPr>
        <w:sectPr w:rsidR="00ED50D9" w:rsidRPr="00DD6590" w:rsidSect="00B028A5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260" w:right="1138" w:bottom="1138" w:left="1411" w:header="576" w:footer="576" w:gutter="0"/>
          <w:cols w:space="9"/>
          <w:titlePg/>
          <w:docGrid w:linePitch="360"/>
        </w:sectPr>
      </w:pPr>
    </w:p>
    <w:p w14:paraId="196E226B" w14:textId="4E6B8A23" w:rsidR="00ED50D9" w:rsidRPr="00DD6590" w:rsidRDefault="00ED50D9" w:rsidP="00ED50D9">
      <w:pPr>
        <w:pStyle w:val="Caption"/>
      </w:pPr>
      <w:bookmarkStart w:id="11" w:name="_Toc8805495"/>
      <w:r w:rsidRPr="00DD6590">
        <w:lastRenderedPageBreak/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5F4669">
        <w:rPr>
          <w:noProof/>
        </w:rPr>
        <w:t>4</w:t>
      </w:r>
      <w:r w:rsidRPr="00DD6590">
        <w:fldChar w:fldCharType="end"/>
      </w:r>
      <w:r w:rsidRPr="00DD6590">
        <w:t xml:space="preserve"> Vyhodnotenie realizácie projektov PO6</w:t>
      </w:r>
      <w:bookmarkEnd w:id="11"/>
    </w:p>
    <w:tbl>
      <w:tblPr>
        <w:tblStyle w:val="ListTable3-Accent1"/>
        <w:tblW w:w="5450" w:type="pct"/>
        <w:tblInd w:w="-540" w:type="dxa"/>
        <w:tblBorders>
          <w:insideH w:val="single" w:sz="4" w:space="0" w:color="86BC25" w:themeColor="accent1"/>
          <w:insideV w:val="single" w:sz="4" w:space="0" w:color="86BC25" w:themeColor="accent1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4"/>
        <w:gridCol w:w="1515"/>
        <w:gridCol w:w="1296"/>
        <w:gridCol w:w="1482"/>
        <w:gridCol w:w="864"/>
        <w:gridCol w:w="971"/>
        <w:gridCol w:w="1060"/>
        <w:gridCol w:w="2405"/>
        <w:gridCol w:w="2390"/>
        <w:gridCol w:w="2569"/>
      </w:tblGrid>
      <w:tr w:rsidR="00ED50D9" w:rsidRPr="00DD6590" w14:paraId="4F5FAE4C" w14:textId="77777777" w:rsidTr="00ED50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" w:type="pct"/>
            <w:vMerge w:val="restart"/>
            <w:vAlign w:val="center"/>
          </w:tcPr>
          <w:p w14:paraId="4F31C19B" w14:textId="77777777" w:rsidR="00ED50D9" w:rsidRPr="00DD6590" w:rsidRDefault="00ED50D9" w:rsidP="005A4DB1">
            <w:pPr>
              <w:spacing w:before="0" w:line="240" w:lineRule="auto"/>
              <w:jc w:val="left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P.č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507" w:type="pct"/>
            <w:tcBorders>
              <w:bottom w:val="single" w:sz="4" w:space="0" w:color="86BC25" w:themeColor="accent1"/>
            </w:tcBorders>
            <w:vAlign w:val="center"/>
          </w:tcPr>
          <w:p w14:paraId="42DD3FFC" w14:textId="77777777" w:rsidR="00ED50D9" w:rsidRPr="00DD6590" w:rsidRDefault="00ED50D9" w:rsidP="005A4DB1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34" w:type="pct"/>
            <w:tcBorders>
              <w:bottom w:val="single" w:sz="4" w:space="0" w:color="86BC25" w:themeColor="accent1"/>
            </w:tcBorders>
            <w:vAlign w:val="center"/>
          </w:tcPr>
          <w:p w14:paraId="3CEC76DF" w14:textId="77777777" w:rsidR="00ED50D9" w:rsidRPr="00DD6590" w:rsidRDefault="00ED50D9" w:rsidP="005A4DB1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  <w:tcBorders>
              <w:bottom w:val="single" w:sz="4" w:space="0" w:color="86BC25" w:themeColor="accent1"/>
            </w:tcBorders>
            <w:vAlign w:val="center"/>
          </w:tcPr>
          <w:p w14:paraId="5699180F" w14:textId="77777777" w:rsidR="00ED50D9" w:rsidRPr="00DD6590" w:rsidRDefault="00ED50D9" w:rsidP="005A4DB1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9" w:type="pct"/>
            <w:gridSpan w:val="3"/>
            <w:tcBorders>
              <w:bottom w:val="single" w:sz="4" w:space="0" w:color="86BC25" w:themeColor="accent1"/>
            </w:tcBorders>
            <w:vAlign w:val="center"/>
          </w:tcPr>
          <w:p w14:paraId="4A3CE97D" w14:textId="77777777" w:rsidR="00ED50D9" w:rsidRPr="00DD6590" w:rsidRDefault="00ED50D9" w:rsidP="005A4DB1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Stav</w:t>
            </w:r>
          </w:p>
        </w:tc>
        <w:tc>
          <w:tcPr>
            <w:tcW w:w="805" w:type="pct"/>
            <w:vMerge w:val="restart"/>
            <w:vAlign w:val="center"/>
          </w:tcPr>
          <w:p w14:paraId="1DD64BC9" w14:textId="77777777" w:rsidR="00ED50D9" w:rsidRPr="00DD6590" w:rsidRDefault="00ED50D9" w:rsidP="005A4DB1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Plnenie ukazovateľov výstupu a výsledku</w:t>
            </w:r>
          </w:p>
        </w:tc>
        <w:tc>
          <w:tcPr>
            <w:tcW w:w="800" w:type="pct"/>
            <w:vMerge w:val="restart"/>
            <w:vAlign w:val="center"/>
          </w:tcPr>
          <w:p w14:paraId="41261CA9" w14:textId="77777777" w:rsidR="00ED50D9" w:rsidRPr="00DD6590" w:rsidRDefault="00ED50D9" w:rsidP="005A4DB1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Hlavné zistenia</w:t>
            </w:r>
          </w:p>
        </w:tc>
        <w:tc>
          <w:tcPr>
            <w:tcW w:w="861" w:type="pct"/>
            <w:vMerge w:val="restart"/>
            <w:vAlign w:val="center"/>
          </w:tcPr>
          <w:p w14:paraId="6E265389" w14:textId="77777777" w:rsidR="00ED50D9" w:rsidRPr="00DD6590" w:rsidRDefault="00ED50D9" w:rsidP="005A4DB1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Návrh opatrení</w:t>
            </w:r>
          </w:p>
        </w:tc>
      </w:tr>
      <w:tr w:rsidR="00ED50D9" w:rsidRPr="00DD6590" w14:paraId="70540581" w14:textId="77777777" w:rsidTr="00ED5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Merge/>
            <w:vAlign w:val="center"/>
          </w:tcPr>
          <w:p w14:paraId="24AE7972" w14:textId="77777777" w:rsidR="00ED50D9" w:rsidRPr="00DD6590" w:rsidRDefault="00ED50D9" w:rsidP="005A4DB1">
            <w:pPr>
              <w:spacing w:before="0" w:line="240" w:lineRule="auto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07" w:type="pct"/>
            <w:shd w:val="clear" w:color="auto" w:fill="86BC25" w:themeFill="accent1"/>
            <w:vAlign w:val="center"/>
          </w:tcPr>
          <w:p w14:paraId="5475CA1A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  <w:t>Názov projektu</w:t>
            </w:r>
          </w:p>
        </w:tc>
        <w:tc>
          <w:tcPr>
            <w:tcW w:w="434" w:type="pct"/>
            <w:shd w:val="clear" w:color="auto" w:fill="86BC25" w:themeFill="accent1"/>
            <w:vAlign w:val="center"/>
          </w:tcPr>
          <w:p w14:paraId="45D7306B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  <w:t>Vyhodnotenie</w:t>
            </w:r>
          </w:p>
        </w:tc>
        <w:tc>
          <w:tcPr>
            <w:tcW w:w="496" w:type="pct"/>
            <w:shd w:val="clear" w:color="auto" w:fill="86BC25" w:themeFill="accent1"/>
            <w:vAlign w:val="center"/>
          </w:tcPr>
          <w:p w14:paraId="6B696511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  <w:t>EÚ zdroje zazmluvnené</w:t>
            </w: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289" w:type="pct"/>
            <w:shd w:val="clear" w:color="auto" w:fill="86BC25" w:themeFill="accent1"/>
            <w:vAlign w:val="center"/>
          </w:tcPr>
          <w:p w14:paraId="3AC4330F" w14:textId="2E4BDC37" w:rsidR="00ED50D9" w:rsidRPr="00DD6590" w:rsidRDefault="00ED50D9" w:rsidP="00ED50D9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  <w:t>Finančné čerpanie (EÚ zdroj)</w:t>
            </w:r>
          </w:p>
        </w:tc>
        <w:tc>
          <w:tcPr>
            <w:tcW w:w="325" w:type="pct"/>
            <w:shd w:val="clear" w:color="auto" w:fill="86BC25" w:themeFill="accent1"/>
            <w:vAlign w:val="center"/>
          </w:tcPr>
          <w:p w14:paraId="13E7AAB5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  <w:t>Časové čerpanie</w:t>
            </w: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355" w:type="pct"/>
            <w:shd w:val="clear" w:color="auto" w:fill="86BC25" w:themeFill="accent1"/>
            <w:vAlign w:val="center"/>
          </w:tcPr>
          <w:p w14:paraId="398C9694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  <w:t>Vecné plnenie</w:t>
            </w: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805" w:type="pct"/>
            <w:vMerge/>
            <w:vAlign w:val="center"/>
          </w:tcPr>
          <w:p w14:paraId="617987C7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00" w:type="pct"/>
            <w:vMerge/>
            <w:vAlign w:val="center"/>
          </w:tcPr>
          <w:p w14:paraId="0E5AB93C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1" w:type="pct"/>
            <w:vMerge/>
            <w:vAlign w:val="center"/>
          </w:tcPr>
          <w:p w14:paraId="4980E167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D50D9" w:rsidRPr="00DD6590" w14:paraId="242603B5" w14:textId="77777777" w:rsidTr="00ED50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626424F1" w14:textId="77777777" w:rsidR="00ED50D9" w:rsidRPr="00DD6590" w:rsidRDefault="00ED50D9" w:rsidP="005A4DB1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507" w:type="pct"/>
            <w:vAlign w:val="center"/>
          </w:tcPr>
          <w:p w14:paraId="36EA0DCA" w14:textId="2D48903E" w:rsidR="00ED50D9" w:rsidRPr="00DD6590" w:rsidRDefault="00ED50D9" w:rsidP="00135C16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R2 Zvolen, východ –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Pstruša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, II. Fáza</w:t>
            </w:r>
          </w:p>
        </w:tc>
        <w:tc>
          <w:tcPr>
            <w:tcW w:w="434" w:type="pct"/>
            <w:shd w:val="clear" w:color="auto" w:fill="D0EC9F"/>
            <w:vAlign w:val="center"/>
          </w:tcPr>
          <w:p w14:paraId="4C1FC8DC" w14:textId="77777777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  <w:vAlign w:val="center"/>
          </w:tcPr>
          <w:p w14:paraId="7A698EE3" w14:textId="5FAD27B5" w:rsidR="00ED50D9" w:rsidRPr="00DD6590" w:rsidRDefault="00ED50D9" w:rsidP="00EF71AC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37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460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010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44 </w:t>
            </w:r>
            <w:r w:rsidR="004355A3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3E9B9B0B" w14:textId="616ED44F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88,18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25" w:type="pct"/>
            <w:vAlign w:val="center"/>
          </w:tcPr>
          <w:p w14:paraId="7297C325" w14:textId="73D3D0EF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5" w:type="pct"/>
            <w:vAlign w:val="center"/>
          </w:tcPr>
          <w:p w14:paraId="43264D97" w14:textId="200352CB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cs-CZ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cs-CZ"/>
              </w:rPr>
              <w:t>100</w:t>
            </w:r>
            <w:r w:rsidR="00B657CB">
              <w:rPr>
                <w:rFonts w:asciiTheme="minorHAnsi" w:hAnsiTheme="minorHAnsi"/>
                <w:sz w:val="16"/>
                <w:szCs w:val="16"/>
                <w:lang w:val="cs-CZ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  <w:lang w:val="cs-CZ"/>
              </w:rPr>
              <w:t>%</w:t>
            </w:r>
          </w:p>
        </w:tc>
        <w:tc>
          <w:tcPr>
            <w:tcW w:w="805" w:type="pct"/>
            <w:vAlign w:val="center"/>
          </w:tcPr>
          <w:p w14:paraId="2F7B6A1B" w14:textId="10D92977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P0649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 cestnej doprave na rýchlostných cestách: 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2CA255E4" w14:textId="7618847B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P0669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produkcie emisií NO</w:t>
            </w:r>
            <w:r w:rsidRPr="00DD6590">
              <w:rPr>
                <w:rFonts w:asciiTheme="minorHAnsi" w:hAnsiTheme="minorHAnsi"/>
                <w:sz w:val="16"/>
                <w:szCs w:val="16"/>
                <w:vertAlign w:val="subscript"/>
              </w:rPr>
              <w:t>2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výstavby rýchlostných ciest): 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6AC5DBA0" w14:textId="259F631D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P0676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produkcie emisií PM</w:t>
            </w:r>
            <w:r w:rsidRPr="00DD6590">
              <w:rPr>
                <w:rFonts w:asciiTheme="minorHAnsi" w:hAnsiTheme="minorHAnsi"/>
                <w:sz w:val="16"/>
                <w:szCs w:val="16"/>
                <w:vertAlign w:val="subscript"/>
              </w:rPr>
              <w:t xml:space="preserve">10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(vplyvom výstavby rýchlostných ciest): 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387741F" w14:textId="6EAA0FE5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P0006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novovybudovaných ciest v sieti TEN-T (mimo CORE): 100</w:t>
            </w:r>
            <w:r w:rsidR="004355A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3E7EB1C9" w14:textId="23164693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P0009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="00B657CB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Celková dĺžka novovybudovaných privádzačov k rýchlostným cestám na sieti TEN-T: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1D7754C6" w14:textId="289E4547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P0111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Percento fyzického pokroku z celkovej dĺžky novej a/alebo technicky zhodnotenej infraštruktúry: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05FBE0DD" w14:textId="5AD48065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P0481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vybudovaných jazdných pruhov (na rýchlostných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cestách mimo základnej sieti TEN-T):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2AEE22DA" w14:textId="254E8719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P0485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vybudovaných križovatiek (na rýchlostných cestách mimo základnej sieti TEN-T):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0CBBD140" w14:textId="50A18CD8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P0489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vybudovaných mostov (na rýchlostných cestách mimo základnej sieti TEN-T):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0" w:type="pct"/>
            <w:vAlign w:val="center"/>
          </w:tcPr>
          <w:p w14:paraId="1C5745BD" w14:textId="77777777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Projekt je ukončený a zrealizovaný v súlade s harmonogramom.</w:t>
            </w:r>
          </w:p>
          <w:p w14:paraId="5B1B340F" w14:textId="77777777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Merateľné ukazovatele výsledku budú vykazované až v období udržateľnosti, projekt bol ukončený v decembri 2018.</w:t>
            </w:r>
          </w:p>
        </w:tc>
        <w:tc>
          <w:tcPr>
            <w:tcW w:w="861" w:type="pct"/>
            <w:vAlign w:val="center"/>
          </w:tcPr>
          <w:p w14:paraId="76B1F58C" w14:textId="60A50E3D" w:rsidR="00ED50D9" w:rsidRPr="00DD6590" w:rsidRDefault="00DB39FE" w:rsidP="00135C16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Dôsledný monitoring napĺňania ukazovateľov výsledku v období udržateľnosti projektu</w:t>
            </w:r>
          </w:p>
        </w:tc>
      </w:tr>
      <w:tr w:rsidR="00ED50D9" w:rsidRPr="00DD6590" w14:paraId="63BEA6EB" w14:textId="77777777" w:rsidTr="00F74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6168F65E" w14:textId="77777777" w:rsidR="00ED50D9" w:rsidRPr="00DD6590" w:rsidRDefault="00ED50D9" w:rsidP="005A4DB1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2</w:t>
            </w:r>
          </w:p>
        </w:tc>
        <w:tc>
          <w:tcPr>
            <w:tcW w:w="507" w:type="pct"/>
            <w:vAlign w:val="center"/>
          </w:tcPr>
          <w:p w14:paraId="12C05628" w14:textId="540C790B" w:rsidR="00ED50D9" w:rsidRPr="00DD6590" w:rsidRDefault="00ED50D9" w:rsidP="00135C16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I/77 Smilno </w:t>
            </w:r>
            <w:r w:rsidR="00135C16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Svidník, rekonštrukcia cesty, druhá fáza</w:t>
            </w:r>
          </w:p>
        </w:tc>
        <w:tc>
          <w:tcPr>
            <w:tcW w:w="434" w:type="pct"/>
            <w:shd w:val="clear" w:color="auto" w:fill="D0EC9F"/>
            <w:vAlign w:val="center"/>
          </w:tcPr>
          <w:p w14:paraId="77B6067B" w14:textId="77777777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  <w:vAlign w:val="center"/>
          </w:tcPr>
          <w:p w14:paraId="1D23A79A" w14:textId="7D8C71C2" w:rsidR="00ED50D9" w:rsidRPr="00DD6590" w:rsidRDefault="00ED50D9" w:rsidP="00F74775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348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930,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39 </w:t>
            </w:r>
            <w:r w:rsidR="004355A3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7BE18FCA" w14:textId="6D7F2DEE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85,19</w:t>
            </w:r>
            <w:r w:rsidR="00135C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25" w:type="pct"/>
            <w:vAlign w:val="center"/>
          </w:tcPr>
          <w:p w14:paraId="17563837" w14:textId="0D8CCC1D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135C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5" w:type="pct"/>
            <w:vAlign w:val="center"/>
          </w:tcPr>
          <w:p w14:paraId="61B744F5" w14:textId="4311E28C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135C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5" w:type="pct"/>
            <w:vAlign w:val="center"/>
          </w:tcPr>
          <w:p w14:paraId="4EDD66EF" w14:textId="0FF52CB8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P0644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 cestnej doprave na cestách I. triedy: 36,03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1EC2C94D" w14:textId="4BC15174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P0015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rekonštruovaných alebo zrenovovaných ciest (I. triedy):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31B146B8" w14:textId="525EBB56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P0111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Percento fyzického pokroku z celkovej dĺžky novej a/alebo technicky zhodnotenej infraštruktúry: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78F2E013" w14:textId="1745B72C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P0243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odstránených kritických nehodových lokalít a kolíznych bodov na cestách I. triedy: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0" w:type="pct"/>
            <w:vAlign w:val="center"/>
          </w:tcPr>
          <w:p w14:paraId="188B33F0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ukončený a zrealizovaný v súlade s harmonogramom.</w:t>
            </w:r>
          </w:p>
        </w:tc>
        <w:tc>
          <w:tcPr>
            <w:tcW w:w="861" w:type="pct"/>
            <w:vAlign w:val="center"/>
          </w:tcPr>
          <w:p w14:paraId="4D7D875C" w14:textId="5E04240D" w:rsidR="00ED50D9" w:rsidRPr="00DD6590" w:rsidRDefault="00ED50D9" w:rsidP="00A6059A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Dôsledný monitoring </w:t>
            </w:r>
            <w:r w:rsidR="007D58A7" w:rsidRPr="00DD6590">
              <w:rPr>
                <w:rFonts w:asciiTheme="minorHAnsi" w:hAnsiTheme="minorHAnsi"/>
                <w:sz w:val="16"/>
                <w:szCs w:val="16"/>
              </w:rPr>
              <w:t>napĺňania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ukazovateľ</w:t>
            </w:r>
            <w:r w:rsidR="00A6059A" w:rsidRPr="00DD6590">
              <w:rPr>
                <w:rFonts w:asciiTheme="minorHAnsi" w:hAnsiTheme="minorHAnsi"/>
                <w:sz w:val="16"/>
                <w:szCs w:val="16"/>
              </w:rPr>
              <w:t>a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výsledku v</w:t>
            </w:r>
            <w:r w:rsidR="00FA1B33" w:rsidRPr="00DD6590">
              <w:rPr>
                <w:rFonts w:asciiTheme="minorHAnsi" w:hAnsiTheme="minorHAnsi"/>
                <w:sz w:val="16"/>
                <w:szCs w:val="16"/>
              </w:rPr>
              <w:t> období udržateľnosti projektu</w:t>
            </w:r>
          </w:p>
        </w:tc>
      </w:tr>
      <w:tr w:rsidR="00ED50D9" w:rsidRPr="00DD6590" w14:paraId="4B1F99BB" w14:textId="77777777" w:rsidTr="00F747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24165EB0" w14:textId="77777777" w:rsidR="00ED50D9" w:rsidRPr="00DD6590" w:rsidRDefault="00ED50D9" w:rsidP="005A4DB1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3</w:t>
            </w:r>
          </w:p>
        </w:tc>
        <w:tc>
          <w:tcPr>
            <w:tcW w:w="507" w:type="pct"/>
            <w:vAlign w:val="center"/>
          </w:tcPr>
          <w:p w14:paraId="093B4D33" w14:textId="18F4622F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I/66 Brezno </w:t>
            </w:r>
            <w:r w:rsidR="00135C16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obchvat, I. etapa </w:t>
            </w:r>
            <w:r w:rsidR="00135C16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2. fáza</w:t>
            </w:r>
          </w:p>
        </w:tc>
        <w:tc>
          <w:tcPr>
            <w:tcW w:w="434" w:type="pct"/>
            <w:shd w:val="clear" w:color="auto" w:fill="D0EC9F"/>
            <w:vAlign w:val="center"/>
          </w:tcPr>
          <w:p w14:paraId="430D470A" w14:textId="77777777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  <w:vAlign w:val="center"/>
          </w:tcPr>
          <w:p w14:paraId="6F6B163C" w14:textId="72675E04" w:rsidR="00ED50D9" w:rsidRPr="00DD6590" w:rsidRDefault="00ED50D9" w:rsidP="00F74775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12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459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453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54 </w:t>
            </w:r>
            <w:r w:rsidR="004355A3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7A40E033" w14:textId="6D5B29AB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84,09</w:t>
            </w:r>
            <w:r w:rsidR="00135C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25" w:type="pct"/>
            <w:vAlign w:val="center"/>
          </w:tcPr>
          <w:p w14:paraId="25E5EDA7" w14:textId="5D5A640E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135C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5" w:type="pct"/>
            <w:vAlign w:val="center"/>
          </w:tcPr>
          <w:p w14:paraId="00DAF384" w14:textId="6FBD4C51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135C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5" w:type="pct"/>
            <w:vAlign w:val="center"/>
          </w:tcPr>
          <w:p w14:paraId="6ABCCC3E" w14:textId="028EC175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P0644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 cestnej doprave na cestách I. triedy: 82,55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67F456B1" w14:textId="39A05EAD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P0667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produkcie emisií NO</w:t>
            </w:r>
            <w:r w:rsidRPr="00DD6590">
              <w:rPr>
                <w:rFonts w:asciiTheme="minorHAnsi" w:hAnsiTheme="minorHAnsi"/>
                <w:sz w:val="16"/>
                <w:szCs w:val="16"/>
                <w:vertAlign w:val="subscript"/>
              </w:rPr>
              <w:t>2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výstavby ciest I. triedy): 131,91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23AEA662" w14:textId="585CDD07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P0674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produkcie emisií PM</w:t>
            </w:r>
            <w:r w:rsidRPr="00F74775">
              <w:rPr>
                <w:sz w:val="16"/>
                <w:szCs w:val="16"/>
                <w:vertAlign w:val="subscript"/>
              </w:rPr>
              <w:t>10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výstavby ciest I. triedy): 237,93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7E31CE85" w14:textId="7D983FA3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P0003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novovybudovaných ciest (cesty 1. triedy):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5FC24929" w14:textId="54CE5835" w:rsidR="00DB39FE" w:rsidRPr="00DD6590" w:rsidRDefault="00DB39FE" w:rsidP="00DB39FE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P0015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rekonštruovaných alebo zrenovovaných ciest (I. triedy):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6698E8AE" w14:textId="0B1ADD2C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P0111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Percento fyzického pokroku z celkovej dĺžky novej a/alebo technicky zhodnotenej: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1323508D" w14:textId="20A39463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P0243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odstránených kritických nehodových lokalít a kolíznych bodov na cestách I. triedy: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0" w:type="pct"/>
            <w:vAlign w:val="center"/>
          </w:tcPr>
          <w:p w14:paraId="4CD5F5EE" w14:textId="77777777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Projekt je ukončený a zrealizovaný v súlade s harmonogramom. </w:t>
            </w:r>
          </w:p>
        </w:tc>
        <w:tc>
          <w:tcPr>
            <w:tcW w:w="861" w:type="pct"/>
            <w:vAlign w:val="center"/>
          </w:tcPr>
          <w:p w14:paraId="476D6745" w14:textId="1ED9B57F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Dôsledný monitoring </w:t>
            </w:r>
            <w:r w:rsidR="007D58A7" w:rsidRPr="00DD6590">
              <w:rPr>
                <w:rFonts w:asciiTheme="minorHAnsi" w:hAnsiTheme="minorHAnsi"/>
                <w:sz w:val="16"/>
                <w:szCs w:val="16"/>
              </w:rPr>
              <w:t>napĺňania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ukazovateľov výsledku </w:t>
            </w:r>
            <w:r w:rsidR="00FA1B33" w:rsidRPr="00DD6590">
              <w:rPr>
                <w:rFonts w:asciiTheme="minorHAnsi" w:hAnsiTheme="minorHAnsi"/>
                <w:sz w:val="16"/>
                <w:szCs w:val="16"/>
              </w:rPr>
              <w:t>v období udržateľnosti projektu</w:t>
            </w:r>
          </w:p>
        </w:tc>
      </w:tr>
      <w:tr w:rsidR="00ED50D9" w:rsidRPr="00DD6590" w14:paraId="5C68B061" w14:textId="77777777" w:rsidTr="00F74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165988B5" w14:textId="77777777" w:rsidR="00ED50D9" w:rsidRPr="00DD6590" w:rsidRDefault="00ED50D9" w:rsidP="005A4DB1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4</w:t>
            </w:r>
          </w:p>
        </w:tc>
        <w:tc>
          <w:tcPr>
            <w:tcW w:w="507" w:type="pct"/>
            <w:vAlign w:val="center"/>
          </w:tcPr>
          <w:p w14:paraId="03DE3F34" w14:textId="5EA2D1A1" w:rsidR="00ED50D9" w:rsidRPr="00DD6590" w:rsidRDefault="00ED50D9" w:rsidP="004355A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Stavebné a bezpečnostné opatrenia na zníženie nehodovosti medzinárodného cestného ťahu E371 na ceste I/73 Šarišský Štiavnik </w:t>
            </w:r>
            <w:r w:rsidR="00135C16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Hunkovce </w:t>
            </w:r>
            <w:r w:rsidR="00135C16">
              <w:rPr>
                <w:rFonts w:asciiTheme="minorHAnsi" w:hAnsiTheme="minorHAnsi"/>
                <w:sz w:val="16"/>
                <w:szCs w:val="16"/>
              </w:rPr>
              <w:t xml:space="preserve">‒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2. </w:t>
            </w:r>
            <w:r w:rsidR="00DB39FE" w:rsidRPr="00DD6590">
              <w:rPr>
                <w:rFonts w:asciiTheme="minorHAnsi" w:hAnsiTheme="minorHAnsi"/>
                <w:sz w:val="16"/>
                <w:szCs w:val="16"/>
              </w:rPr>
              <w:t>f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áza</w:t>
            </w:r>
          </w:p>
        </w:tc>
        <w:tc>
          <w:tcPr>
            <w:tcW w:w="434" w:type="pct"/>
            <w:shd w:val="clear" w:color="auto" w:fill="D0EC9F"/>
            <w:vAlign w:val="center"/>
          </w:tcPr>
          <w:p w14:paraId="002B7141" w14:textId="77777777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  <w:vAlign w:val="center"/>
          </w:tcPr>
          <w:p w14:paraId="1DA48968" w14:textId="275101B4" w:rsidR="00ED50D9" w:rsidRPr="00DD6590" w:rsidRDefault="00ED50D9" w:rsidP="00F74775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273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704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83 </w:t>
            </w:r>
            <w:r w:rsidR="004355A3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4C381680" w14:textId="2804CD1D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76,42</w:t>
            </w:r>
            <w:r w:rsidR="00135C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25" w:type="pct"/>
            <w:vAlign w:val="center"/>
          </w:tcPr>
          <w:p w14:paraId="1EC40BD0" w14:textId="5B3D8DB4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135C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5" w:type="pct"/>
            <w:vAlign w:val="center"/>
          </w:tcPr>
          <w:p w14:paraId="6205DFD6" w14:textId="637206C2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135C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5" w:type="pct"/>
            <w:vAlign w:val="center"/>
          </w:tcPr>
          <w:p w14:paraId="1668F434" w14:textId="69BB25AA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P0644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 cestnej doprave na cestách I. triedy: 163,36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536D321A" w14:textId="4BA0CB5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P0015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rekonštruovaných alebo zrenovovaných ciest (I. triedy):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1F27E6AA" w14:textId="72A5A79D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P0111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Percento fyzického pokroku z celkovej dĺžky novej a/alebo technicky zhodnotenej infraštruktúry: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58C8CBB7" w14:textId="581C1829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P0243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odstránených kritických nehodových lokalít a kolíznych bodov na cestách I. triedy: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0" w:type="pct"/>
            <w:vAlign w:val="center"/>
          </w:tcPr>
          <w:p w14:paraId="2A3C2205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ukončený a zrealizovaný v súlade s harmonogramom.</w:t>
            </w:r>
          </w:p>
        </w:tc>
        <w:tc>
          <w:tcPr>
            <w:tcW w:w="861" w:type="pct"/>
            <w:vAlign w:val="center"/>
          </w:tcPr>
          <w:p w14:paraId="5FF1DAED" w14:textId="0E26D165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D50D9" w:rsidRPr="00DD6590" w14:paraId="203933B0" w14:textId="77777777" w:rsidTr="00F747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374363DD" w14:textId="77777777" w:rsidR="00ED50D9" w:rsidRPr="00DD6590" w:rsidRDefault="00ED50D9" w:rsidP="005A4DB1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5</w:t>
            </w:r>
          </w:p>
        </w:tc>
        <w:tc>
          <w:tcPr>
            <w:tcW w:w="507" w:type="pct"/>
            <w:vAlign w:val="center"/>
          </w:tcPr>
          <w:p w14:paraId="2F5ADAF8" w14:textId="626F2767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I/78 Námestovo </w:t>
            </w:r>
            <w:r w:rsidR="00135C16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prieťah</w:t>
            </w:r>
          </w:p>
        </w:tc>
        <w:tc>
          <w:tcPr>
            <w:tcW w:w="434" w:type="pct"/>
            <w:shd w:val="clear" w:color="auto" w:fill="D0EC9F"/>
            <w:vAlign w:val="center"/>
          </w:tcPr>
          <w:p w14:paraId="4B8F3316" w14:textId="77777777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  <w:vAlign w:val="center"/>
          </w:tcPr>
          <w:p w14:paraId="4FA7A869" w14:textId="5D478D5B" w:rsidR="00ED50D9" w:rsidRPr="00DD6590" w:rsidRDefault="00ED50D9" w:rsidP="00F74775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4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977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249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48 </w:t>
            </w:r>
            <w:r w:rsidR="004355A3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6DF4A0AE" w14:textId="48D3B1F3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91,59</w:t>
            </w:r>
            <w:r w:rsidR="00135C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25" w:type="pct"/>
            <w:vAlign w:val="center"/>
          </w:tcPr>
          <w:p w14:paraId="5CC51990" w14:textId="7C5E9E00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135C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5" w:type="pct"/>
            <w:vAlign w:val="center"/>
          </w:tcPr>
          <w:p w14:paraId="107287F3" w14:textId="54E06753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135C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5" w:type="pct"/>
            <w:vAlign w:val="center"/>
          </w:tcPr>
          <w:p w14:paraId="14D63891" w14:textId="1D06CE54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P0644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 cestnej doprave na cestách I. triedy: 59,62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7944CA7F" w14:textId="29262011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P0015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rekonštruovaných alebo zrenovovaných ciest (I. triedy):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5F195056" w14:textId="7AB71592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P0458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usmrtených na cestách I. triedy: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% </w:t>
            </w:r>
          </w:p>
        </w:tc>
        <w:tc>
          <w:tcPr>
            <w:tcW w:w="800" w:type="pct"/>
            <w:vAlign w:val="center"/>
          </w:tcPr>
          <w:p w14:paraId="692BEA27" w14:textId="77777777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ukončený a zrealizovaný v súlade s harmonogramom.</w:t>
            </w:r>
          </w:p>
        </w:tc>
        <w:tc>
          <w:tcPr>
            <w:tcW w:w="861" w:type="pct"/>
            <w:vAlign w:val="center"/>
          </w:tcPr>
          <w:p w14:paraId="4E0490F0" w14:textId="023BD59B" w:rsidR="00ED50D9" w:rsidRPr="00DD6590" w:rsidRDefault="00ED50D9" w:rsidP="008D5CCB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Dôsledný monitoring </w:t>
            </w:r>
            <w:r w:rsidR="007D58A7" w:rsidRPr="00DD6590">
              <w:rPr>
                <w:rFonts w:asciiTheme="minorHAnsi" w:hAnsiTheme="minorHAnsi"/>
                <w:sz w:val="16"/>
                <w:szCs w:val="16"/>
              </w:rPr>
              <w:t>napĺňania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D5CCB" w:rsidRPr="00DD6590">
              <w:rPr>
                <w:rFonts w:asciiTheme="minorHAnsi" w:hAnsiTheme="minorHAnsi"/>
                <w:sz w:val="16"/>
                <w:szCs w:val="16"/>
              </w:rPr>
              <w:t xml:space="preserve">ukazovateľa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výsledku </w:t>
            </w:r>
            <w:r w:rsidR="00FA1B33" w:rsidRPr="00DD6590">
              <w:rPr>
                <w:rFonts w:asciiTheme="minorHAnsi" w:hAnsiTheme="minorHAnsi"/>
                <w:sz w:val="16"/>
                <w:szCs w:val="16"/>
              </w:rPr>
              <w:t>v období udržateľnosti projektu</w:t>
            </w:r>
          </w:p>
        </w:tc>
      </w:tr>
      <w:tr w:rsidR="00ED50D9" w:rsidRPr="00DD6590" w14:paraId="18F9C245" w14:textId="77777777" w:rsidTr="00F74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4D809B03" w14:textId="77777777" w:rsidR="00ED50D9" w:rsidRPr="00DD6590" w:rsidRDefault="00ED50D9" w:rsidP="005A4DB1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lastRenderedPageBreak/>
              <w:t>6</w:t>
            </w:r>
          </w:p>
        </w:tc>
        <w:tc>
          <w:tcPr>
            <w:tcW w:w="507" w:type="pct"/>
            <w:vAlign w:val="center"/>
          </w:tcPr>
          <w:p w14:paraId="59C7A525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Rekonštrukcia betónových vozoviek v Trnavskom regióne (I/62, I/75), 2. fáza</w:t>
            </w:r>
          </w:p>
        </w:tc>
        <w:tc>
          <w:tcPr>
            <w:tcW w:w="434" w:type="pct"/>
            <w:shd w:val="clear" w:color="auto" w:fill="D0EC9F"/>
            <w:vAlign w:val="center"/>
          </w:tcPr>
          <w:p w14:paraId="5B175B39" w14:textId="77777777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  <w:vAlign w:val="center"/>
          </w:tcPr>
          <w:p w14:paraId="2A13914B" w14:textId="5CC38AEE" w:rsidR="00ED50D9" w:rsidRPr="00DD6590" w:rsidRDefault="00ED50D9" w:rsidP="00F74775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4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331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763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55 </w:t>
            </w:r>
            <w:r w:rsidR="004355A3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4BB9C030" w14:textId="54B5C744" w:rsidR="00ED50D9" w:rsidRPr="00DD6590" w:rsidRDefault="00ED50D9" w:rsidP="004355A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91</w:t>
            </w:r>
            <w:r w:rsidR="00135C16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51</w:t>
            </w:r>
            <w:r w:rsidR="00135C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25" w:type="pct"/>
            <w:vAlign w:val="center"/>
          </w:tcPr>
          <w:p w14:paraId="300ED864" w14:textId="09496171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135C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5" w:type="pct"/>
            <w:vAlign w:val="center"/>
          </w:tcPr>
          <w:p w14:paraId="44903DD5" w14:textId="5F2BEA17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135C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5" w:type="pct"/>
            <w:vAlign w:val="center"/>
          </w:tcPr>
          <w:p w14:paraId="6CA0F57C" w14:textId="5CAA70BD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P0644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 cestnej doprave na cestách I. triedy: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75F67F78" w14:textId="11B3F83A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P0015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rekonštruovaných alebo zrenovovaných ciest (I. triedy):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0C850E51" w14:textId="40467C52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P0111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Percento fyzického pokroku z celkovej dĺžky novej a/alebo technicky zhodnotenej infraštruktúry: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6782E64E" w14:textId="6B1C38EB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P0243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odstránených kritických nehodových lokalít a kolíznych bodov na cestách I. triedy: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0" w:type="pct"/>
            <w:vAlign w:val="center"/>
          </w:tcPr>
          <w:p w14:paraId="23CA36F9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ukončený a zrealizovaný v súlade s harmonogramom.</w:t>
            </w:r>
          </w:p>
        </w:tc>
        <w:tc>
          <w:tcPr>
            <w:tcW w:w="861" w:type="pct"/>
            <w:vAlign w:val="center"/>
          </w:tcPr>
          <w:p w14:paraId="1FABB2DE" w14:textId="5607DBB1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D50D9" w:rsidRPr="00DD6590" w14:paraId="4EF3008A" w14:textId="77777777" w:rsidTr="00F747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409E9FD1" w14:textId="77777777" w:rsidR="00ED50D9" w:rsidRPr="00DD6590" w:rsidRDefault="00ED50D9" w:rsidP="005A4DB1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7</w:t>
            </w:r>
          </w:p>
        </w:tc>
        <w:tc>
          <w:tcPr>
            <w:tcW w:w="507" w:type="pct"/>
            <w:vAlign w:val="center"/>
          </w:tcPr>
          <w:p w14:paraId="2065EB18" w14:textId="34C07520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I/50 Ružová osada, rekonštrukcia cesty </w:t>
            </w:r>
            <w:r w:rsidR="00135C16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2.</w:t>
            </w:r>
            <w:r w:rsidR="00135C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fáza</w:t>
            </w:r>
          </w:p>
        </w:tc>
        <w:tc>
          <w:tcPr>
            <w:tcW w:w="434" w:type="pct"/>
            <w:shd w:val="clear" w:color="auto" w:fill="D0EC9F"/>
            <w:vAlign w:val="center"/>
          </w:tcPr>
          <w:p w14:paraId="00F8CD37" w14:textId="77777777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  <w:vAlign w:val="center"/>
          </w:tcPr>
          <w:p w14:paraId="63E5741F" w14:textId="565A19E0" w:rsidR="00ED50D9" w:rsidRPr="00DD6590" w:rsidRDefault="00ED50D9" w:rsidP="00F74775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309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503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18 </w:t>
            </w:r>
            <w:r w:rsidR="004355A3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74A4AB7E" w14:textId="14140564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66,41</w:t>
            </w:r>
            <w:r w:rsidR="00135C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25" w:type="pct"/>
            <w:vAlign w:val="center"/>
          </w:tcPr>
          <w:p w14:paraId="6C53EB18" w14:textId="5F1F9230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135C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5" w:type="pct"/>
            <w:vAlign w:val="center"/>
          </w:tcPr>
          <w:p w14:paraId="6A6EEE54" w14:textId="59381281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135C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5" w:type="pct"/>
            <w:vAlign w:val="center"/>
          </w:tcPr>
          <w:p w14:paraId="3CB9FB09" w14:textId="599F8AA1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P0644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 cestnej doprave na cestách I. triedy: 86,88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5E05F09" w14:textId="58961DAD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P0015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rekonštruovaných alebo zrenovovaných ciest (I. triedy):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BAAC325" w14:textId="11FD51DD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P0111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Percento fyzického pokroku z celkovej dĺžky novej a/alebo technicky zhodnotenej infraštruktúry: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710D4B57" w14:textId="3E3A40DC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P0243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odstránených kritických nehodových lokalít a kolíznych bodov na cestách I. triedy: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0" w:type="pct"/>
            <w:vAlign w:val="center"/>
          </w:tcPr>
          <w:p w14:paraId="26102DD6" w14:textId="77777777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ukončený a zrealizovaný v súlade s harmonogramom.</w:t>
            </w:r>
          </w:p>
        </w:tc>
        <w:tc>
          <w:tcPr>
            <w:tcW w:w="861" w:type="pct"/>
            <w:vAlign w:val="center"/>
          </w:tcPr>
          <w:p w14:paraId="08CD81A3" w14:textId="5BD70CE4" w:rsidR="00ED50D9" w:rsidRPr="00DD6590" w:rsidRDefault="00ED50D9" w:rsidP="003C34B8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Dôsledný monitoring </w:t>
            </w:r>
            <w:r w:rsidR="007D58A7" w:rsidRPr="00DD6590">
              <w:rPr>
                <w:rFonts w:asciiTheme="minorHAnsi" w:hAnsiTheme="minorHAnsi"/>
                <w:sz w:val="16"/>
                <w:szCs w:val="16"/>
              </w:rPr>
              <w:t>napĺňania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ukazovateľ</w:t>
            </w:r>
            <w:r w:rsidR="003C34B8" w:rsidRPr="00DD6590">
              <w:rPr>
                <w:rFonts w:asciiTheme="minorHAnsi" w:hAnsiTheme="minorHAnsi"/>
                <w:sz w:val="16"/>
                <w:szCs w:val="16"/>
              </w:rPr>
              <w:t>a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výsledku v</w:t>
            </w:r>
            <w:r w:rsidR="00FA1B33" w:rsidRPr="00DD6590">
              <w:rPr>
                <w:rFonts w:asciiTheme="minorHAnsi" w:hAnsiTheme="minorHAnsi"/>
                <w:sz w:val="16"/>
                <w:szCs w:val="16"/>
              </w:rPr>
              <w:t> období udržateľnosti projektu</w:t>
            </w:r>
          </w:p>
        </w:tc>
      </w:tr>
      <w:tr w:rsidR="00ED50D9" w:rsidRPr="00DD6590" w14:paraId="6B0244B6" w14:textId="77777777" w:rsidTr="00F74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5B687C0F" w14:textId="77777777" w:rsidR="00ED50D9" w:rsidRPr="00DD6590" w:rsidRDefault="00ED50D9" w:rsidP="005A4DB1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8</w:t>
            </w:r>
          </w:p>
        </w:tc>
        <w:tc>
          <w:tcPr>
            <w:tcW w:w="507" w:type="pct"/>
            <w:vAlign w:val="center"/>
          </w:tcPr>
          <w:p w14:paraId="526C21B1" w14:textId="4862867C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I/66 Polomka – bodová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závada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, 2.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fáza</w:t>
            </w:r>
          </w:p>
        </w:tc>
        <w:tc>
          <w:tcPr>
            <w:tcW w:w="434" w:type="pct"/>
            <w:shd w:val="clear" w:color="auto" w:fill="D0EC9F"/>
            <w:vAlign w:val="center"/>
          </w:tcPr>
          <w:p w14:paraId="19555FC4" w14:textId="77777777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  <w:vAlign w:val="center"/>
          </w:tcPr>
          <w:p w14:paraId="7B479B38" w14:textId="64165FEA" w:rsidR="00ED50D9" w:rsidRPr="00DD6590" w:rsidRDefault="00ED50D9" w:rsidP="00F74775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4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458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453,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49 </w:t>
            </w:r>
            <w:r w:rsidR="004355A3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051ABC51" w14:textId="06CE1E03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89,67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25" w:type="pct"/>
            <w:vAlign w:val="center"/>
          </w:tcPr>
          <w:p w14:paraId="6DB72466" w14:textId="2C622033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5" w:type="pct"/>
            <w:vAlign w:val="center"/>
          </w:tcPr>
          <w:p w14:paraId="25FC4701" w14:textId="4B7A0677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5" w:type="pct"/>
            <w:vAlign w:val="center"/>
          </w:tcPr>
          <w:p w14:paraId="5A3CC535" w14:textId="496A9316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P0644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 cestnej doprave na cestách I. triedy: 29,53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686665E8" w14:textId="18998F3B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P0015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rekonštruovaných alebo zrenovovaných ciest (I. triedy):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3B606573" w14:textId="561894E9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P0111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Percento fyzického pokroku z celkovej dĺžky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novej a/alebo technicky zhodnotenej infraštruktúry: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7C20C364" w14:textId="08159D9E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P0243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odstránených kritických nehodových lokalít a kolíznych bodov na cestách I. triedy: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0" w:type="pct"/>
            <w:vAlign w:val="center"/>
          </w:tcPr>
          <w:p w14:paraId="0FF4D2A2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Projekt je ukončený a zrealizovaný v súlade s harmonogramom.</w:t>
            </w:r>
          </w:p>
        </w:tc>
        <w:tc>
          <w:tcPr>
            <w:tcW w:w="861" w:type="pct"/>
            <w:vAlign w:val="center"/>
          </w:tcPr>
          <w:p w14:paraId="6C67F3D6" w14:textId="71F9E929" w:rsidR="00ED50D9" w:rsidRPr="00DD6590" w:rsidRDefault="003C34B8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Dôsledný monitoring napĺňania ukazovateľa výsledku v období udržateľnosti projektu</w:t>
            </w:r>
          </w:p>
        </w:tc>
      </w:tr>
      <w:tr w:rsidR="00ED50D9" w:rsidRPr="00DD6590" w14:paraId="38DFD69A" w14:textId="77777777" w:rsidTr="00F747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5112F094" w14:textId="77777777" w:rsidR="00ED50D9" w:rsidRPr="00DD6590" w:rsidRDefault="00ED50D9" w:rsidP="005A4DB1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9</w:t>
            </w:r>
          </w:p>
        </w:tc>
        <w:tc>
          <w:tcPr>
            <w:tcW w:w="507" w:type="pct"/>
            <w:vAlign w:val="center"/>
          </w:tcPr>
          <w:p w14:paraId="5EA43E59" w14:textId="77777777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I/11 Čadca – most 208</w:t>
            </w:r>
          </w:p>
        </w:tc>
        <w:tc>
          <w:tcPr>
            <w:tcW w:w="434" w:type="pct"/>
            <w:shd w:val="clear" w:color="auto" w:fill="D0EC9F"/>
            <w:vAlign w:val="center"/>
          </w:tcPr>
          <w:p w14:paraId="5DF8BB57" w14:textId="77777777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  <w:vAlign w:val="center"/>
          </w:tcPr>
          <w:p w14:paraId="2A37DEBC" w14:textId="404C6A40" w:rsidR="00ED50D9" w:rsidRPr="00DD6590" w:rsidRDefault="00ED50D9" w:rsidP="00F74775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506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195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46 </w:t>
            </w:r>
            <w:r w:rsidR="004355A3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3C689BE1" w14:textId="2356D714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83,87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25" w:type="pct"/>
            <w:vAlign w:val="center"/>
          </w:tcPr>
          <w:p w14:paraId="1430C874" w14:textId="5585D78E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5" w:type="pct"/>
            <w:vAlign w:val="center"/>
          </w:tcPr>
          <w:p w14:paraId="2E86C915" w14:textId="0AAB52C2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5" w:type="pct"/>
            <w:vAlign w:val="center"/>
          </w:tcPr>
          <w:p w14:paraId="03DCF44A" w14:textId="4E94E766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P0644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 cestnej doprave na cestách I. triedy:85,86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E945D33" w14:textId="417E1F34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P0015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rekonštruovaných alebo zrenovovaných ciest (I. triedy):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2CC84EB6" w14:textId="1E7FDDFE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P0243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odstránených kritických nehodových lokalít a kolíznych bodov na cestách I. triedy: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0" w:type="pct"/>
            <w:vAlign w:val="center"/>
          </w:tcPr>
          <w:p w14:paraId="1B806626" w14:textId="77777777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ukončený a zrealizovaný v súlade s harmonogramom.</w:t>
            </w:r>
          </w:p>
        </w:tc>
        <w:tc>
          <w:tcPr>
            <w:tcW w:w="861" w:type="pct"/>
            <w:vAlign w:val="center"/>
          </w:tcPr>
          <w:p w14:paraId="2B88C44F" w14:textId="64CD97B4" w:rsidR="00ED50D9" w:rsidRPr="00DD6590" w:rsidRDefault="003C34B8" w:rsidP="00EF71AC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Dôsledný monitoring napĺňania ukazovateľa výsledku v období udržateľnosti projektu</w:t>
            </w:r>
          </w:p>
        </w:tc>
      </w:tr>
      <w:tr w:rsidR="00ED50D9" w:rsidRPr="00DD6590" w14:paraId="7B1B9763" w14:textId="77777777" w:rsidTr="00F74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7E38ABDB" w14:textId="77777777" w:rsidR="00ED50D9" w:rsidRPr="00DD6590" w:rsidRDefault="00ED50D9" w:rsidP="005A4DB1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10</w:t>
            </w:r>
          </w:p>
        </w:tc>
        <w:tc>
          <w:tcPr>
            <w:tcW w:w="507" w:type="pct"/>
            <w:vAlign w:val="center"/>
          </w:tcPr>
          <w:p w14:paraId="5F25EF8F" w14:textId="2A74136B" w:rsidR="00ED50D9" w:rsidRPr="00DD6590" w:rsidRDefault="00ED50D9" w:rsidP="004355A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I/77 Bardejov juhozápadný obchvat, II. </w:t>
            </w:r>
            <w:r w:rsidR="002A1D5E">
              <w:rPr>
                <w:rFonts w:asciiTheme="minorHAnsi" w:hAnsiTheme="minorHAnsi"/>
                <w:sz w:val="16"/>
                <w:szCs w:val="16"/>
              </w:rPr>
              <w:t>f</w:t>
            </w:r>
            <w:r w:rsidR="002A1D5E" w:rsidRPr="00DD6590">
              <w:rPr>
                <w:rFonts w:asciiTheme="minorHAnsi" w:hAnsiTheme="minorHAnsi"/>
                <w:sz w:val="16"/>
                <w:szCs w:val="16"/>
              </w:rPr>
              <w:t>áza</w:t>
            </w:r>
          </w:p>
        </w:tc>
        <w:tc>
          <w:tcPr>
            <w:tcW w:w="434" w:type="pct"/>
            <w:shd w:val="clear" w:color="auto" w:fill="D0EC9F"/>
            <w:vAlign w:val="center"/>
          </w:tcPr>
          <w:p w14:paraId="4D643CA8" w14:textId="77777777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  <w:vAlign w:val="center"/>
          </w:tcPr>
          <w:p w14:paraId="1977CE9A" w14:textId="4219C7E9" w:rsidR="00ED50D9" w:rsidRPr="00DD6590" w:rsidRDefault="00ED50D9" w:rsidP="00F74775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14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191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661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52 </w:t>
            </w:r>
            <w:r w:rsidR="004355A3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243DAE0F" w14:textId="34B82660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89,53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25" w:type="pct"/>
            <w:vAlign w:val="center"/>
          </w:tcPr>
          <w:p w14:paraId="6D4B2D32" w14:textId="17A4FEBA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5" w:type="pct"/>
            <w:vAlign w:val="center"/>
          </w:tcPr>
          <w:p w14:paraId="7811B665" w14:textId="2FCCF4D9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5" w:type="pct"/>
            <w:vAlign w:val="center"/>
          </w:tcPr>
          <w:p w14:paraId="5A8F3BCC" w14:textId="7C2F5D65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P0644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 cestnej doprave na cestách I. triedy: 88,97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3F5EBBB" w14:textId="401ED75D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P0667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produkcie emisií NO</w:t>
            </w:r>
            <w:r w:rsidRPr="00DD6590">
              <w:rPr>
                <w:rFonts w:asciiTheme="minorHAnsi" w:hAnsiTheme="minorHAnsi"/>
                <w:sz w:val="16"/>
                <w:szCs w:val="16"/>
                <w:vertAlign w:val="subscript"/>
              </w:rPr>
              <w:t xml:space="preserve">2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(vplyvom výstavby ciest I. triedy): 93,57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C6150FB" w14:textId="7A38E55F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P0674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produkcie emisií PM</w:t>
            </w:r>
            <w:r w:rsidRPr="00DD6590">
              <w:rPr>
                <w:rFonts w:asciiTheme="minorHAnsi" w:hAnsiTheme="minorHAnsi"/>
                <w:sz w:val="16"/>
                <w:szCs w:val="16"/>
                <w:vertAlign w:val="subscript"/>
              </w:rPr>
              <w:t>10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výstavby ciest I. triedy): 93,68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C6C842D" w14:textId="73C45E80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P0003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novovybudovaných ciest (cesty 1. triedy): 100 %</w:t>
            </w:r>
          </w:p>
          <w:p w14:paraId="7566486F" w14:textId="4F6A5168" w:rsidR="00DB39FE" w:rsidRPr="00DD6590" w:rsidRDefault="00DB39FE" w:rsidP="00DB39FE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P0015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rekonštruovaných alebo zrenovovaných ciest (I. triedy):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73C046BD" w14:textId="3CC1D4D4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P0111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Percento fyzického pokroku z celkovej dĺžky novej a/alebo technicky zhodnotenej infraštruktúry: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3266A717" w14:textId="730E9EE1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P0243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odstránených kritických nehodových lokalít a kolíznych bodov na cestách I. triedy: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0" w:type="pct"/>
            <w:vAlign w:val="center"/>
          </w:tcPr>
          <w:p w14:paraId="2724DC86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Projekt je ukončený a zrealizovaný v súlade s harmonogramom.</w:t>
            </w:r>
          </w:p>
        </w:tc>
        <w:tc>
          <w:tcPr>
            <w:tcW w:w="861" w:type="pct"/>
            <w:vAlign w:val="center"/>
          </w:tcPr>
          <w:p w14:paraId="6ABD4C0E" w14:textId="0B42DCFA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Dôsledný monitoring </w:t>
            </w:r>
            <w:r w:rsidR="007D58A7" w:rsidRPr="00DD6590">
              <w:rPr>
                <w:rFonts w:asciiTheme="minorHAnsi" w:hAnsiTheme="minorHAnsi"/>
                <w:sz w:val="16"/>
                <w:szCs w:val="16"/>
              </w:rPr>
              <w:t>napĺňania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ukazovateľov výsledku v</w:t>
            </w:r>
            <w:r w:rsidR="003C34B8" w:rsidRPr="00DD6590">
              <w:rPr>
                <w:rFonts w:asciiTheme="minorHAnsi" w:hAnsiTheme="minorHAnsi"/>
                <w:sz w:val="16"/>
                <w:szCs w:val="16"/>
              </w:rPr>
              <w:t> období udržateľnosti projektu</w:t>
            </w:r>
          </w:p>
        </w:tc>
      </w:tr>
      <w:tr w:rsidR="00ED50D9" w:rsidRPr="00DD6590" w14:paraId="389E5D6E" w14:textId="77777777" w:rsidTr="00F747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6C8BBD27" w14:textId="77777777" w:rsidR="00ED50D9" w:rsidRPr="00DD6590" w:rsidRDefault="00ED50D9" w:rsidP="005A4DB1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11</w:t>
            </w:r>
          </w:p>
        </w:tc>
        <w:tc>
          <w:tcPr>
            <w:tcW w:w="507" w:type="pct"/>
            <w:vAlign w:val="center"/>
          </w:tcPr>
          <w:p w14:paraId="47E47BAD" w14:textId="12F22416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Rekonštrukcia cesty I/65 Turčianske Teplice </w:t>
            </w:r>
            <w:r w:rsidR="002A1D5E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Príbovce</w:t>
            </w:r>
          </w:p>
        </w:tc>
        <w:tc>
          <w:tcPr>
            <w:tcW w:w="434" w:type="pct"/>
            <w:shd w:val="clear" w:color="auto" w:fill="D0EC9F"/>
            <w:vAlign w:val="center"/>
          </w:tcPr>
          <w:p w14:paraId="23697517" w14:textId="77777777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  <w:vAlign w:val="center"/>
          </w:tcPr>
          <w:p w14:paraId="1FBDB3A5" w14:textId="6E5F2DB1" w:rsidR="00ED50D9" w:rsidRPr="00DD6590" w:rsidRDefault="00ED50D9" w:rsidP="00F74775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20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963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103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41 </w:t>
            </w:r>
            <w:r w:rsidR="004355A3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4BA194F0" w14:textId="747D7364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74,63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25" w:type="pct"/>
            <w:vAlign w:val="center"/>
          </w:tcPr>
          <w:p w14:paraId="10DB866B" w14:textId="0BC0AB68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61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5" w:type="pct"/>
            <w:vAlign w:val="center"/>
          </w:tcPr>
          <w:p w14:paraId="50C0786F" w14:textId="797C73CB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92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5" w:type="pct"/>
            <w:vAlign w:val="center"/>
          </w:tcPr>
          <w:p w14:paraId="02D911B2" w14:textId="5468C700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P0644 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‒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Úspora času v cestnej doprave na cestách I. triedy: 13,34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5C888532" w14:textId="52A733D3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P0015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rekonštruovaných alebo zrenovovaných ciest (I. triedy): </w:t>
            </w:r>
            <w:r w:rsidRPr="00DD6590">
              <w:rPr>
                <w:rFonts w:asciiTheme="minorHAnsi" w:hAnsiTheme="minorHAnsi" w:cs="Roboto-Regular"/>
                <w:sz w:val="16"/>
                <w:szCs w:val="16"/>
              </w:rPr>
              <w:t>0,0007</w:t>
            </w:r>
            <w:r w:rsidR="00B657CB">
              <w:rPr>
                <w:rFonts w:asciiTheme="minorHAnsi" w:hAnsiTheme="minorHAnsi" w:cs="Roboto-Regular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 w:cs="Roboto-Regular"/>
                <w:sz w:val="16"/>
                <w:szCs w:val="16"/>
              </w:rPr>
              <w:t>%</w:t>
            </w:r>
          </w:p>
          <w:p w14:paraId="7C6ABD75" w14:textId="737C03E9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P0243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odstránených kritických nehodových lokalít a kolíznych bodov na cestách I. triedy: 0,01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0" w:type="pct"/>
            <w:vAlign w:val="center"/>
          </w:tcPr>
          <w:p w14:paraId="25F330BC" w14:textId="0D26D904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realizovaný v súlade s</w:t>
            </w:r>
            <w:r w:rsidR="00DB39FE" w:rsidRPr="00DD6590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harmonogramom</w:t>
            </w:r>
            <w:r w:rsidR="00DB39FE"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7DA16041" w14:textId="0D0C946E" w:rsidR="00ED50D9" w:rsidRPr="00DD6590" w:rsidRDefault="00ED50D9" w:rsidP="004355A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Zmluva na práce bola predĺžená schváleným Dodatkom č. 3 o 5 mesiacov do 30.</w:t>
            </w:r>
            <w:r w:rsidR="002A1D5E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6.</w:t>
            </w:r>
            <w:r w:rsidR="002A1D5E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2019 z dôvodu nevhodného počasia na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pokládku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asfaltových vrstiev a vodorovného dopravného značenia. </w:t>
            </w:r>
            <w:r w:rsidR="002A1D5E">
              <w:rPr>
                <w:rFonts w:asciiTheme="minorHAnsi" w:hAnsiTheme="minorHAnsi"/>
                <w:sz w:val="16"/>
                <w:szCs w:val="16"/>
              </w:rPr>
              <w:t>To</w:t>
            </w:r>
            <w:r w:rsidR="00DB39FE" w:rsidRPr="00DD6590">
              <w:rPr>
                <w:rFonts w:asciiTheme="minorHAnsi" w:hAnsiTheme="minorHAnsi"/>
                <w:sz w:val="16"/>
                <w:szCs w:val="16"/>
              </w:rPr>
              <w:t xml:space="preserve"> však neovplyvnilo realizáciu projektu.</w:t>
            </w:r>
          </w:p>
        </w:tc>
        <w:tc>
          <w:tcPr>
            <w:tcW w:w="861" w:type="pct"/>
            <w:vAlign w:val="center"/>
          </w:tcPr>
          <w:p w14:paraId="32F69427" w14:textId="36A704F9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Dohliadnuť na plnenie ukazovateľov, a to hlavne ukazovateľa Celková dĺžka rekonštruovaných alebo zrenovovaných ciest (I. triedy)</w:t>
            </w:r>
          </w:p>
        </w:tc>
      </w:tr>
      <w:tr w:rsidR="00ED50D9" w:rsidRPr="00DD6590" w14:paraId="78A34ACB" w14:textId="77777777" w:rsidTr="00F74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2E7326D2" w14:textId="77777777" w:rsidR="00ED50D9" w:rsidRPr="00DD6590" w:rsidRDefault="00ED50D9" w:rsidP="005A4DB1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12</w:t>
            </w:r>
          </w:p>
        </w:tc>
        <w:tc>
          <w:tcPr>
            <w:tcW w:w="507" w:type="pct"/>
            <w:vAlign w:val="center"/>
          </w:tcPr>
          <w:p w14:paraId="12A5024F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Riadenie bezpečnosti, návrhové opatrenia a analýza financovateľnosti bezpečnostných opatrení na cestách I. triedy</w:t>
            </w:r>
          </w:p>
        </w:tc>
        <w:tc>
          <w:tcPr>
            <w:tcW w:w="434" w:type="pct"/>
            <w:shd w:val="clear" w:color="auto" w:fill="D0EC9F"/>
            <w:vAlign w:val="center"/>
          </w:tcPr>
          <w:p w14:paraId="5F565721" w14:textId="77777777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  <w:vAlign w:val="center"/>
          </w:tcPr>
          <w:p w14:paraId="0E59834E" w14:textId="40768319" w:rsidR="00ED50D9" w:rsidRPr="00DD6590" w:rsidRDefault="00ED50D9" w:rsidP="00F74775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857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865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80 </w:t>
            </w:r>
            <w:r w:rsidR="004355A3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1B0EF38C" w14:textId="3F55F189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68,98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25" w:type="pct"/>
            <w:vAlign w:val="center"/>
          </w:tcPr>
          <w:p w14:paraId="27A1FBC8" w14:textId="5F1FF3ED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56,25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5" w:type="pct"/>
            <w:vAlign w:val="center"/>
          </w:tcPr>
          <w:p w14:paraId="0C44EACC" w14:textId="67DDBF29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71,43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5" w:type="pct"/>
            <w:vAlign w:val="center"/>
          </w:tcPr>
          <w:p w14:paraId="4AF03DFE" w14:textId="1D902A3B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P0366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realizovaných dokumentácií, analýz, štúdií a správ v súvislosti s prípravou, implementáciou, monitorovaním a hodnotením projektu: 42,86</w:t>
            </w:r>
            <w:r w:rsidR="00B657CB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0" w:type="pct"/>
            <w:vAlign w:val="center"/>
          </w:tcPr>
          <w:p w14:paraId="7D8727B7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Projekt je realizovaný v súlade s harmonogramom. </w:t>
            </w:r>
          </w:p>
          <w:p w14:paraId="450B8DA4" w14:textId="33261089" w:rsidR="00ED50D9" w:rsidRPr="00DD6590" w:rsidRDefault="00ED50D9" w:rsidP="00DB39FE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Dá sa predpokladať, že projekt naplní </w:t>
            </w:r>
            <w:r w:rsidR="00DB39FE" w:rsidRPr="00DD6590">
              <w:rPr>
                <w:rFonts w:asciiTheme="minorHAnsi" w:hAnsiTheme="minorHAnsi"/>
                <w:sz w:val="16"/>
                <w:szCs w:val="16"/>
              </w:rPr>
              <w:t xml:space="preserve">cieľovú hodnotu nastaveného ukazovateľa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výstupu.</w:t>
            </w:r>
          </w:p>
        </w:tc>
        <w:tc>
          <w:tcPr>
            <w:tcW w:w="861" w:type="pct"/>
            <w:vAlign w:val="center"/>
          </w:tcPr>
          <w:p w14:paraId="6745B7A6" w14:textId="77777777" w:rsidR="00ED50D9" w:rsidRPr="00DD6590" w:rsidRDefault="00ED50D9" w:rsidP="005A4DB1">
            <w:pPr>
              <w:pStyle w:val="ListParagraph"/>
              <w:spacing w:before="0" w:line="240" w:lineRule="auto"/>
              <w:ind w:left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D50D9" w:rsidRPr="00DD6590" w14:paraId="560E1DFA" w14:textId="77777777" w:rsidTr="00F747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2B7958BD" w14:textId="77777777" w:rsidR="00ED50D9" w:rsidRPr="00DD6590" w:rsidRDefault="00ED50D9" w:rsidP="005A4DB1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13</w:t>
            </w:r>
          </w:p>
        </w:tc>
        <w:tc>
          <w:tcPr>
            <w:tcW w:w="507" w:type="pct"/>
            <w:vAlign w:val="center"/>
          </w:tcPr>
          <w:p w14:paraId="694E2266" w14:textId="77777777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Štúdie realizovateľnosti projektov ciest I. triedy v TT a NR kraji</w:t>
            </w:r>
          </w:p>
        </w:tc>
        <w:tc>
          <w:tcPr>
            <w:tcW w:w="434" w:type="pct"/>
            <w:shd w:val="clear" w:color="auto" w:fill="D0EC9F"/>
            <w:vAlign w:val="center"/>
          </w:tcPr>
          <w:p w14:paraId="758A97CA" w14:textId="77777777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  <w:vAlign w:val="center"/>
          </w:tcPr>
          <w:p w14:paraId="60EE206F" w14:textId="3EB0CC3C" w:rsidR="00ED50D9" w:rsidRPr="00DD6590" w:rsidRDefault="00ED50D9" w:rsidP="00F74775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941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308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68 </w:t>
            </w:r>
            <w:r w:rsidR="004355A3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2A5F2C80" w14:textId="40FB6F98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88,48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25" w:type="pct"/>
            <w:vAlign w:val="center"/>
          </w:tcPr>
          <w:p w14:paraId="203AECBD" w14:textId="08F5030C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69,23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5" w:type="pct"/>
            <w:vAlign w:val="center"/>
          </w:tcPr>
          <w:p w14:paraId="0F98D805" w14:textId="3A829B42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80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5" w:type="pct"/>
            <w:vAlign w:val="center"/>
          </w:tcPr>
          <w:p w14:paraId="75A3E49F" w14:textId="1F97F97C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P0366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realizovaných dokumentácií, analýz, štúdií a správ v súvislosti s prípravou, implementáciou, monitorovaním a hodnotením projektu: 60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0" w:type="pct"/>
            <w:vAlign w:val="center"/>
          </w:tcPr>
          <w:p w14:paraId="2B86996E" w14:textId="77777777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realizovaný v súlade s harmonogramom.</w:t>
            </w:r>
          </w:p>
          <w:p w14:paraId="65B8D991" w14:textId="6C7485E0" w:rsidR="00ED50D9" w:rsidRPr="00DD6590" w:rsidRDefault="00ED50D9" w:rsidP="00DB39FE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Dá sa predpokladať, že projekt naplní </w:t>
            </w:r>
            <w:r w:rsidR="00DB39FE" w:rsidRPr="00DD6590">
              <w:rPr>
                <w:rFonts w:asciiTheme="minorHAnsi" w:hAnsiTheme="minorHAnsi"/>
                <w:sz w:val="16"/>
                <w:szCs w:val="16"/>
              </w:rPr>
              <w:t xml:space="preserve">cieľovú hodnotu nastaveného ukazovateľa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výstupu.</w:t>
            </w:r>
          </w:p>
        </w:tc>
        <w:tc>
          <w:tcPr>
            <w:tcW w:w="861" w:type="pct"/>
            <w:vAlign w:val="center"/>
          </w:tcPr>
          <w:p w14:paraId="7F7F69E3" w14:textId="77777777" w:rsidR="00ED50D9" w:rsidRPr="00DD6590" w:rsidRDefault="00ED50D9" w:rsidP="005A4DB1">
            <w:pPr>
              <w:pStyle w:val="ListParagraph"/>
              <w:spacing w:before="0" w:line="240" w:lineRule="auto"/>
              <w:ind w:left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D50D9" w:rsidRPr="00DD6590" w14:paraId="75D2712C" w14:textId="77777777" w:rsidTr="00F74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76A0EB0A" w14:textId="77777777" w:rsidR="00ED50D9" w:rsidRPr="00DD6590" w:rsidRDefault="00ED50D9" w:rsidP="005A4DB1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14</w:t>
            </w:r>
          </w:p>
        </w:tc>
        <w:tc>
          <w:tcPr>
            <w:tcW w:w="507" w:type="pct"/>
            <w:vAlign w:val="center"/>
          </w:tcPr>
          <w:p w14:paraId="1665DC11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Štúdie realizovateľnosti projektov ciest I. triedy v BB kraji</w:t>
            </w:r>
          </w:p>
        </w:tc>
        <w:tc>
          <w:tcPr>
            <w:tcW w:w="434" w:type="pct"/>
            <w:shd w:val="clear" w:color="auto" w:fill="D0EC9F"/>
            <w:vAlign w:val="center"/>
          </w:tcPr>
          <w:p w14:paraId="5CB82E59" w14:textId="77777777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  <w:vAlign w:val="center"/>
          </w:tcPr>
          <w:p w14:paraId="20D6F2B0" w14:textId="244ABBCD" w:rsidR="00ED50D9" w:rsidRPr="00DD6590" w:rsidRDefault="00ED50D9" w:rsidP="00F74775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626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188,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20 </w:t>
            </w:r>
            <w:r w:rsidR="004355A3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7129020E" w14:textId="3F8AF9C9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25" w:type="pct"/>
            <w:vAlign w:val="center"/>
          </w:tcPr>
          <w:p w14:paraId="4D40D529" w14:textId="519D6072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5" w:type="pct"/>
            <w:vAlign w:val="center"/>
          </w:tcPr>
          <w:p w14:paraId="4B3E6C52" w14:textId="1D89D9BF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5" w:type="pct"/>
            <w:vAlign w:val="center"/>
          </w:tcPr>
          <w:p w14:paraId="34CE6B3E" w14:textId="62137253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P0366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realizovaných dokumentácií, analýz, štúdií a správ v súvislosti s prípravou, implementáciou, monitorovaním a hodnotením projektu: 100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0" w:type="pct"/>
            <w:vAlign w:val="center"/>
          </w:tcPr>
          <w:p w14:paraId="6DF5011D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ukončený a zrealizovaný v súlade s harmonogramom.</w:t>
            </w:r>
          </w:p>
        </w:tc>
        <w:tc>
          <w:tcPr>
            <w:tcW w:w="861" w:type="pct"/>
            <w:vAlign w:val="center"/>
          </w:tcPr>
          <w:p w14:paraId="6B389C56" w14:textId="77777777" w:rsidR="00ED50D9" w:rsidRPr="00DD6590" w:rsidRDefault="00ED50D9" w:rsidP="005A4DB1">
            <w:pPr>
              <w:pStyle w:val="ListParagraph"/>
              <w:spacing w:before="0" w:line="240" w:lineRule="auto"/>
              <w:ind w:left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D50D9" w:rsidRPr="00DD6590" w14:paraId="78A93F3C" w14:textId="77777777" w:rsidTr="00F747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254C8E69" w14:textId="77777777" w:rsidR="00ED50D9" w:rsidRPr="00DD6590" w:rsidRDefault="00ED50D9" w:rsidP="005A4DB1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15</w:t>
            </w:r>
          </w:p>
        </w:tc>
        <w:tc>
          <w:tcPr>
            <w:tcW w:w="507" w:type="pct"/>
            <w:vAlign w:val="center"/>
          </w:tcPr>
          <w:p w14:paraId="05001B81" w14:textId="1F15C59A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Rekonštrukcia križovatiek na cestách I. triedy III. etapa – I/76 Štúrovo </w:t>
            </w:r>
            <w:r w:rsidR="002A1D5E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Nánska</w:t>
            </w:r>
            <w:proofErr w:type="spellEnd"/>
          </w:p>
        </w:tc>
        <w:tc>
          <w:tcPr>
            <w:tcW w:w="434" w:type="pct"/>
            <w:shd w:val="clear" w:color="auto" w:fill="FFD653"/>
            <w:vAlign w:val="center"/>
          </w:tcPr>
          <w:p w14:paraId="702BD0AB" w14:textId="77777777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  <w:vAlign w:val="center"/>
          </w:tcPr>
          <w:p w14:paraId="5BF121C9" w14:textId="214A6A8E" w:rsidR="00ED50D9" w:rsidRPr="00DD6590" w:rsidRDefault="00ED50D9" w:rsidP="00F74775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en-US"/>
              </w:rPr>
              <w:t>2</w:t>
            </w:r>
            <w:r w:rsidR="00EF71AC" w:rsidRPr="00DD6590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  <w:lang w:val="en-US"/>
              </w:rPr>
              <w:t>247</w:t>
            </w:r>
            <w:r w:rsidR="00EF71AC" w:rsidRPr="00DD6590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393,</w:t>
            </w:r>
            <w:r w:rsidRPr="00DD6590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81 </w:t>
            </w:r>
            <w:r w:rsidR="004355A3">
              <w:rPr>
                <w:rFonts w:asciiTheme="minorHAnsi" w:hAnsiTheme="minorHAnsi"/>
                <w:sz w:val="16"/>
                <w:szCs w:val="16"/>
                <w:lang w:val="en-US"/>
              </w:rPr>
              <w:t>EUR</w:t>
            </w:r>
          </w:p>
        </w:tc>
        <w:tc>
          <w:tcPr>
            <w:tcW w:w="289" w:type="pct"/>
            <w:vAlign w:val="center"/>
          </w:tcPr>
          <w:p w14:paraId="4CAA0AFD" w14:textId="3EE6999C" w:rsidR="00ED50D9" w:rsidRPr="00DD6590" w:rsidRDefault="00ED50D9" w:rsidP="004355A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38</w:t>
            </w:r>
            <w:r w:rsidR="002A1D5E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68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25" w:type="pct"/>
            <w:vAlign w:val="center"/>
          </w:tcPr>
          <w:p w14:paraId="32746620" w14:textId="7B71CC53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90,91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5" w:type="pct"/>
            <w:vAlign w:val="center"/>
          </w:tcPr>
          <w:p w14:paraId="367EA7C7" w14:textId="57B87F77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70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5" w:type="pct"/>
            <w:vAlign w:val="center"/>
          </w:tcPr>
          <w:p w14:paraId="33F74214" w14:textId="2F9FCF36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P0015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rekonštruovaných alebo zrenovovaných ciest (I. triedy): 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2FAEC95E" w14:textId="20DD26C8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P0243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odstránených kritických nehodových lokalít a kolíznych bodov na cestách I. triedy: 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5F6FD54B" w14:textId="5F258A2A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P0580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zmodernizovaných križovatiek (na cestách I. triedy): 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0" w:type="pct"/>
            <w:vAlign w:val="center"/>
          </w:tcPr>
          <w:p w14:paraId="60567649" w14:textId="3E326059" w:rsidR="00ED50D9" w:rsidRPr="00DD6590" w:rsidRDefault="00E066EC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Pri realizácii projektu</w:t>
            </w:r>
            <w:r w:rsidR="00ED50D9" w:rsidRPr="00DD6590">
              <w:rPr>
                <w:rFonts w:asciiTheme="minorHAnsi" w:hAnsiTheme="minorHAnsi"/>
                <w:sz w:val="16"/>
                <w:szCs w:val="16"/>
              </w:rPr>
              <w:t xml:space="preserve"> došlo k omeškaniu o 2 mesiace z dôvodu kompletnej rekonštrukcie vodovodu na celej ulici. </w:t>
            </w:r>
          </w:p>
          <w:p w14:paraId="7004B8C4" w14:textId="77777777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Dá sa predpokladať, že projekt naplní cieľové hodnoty nastavených ukazovateľov výstupu.</w:t>
            </w:r>
          </w:p>
        </w:tc>
        <w:tc>
          <w:tcPr>
            <w:tcW w:w="861" w:type="pct"/>
            <w:vAlign w:val="center"/>
          </w:tcPr>
          <w:p w14:paraId="003126C7" w14:textId="2DA7102C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Dohliadnuť na plnenie ukazovateľov, a to hlavne ukazovateľa Celková dĺžka rekonštruovaných alebo zrenovovaných ciest (I. triedy)</w:t>
            </w:r>
          </w:p>
        </w:tc>
      </w:tr>
      <w:tr w:rsidR="00ED50D9" w:rsidRPr="00DD6590" w14:paraId="2930FCB1" w14:textId="77777777" w:rsidTr="00F74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0FEBE1AE" w14:textId="77777777" w:rsidR="00ED50D9" w:rsidRPr="00DD6590" w:rsidRDefault="00ED50D9" w:rsidP="005A4DB1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16</w:t>
            </w:r>
          </w:p>
        </w:tc>
        <w:tc>
          <w:tcPr>
            <w:tcW w:w="507" w:type="pct"/>
            <w:vAlign w:val="center"/>
          </w:tcPr>
          <w:p w14:paraId="673D7BE4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Modernizácia a rekonštrukcia mostov ciest I. triedy – 2. fáza</w:t>
            </w:r>
          </w:p>
        </w:tc>
        <w:tc>
          <w:tcPr>
            <w:tcW w:w="434" w:type="pct"/>
            <w:shd w:val="clear" w:color="auto" w:fill="FFD653"/>
            <w:vAlign w:val="center"/>
          </w:tcPr>
          <w:p w14:paraId="3CC6D60F" w14:textId="77777777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  <w:vAlign w:val="center"/>
          </w:tcPr>
          <w:p w14:paraId="330EDD6F" w14:textId="7D2439A7" w:rsidR="00ED50D9" w:rsidRPr="00DD6590" w:rsidRDefault="00ED50D9" w:rsidP="00F74775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17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885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006,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07 </w:t>
            </w:r>
            <w:r w:rsidR="004355A3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5C51B8F3" w14:textId="5CF2AA00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21,49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25" w:type="pct"/>
            <w:vAlign w:val="center"/>
          </w:tcPr>
          <w:p w14:paraId="46312302" w14:textId="64709864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75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5" w:type="pct"/>
            <w:vAlign w:val="center"/>
          </w:tcPr>
          <w:p w14:paraId="6618F0AC" w14:textId="4E931EBA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19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5" w:type="pct"/>
            <w:vAlign w:val="center"/>
          </w:tcPr>
          <w:p w14:paraId="65D5D45E" w14:textId="71C4BB6B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P0644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 cestnej doprave na cestách I. triedy: 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57410AD7" w14:textId="58BD1690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P0015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rekonštruovaných alebo zrenovovaných ciest (I. triedy): 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7549BB22" w14:textId="69178780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P0111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Percento fyzického pokroku z celkovej dĺžky novej a/alebo technicky zhodnotenej infraštruktúry: 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289D102C" w14:textId="46B616A3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P0243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odstránených kritických nehodových lokalít a kolíznych bodov na cestách I. triedy: 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0" w:type="pct"/>
            <w:vAlign w:val="center"/>
          </w:tcPr>
          <w:p w14:paraId="2C823589" w14:textId="7EC71DF5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Projekt nie je v súlade s harmonogramom </w:t>
            </w:r>
            <w:r w:rsidR="002A1D5E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Zmluva na práce je platná do 05/2019, nie je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však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možné práce ukončiť, </w:t>
            </w:r>
            <w:proofErr w:type="spellStart"/>
            <w:r w:rsidR="002A1D5E">
              <w:rPr>
                <w:rFonts w:asciiTheme="minorHAnsi" w:hAnsiTheme="minorHAnsi"/>
                <w:sz w:val="16"/>
                <w:szCs w:val="16"/>
              </w:rPr>
              <w:t>Ž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oNFP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do 11/2019, Poluvsie </w:t>
            </w:r>
            <w:r w:rsidR="002A1D5E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doba výstavby 6 mesiacov od odovzdania staveniska.</w:t>
            </w:r>
          </w:p>
          <w:p w14:paraId="1A4CA289" w14:textId="0CD5D919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Nie je možné v danom časovom harmonograme dokončiť stavbu mostov.</w:t>
            </w:r>
          </w:p>
          <w:p w14:paraId="09042C7A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1" w:type="pct"/>
            <w:vAlign w:val="center"/>
          </w:tcPr>
          <w:p w14:paraId="002AFB79" w14:textId="6C8E7E15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Je potrebné vypracovať dodatok k zmluve o NFP, ktorým sa predĺži realizácia projektu.</w:t>
            </w:r>
          </w:p>
          <w:p w14:paraId="0BFDF873" w14:textId="37D5406F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Dohliadnuť na plnenie ukazovateľov, a to hlavne ukazovateľa Celková dĺžka rekonštruovaných alebo zrenovovaných ciest (I. triedy)</w:t>
            </w:r>
          </w:p>
        </w:tc>
      </w:tr>
      <w:tr w:rsidR="00ED50D9" w:rsidRPr="00DD6590" w14:paraId="259370EF" w14:textId="77777777" w:rsidTr="00F747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575ADAE5" w14:textId="77777777" w:rsidR="00ED50D9" w:rsidRPr="00DD6590" w:rsidRDefault="00ED50D9" w:rsidP="005A4DB1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17</w:t>
            </w:r>
          </w:p>
        </w:tc>
        <w:tc>
          <w:tcPr>
            <w:tcW w:w="507" w:type="pct"/>
            <w:vAlign w:val="center"/>
          </w:tcPr>
          <w:p w14:paraId="538C7485" w14:textId="77777777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Štúdie realizovateľnosti projektov ciest I. triedy v ZA a TN kraji</w:t>
            </w:r>
          </w:p>
        </w:tc>
        <w:tc>
          <w:tcPr>
            <w:tcW w:w="434" w:type="pct"/>
            <w:shd w:val="clear" w:color="auto" w:fill="D0EC9F"/>
            <w:vAlign w:val="center"/>
          </w:tcPr>
          <w:p w14:paraId="4E5EF512" w14:textId="77777777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  <w:vAlign w:val="center"/>
          </w:tcPr>
          <w:p w14:paraId="2BEC9CD1" w14:textId="0B15A2B1" w:rsidR="00ED50D9" w:rsidRPr="00DD6590" w:rsidRDefault="00ED50D9" w:rsidP="00F74775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590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470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86 </w:t>
            </w:r>
            <w:r w:rsidR="004355A3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2F48B945" w14:textId="3187D9C6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9,31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25" w:type="pct"/>
            <w:vAlign w:val="center"/>
          </w:tcPr>
          <w:p w14:paraId="13F86083" w14:textId="43BA5B5E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73,53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5" w:type="pct"/>
            <w:vAlign w:val="center"/>
          </w:tcPr>
          <w:p w14:paraId="3A9B5044" w14:textId="5F500834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60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5" w:type="pct"/>
            <w:vAlign w:val="center"/>
          </w:tcPr>
          <w:p w14:paraId="73630FE6" w14:textId="580F14E6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P0366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realizovaných dokumentácií, analýz, štúdií a správ v súvislosti s prípravou, implementáciou, monitorovaním a hodnotením projektu: 50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0" w:type="pct"/>
            <w:vAlign w:val="center"/>
          </w:tcPr>
          <w:p w14:paraId="3A65EA88" w14:textId="77777777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realizovaný v súlade s harmonogramom.</w:t>
            </w:r>
          </w:p>
          <w:p w14:paraId="72E34689" w14:textId="5C4D10B3" w:rsidR="00ED50D9" w:rsidRPr="00DD6590" w:rsidRDefault="00ED50D9" w:rsidP="00DB39FE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Dá sa predpokladať, že projekt naplní </w:t>
            </w:r>
            <w:r w:rsidR="00DB39FE" w:rsidRPr="00DD6590">
              <w:rPr>
                <w:rFonts w:asciiTheme="minorHAnsi" w:hAnsiTheme="minorHAnsi"/>
                <w:sz w:val="16"/>
                <w:szCs w:val="16"/>
              </w:rPr>
              <w:t xml:space="preserve">cieľovú hodnotu nastaveného ukazovateľa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výstupu.</w:t>
            </w:r>
          </w:p>
        </w:tc>
        <w:tc>
          <w:tcPr>
            <w:tcW w:w="861" w:type="pct"/>
            <w:vAlign w:val="center"/>
          </w:tcPr>
          <w:p w14:paraId="1415DB86" w14:textId="77777777" w:rsidR="00ED50D9" w:rsidRPr="00DD6590" w:rsidRDefault="00ED50D9" w:rsidP="005A4DB1">
            <w:pPr>
              <w:pStyle w:val="ListParagraph"/>
              <w:spacing w:before="0" w:line="240" w:lineRule="auto"/>
              <w:ind w:left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D50D9" w:rsidRPr="00DD6590" w14:paraId="2F6F88FD" w14:textId="77777777" w:rsidTr="00F74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24603EB8" w14:textId="77777777" w:rsidR="00ED50D9" w:rsidRPr="00DD6590" w:rsidRDefault="00ED50D9" w:rsidP="005A4DB1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18</w:t>
            </w:r>
          </w:p>
        </w:tc>
        <w:tc>
          <w:tcPr>
            <w:tcW w:w="507" w:type="pct"/>
            <w:vAlign w:val="center"/>
          </w:tcPr>
          <w:p w14:paraId="1B52CDAC" w14:textId="7A668B1A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Rekonštrukcia križovatiek na cestách I.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triedy III.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etapa v PO kraji</w:t>
            </w:r>
          </w:p>
        </w:tc>
        <w:tc>
          <w:tcPr>
            <w:tcW w:w="434" w:type="pct"/>
            <w:shd w:val="clear" w:color="auto" w:fill="FFD653"/>
            <w:vAlign w:val="center"/>
          </w:tcPr>
          <w:p w14:paraId="52A8F522" w14:textId="77777777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  <w:vAlign w:val="center"/>
          </w:tcPr>
          <w:p w14:paraId="36D0F54A" w14:textId="55A1A906" w:rsidR="00ED50D9" w:rsidRPr="00DD6590" w:rsidRDefault="00ED50D9" w:rsidP="00F74775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437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483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67 </w:t>
            </w:r>
            <w:r w:rsidR="004355A3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095EECDB" w14:textId="1C5791AD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39,21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25" w:type="pct"/>
            <w:vAlign w:val="center"/>
          </w:tcPr>
          <w:p w14:paraId="19B1404A" w14:textId="667C6B11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80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5" w:type="pct"/>
            <w:vAlign w:val="center"/>
          </w:tcPr>
          <w:p w14:paraId="3FFC093C" w14:textId="4E24677B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20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5" w:type="pct"/>
            <w:vAlign w:val="center"/>
          </w:tcPr>
          <w:p w14:paraId="42FB1F09" w14:textId="35DE337B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P0015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rekonštruovaných alebo zrenovovaných ciest (I. triedy): 18,94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36E266C0" w14:textId="2869C988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P0243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odstránených kritických nehodových lokalít a kolíznych bodov na cestách I. triedy: 33,33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0" w:type="pct"/>
            <w:vAlign w:val="center"/>
          </w:tcPr>
          <w:p w14:paraId="268C9C5B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realizovaný v súlade s harmonogramom.</w:t>
            </w:r>
          </w:p>
          <w:p w14:paraId="7B572945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Dá sa predpokladať, že projekt naplní cieľové hodnoty nastavených ukazovateľov výstupu.</w:t>
            </w:r>
          </w:p>
        </w:tc>
        <w:tc>
          <w:tcPr>
            <w:tcW w:w="861" w:type="pct"/>
            <w:vAlign w:val="center"/>
          </w:tcPr>
          <w:p w14:paraId="59D73094" w14:textId="7D6523B2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Dohliadnuť na plnenie ukazovateľov, a to hlavne ukazovateľa Celková dĺžka rekonštruovaných alebo zrenovovaných ciest (I. triedy)</w:t>
            </w:r>
          </w:p>
        </w:tc>
      </w:tr>
      <w:tr w:rsidR="00ED50D9" w:rsidRPr="00DD6590" w14:paraId="400AE5AC" w14:textId="77777777" w:rsidTr="00F747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64E728FA" w14:textId="77777777" w:rsidR="00ED50D9" w:rsidRPr="00DD6590" w:rsidRDefault="00ED50D9" w:rsidP="005A4DB1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19</w:t>
            </w:r>
          </w:p>
        </w:tc>
        <w:tc>
          <w:tcPr>
            <w:tcW w:w="507" w:type="pct"/>
            <w:vAlign w:val="center"/>
          </w:tcPr>
          <w:p w14:paraId="131BDB36" w14:textId="77777777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Štúdie realizovateľnosti projektov ciest I.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triedy v KE a PO kraji</w:t>
            </w:r>
          </w:p>
        </w:tc>
        <w:tc>
          <w:tcPr>
            <w:tcW w:w="434" w:type="pct"/>
            <w:shd w:val="clear" w:color="auto" w:fill="D0EC9F"/>
            <w:vAlign w:val="center"/>
          </w:tcPr>
          <w:p w14:paraId="2EB558AC" w14:textId="77777777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  <w:vAlign w:val="center"/>
          </w:tcPr>
          <w:p w14:paraId="7E177ED8" w14:textId="2C1753D5" w:rsidR="00ED50D9" w:rsidRPr="00DD6590" w:rsidRDefault="00ED50D9" w:rsidP="00F74775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884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753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71 </w:t>
            </w:r>
            <w:r w:rsidR="004355A3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666A25CB" w14:textId="65A2C0A2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65,53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25" w:type="pct"/>
            <w:vAlign w:val="center"/>
          </w:tcPr>
          <w:p w14:paraId="1138CA5F" w14:textId="2FC4F6B9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85,71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5" w:type="pct"/>
            <w:vAlign w:val="center"/>
          </w:tcPr>
          <w:p w14:paraId="4AB84806" w14:textId="3239D1F4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75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5" w:type="pct"/>
            <w:vAlign w:val="center"/>
          </w:tcPr>
          <w:p w14:paraId="1AAFD9C9" w14:textId="15F7E913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P0366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realizovaných dokumentácií, analýz, štúdií a správ v súvislosti s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prípravou, implementáciou, monitorovaním a hodnotením projektu: 75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0" w:type="pct"/>
            <w:vAlign w:val="center"/>
          </w:tcPr>
          <w:p w14:paraId="6742B20F" w14:textId="77777777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Projekt je realizovaný v súlade s harmonogramom.</w:t>
            </w:r>
          </w:p>
          <w:p w14:paraId="04B5D294" w14:textId="3134344E" w:rsidR="00ED50D9" w:rsidRPr="00DD6590" w:rsidRDefault="00ED50D9" w:rsidP="00DB39FE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Dá sa predpokladať, že projekt naplní </w:t>
            </w:r>
            <w:r w:rsidR="00DB39FE" w:rsidRPr="00DD6590">
              <w:rPr>
                <w:rFonts w:asciiTheme="minorHAnsi" w:hAnsiTheme="minorHAnsi"/>
                <w:sz w:val="16"/>
                <w:szCs w:val="16"/>
              </w:rPr>
              <w:t xml:space="preserve">cieľovú hodnotu nastaveného ukazovateľa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výstupu.</w:t>
            </w:r>
          </w:p>
        </w:tc>
        <w:tc>
          <w:tcPr>
            <w:tcW w:w="861" w:type="pct"/>
            <w:vAlign w:val="center"/>
          </w:tcPr>
          <w:p w14:paraId="4E5C252C" w14:textId="77777777" w:rsidR="00ED50D9" w:rsidRPr="00DD6590" w:rsidRDefault="00ED50D9" w:rsidP="005A4DB1">
            <w:pPr>
              <w:pStyle w:val="ListParagraph"/>
              <w:spacing w:before="0" w:line="240" w:lineRule="auto"/>
              <w:ind w:left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D50D9" w:rsidRPr="00DD6590" w14:paraId="20A3387E" w14:textId="77777777" w:rsidTr="00F74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7D19C568" w14:textId="77777777" w:rsidR="00ED50D9" w:rsidRPr="00DD6590" w:rsidRDefault="00ED50D9" w:rsidP="005A4DB1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20</w:t>
            </w:r>
          </w:p>
        </w:tc>
        <w:tc>
          <w:tcPr>
            <w:tcW w:w="507" w:type="pct"/>
            <w:vAlign w:val="center"/>
          </w:tcPr>
          <w:p w14:paraId="60B72363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I/66 Ždiar, riešenie bezpečnosti a odvodnenia vozovky</w:t>
            </w:r>
          </w:p>
        </w:tc>
        <w:tc>
          <w:tcPr>
            <w:tcW w:w="434" w:type="pct"/>
            <w:shd w:val="clear" w:color="auto" w:fill="FFD653"/>
            <w:vAlign w:val="center"/>
          </w:tcPr>
          <w:p w14:paraId="6CD56980" w14:textId="77777777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  <w:vAlign w:val="center"/>
          </w:tcPr>
          <w:p w14:paraId="523D39DA" w14:textId="62B53772" w:rsidR="00ED50D9" w:rsidRPr="00DD6590" w:rsidRDefault="00ED50D9" w:rsidP="00F74775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2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549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418,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18 </w:t>
            </w:r>
            <w:r w:rsidR="004355A3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11E13ED5" w14:textId="4AF34ADF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0,0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25" w:type="pct"/>
            <w:vAlign w:val="center"/>
          </w:tcPr>
          <w:p w14:paraId="093434AB" w14:textId="728C3289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85,71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5" w:type="pct"/>
            <w:vAlign w:val="center"/>
          </w:tcPr>
          <w:p w14:paraId="32D53BF2" w14:textId="077BB6B2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 w:rsidR="002A1D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5" w:type="pct"/>
            <w:vAlign w:val="center"/>
          </w:tcPr>
          <w:p w14:paraId="396972C1" w14:textId="5D1CFD6F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P0015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rekonštruovaných alebo zrenovovaných ciest (I. triedy): 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1D6426AA" w14:textId="3C33702E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P0243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odstránených kritických nehodových lokalít a kolíznych bodov na cestách I. triedy: 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0" w:type="pct"/>
            <w:vAlign w:val="center"/>
          </w:tcPr>
          <w:p w14:paraId="262C055A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realizovaný v súlade s harmonogramom.</w:t>
            </w:r>
          </w:p>
          <w:p w14:paraId="01D60D04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Dá sa predpokladať, že projekt naplní cieľové hodnoty nastavených ukazovateľov výstupu.</w:t>
            </w:r>
          </w:p>
          <w:p w14:paraId="0BBDF23A" w14:textId="68A7133A" w:rsidR="00ED50D9" w:rsidRPr="00DD6590" w:rsidRDefault="00ED50D9" w:rsidP="004355A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Dôvodom úpravy lehoty výstavby sú nepredvídateľné okolnosti, ktoré nastali na stavenisku stavby a na prístupových komunikáciách </w:t>
            </w:r>
            <w:r w:rsidR="00B57B5A">
              <w:rPr>
                <w:rFonts w:asciiTheme="minorHAnsi" w:hAnsiTheme="minorHAnsi"/>
                <w:sz w:val="16"/>
                <w:szCs w:val="16"/>
              </w:rPr>
              <w:t xml:space="preserve">vedúcich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na stavenisko stavby počas realizácie stavebných prác. </w:t>
            </w:r>
            <w:r w:rsidR="00B57B5A">
              <w:rPr>
                <w:rFonts w:asciiTheme="minorHAnsi" w:hAnsiTheme="minorHAnsi"/>
                <w:sz w:val="16"/>
                <w:szCs w:val="16"/>
              </w:rPr>
              <w:t xml:space="preserve">Ide o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mimoriadnu situáciu vyhlásenú na ceste I/66 počas realizácie stavebných prác (obmedzenie maximálnej hmotnosti vozidiel na prístupových mostných objektoch) spôsobenú mimoriadnymi povodňovými aktivitami a poškodením mostných objektov na ceste I/66.</w:t>
            </w:r>
          </w:p>
        </w:tc>
        <w:tc>
          <w:tcPr>
            <w:tcW w:w="861" w:type="pct"/>
            <w:vAlign w:val="center"/>
          </w:tcPr>
          <w:p w14:paraId="11024F27" w14:textId="6C99773A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Dohliadnuť na plnenie ukazovateľov, a to hlavne ukazovateľa Celková dĺžka rekonštruovaných alebo zrenovovaných ciest (I. triedy)</w:t>
            </w:r>
          </w:p>
        </w:tc>
      </w:tr>
      <w:tr w:rsidR="00ED50D9" w:rsidRPr="00DD6590" w14:paraId="6E039FE6" w14:textId="77777777" w:rsidTr="00F747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30BB003F" w14:textId="77777777" w:rsidR="00ED50D9" w:rsidRPr="00DD6590" w:rsidRDefault="00ED50D9" w:rsidP="005A4DB1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21</w:t>
            </w:r>
          </w:p>
        </w:tc>
        <w:tc>
          <w:tcPr>
            <w:tcW w:w="507" w:type="pct"/>
            <w:vAlign w:val="center"/>
          </w:tcPr>
          <w:p w14:paraId="11053124" w14:textId="77777777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Výstavba a zlepšenie bezpečnostných parametrov mostov na cestách I. triedy 1. etapa v PO a KE kraji</w:t>
            </w:r>
          </w:p>
        </w:tc>
        <w:tc>
          <w:tcPr>
            <w:tcW w:w="434" w:type="pct"/>
            <w:shd w:val="clear" w:color="auto" w:fill="FFD653"/>
            <w:vAlign w:val="center"/>
          </w:tcPr>
          <w:p w14:paraId="0F3AEF69" w14:textId="77777777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  <w:vAlign w:val="center"/>
          </w:tcPr>
          <w:p w14:paraId="62FF4940" w14:textId="567FE022" w:rsidR="00ED50D9" w:rsidRPr="00DD6590" w:rsidRDefault="00ED50D9" w:rsidP="00F74775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5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178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413</w:t>
            </w:r>
            <w:r w:rsidR="00EF71AC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71 </w:t>
            </w:r>
            <w:r w:rsidR="004355A3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76AA03FC" w14:textId="053C4E76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0,0</w:t>
            </w:r>
            <w:r w:rsidR="00B57B5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25" w:type="pct"/>
            <w:vAlign w:val="center"/>
          </w:tcPr>
          <w:p w14:paraId="7367DA12" w14:textId="759AB6FE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80</w:t>
            </w:r>
            <w:r w:rsidR="00B57B5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5" w:type="pct"/>
            <w:vAlign w:val="center"/>
          </w:tcPr>
          <w:p w14:paraId="7225EABC" w14:textId="4B6B1BF8" w:rsidR="00ED50D9" w:rsidRPr="00DD6590" w:rsidRDefault="00ED50D9" w:rsidP="005A4DB1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 w:rsidR="00B57B5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5" w:type="pct"/>
            <w:vAlign w:val="center"/>
          </w:tcPr>
          <w:p w14:paraId="33AB146D" w14:textId="02C66022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P0015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rekonštruovaných alebo zrenovovaných ciest (I. triedy): 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53B6341" w14:textId="0F629B6C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P0243 </w:t>
            </w:r>
            <w:r w:rsidR="00B657CB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odstránených kritických nehodových lokalít a kolíznych bodov na cestách I. triedy: 0</w:t>
            </w:r>
            <w:r w:rsidR="00B657C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00" w:type="pct"/>
            <w:vAlign w:val="center"/>
          </w:tcPr>
          <w:p w14:paraId="125B7D4C" w14:textId="1EC59EBF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Na projekte začínajú s realizáci</w:t>
            </w:r>
            <w:r w:rsidR="00DB39FE" w:rsidRPr="00DD6590">
              <w:rPr>
                <w:rFonts w:asciiTheme="minorHAnsi" w:hAnsiTheme="minorHAnsi"/>
                <w:sz w:val="16"/>
                <w:szCs w:val="16"/>
              </w:rPr>
              <w:t>o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u stavebných prác.</w:t>
            </w:r>
          </w:p>
          <w:p w14:paraId="5AE2876D" w14:textId="77777777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Podľa informácií od projektového manažéra by mal byť projekt realizovaný v súlade s harmonogramom. </w:t>
            </w:r>
          </w:p>
          <w:p w14:paraId="3F7250FE" w14:textId="77777777" w:rsidR="00ED50D9" w:rsidRPr="00DD6590" w:rsidRDefault="00ED50D9" w:rsidP="005A4DB1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Dá sa predpokladať, že projekt naplní cieľové hodnoty nastavených ukazovateľov výstupu.</w:t>
            </w:r>
          </w:p>
        </w:tc>
        <w:tc>
          <w:tcPr>
            <w:tcW w:w="861" w:type="pct"/>
            <w:vAlign w:val="center"/>
          </w:tcPr>
          <w:p w14:paraId="1F99E56F" w14:textId="77777777" w:rsidR="00ED50D9" w:rsidRPr="00DD6590" w:rsidRDefault="00ED50D9" w:rsidP="005A4DB1">
            <w:pPr>
              <w:pStyle w:val="ListParagraph"/>
              <w:spacing w:before="0" w:line="240" w:lineRule="auto"/>
              <w:ind w:left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D50D9" w:rsidRPr="00DD6590" w14:paraId="13B53D05" w14:textId="77777777" w:rsidTr="00ED5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shd w:val="clear" w:color="auto" w:fill="E7F5CF" w:themeFill="accent1" w:themeFillTint="33"/>
            <w:vAlign w:val="center"/>
          </w:tcPr>
          <w:p w14:paraId="1C1A2CD3" w14:textId="77777777" w:rsidR="00ED50D9" w:rsidRPr="00DD6590" w:rsidRDefault="00ED50D9" w:rsidP="005A4DB1">
            <w:pPr>
              <w:spacing w:before="0" w:line="240" w:lineRule="auto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07" w:type="pct"/>
            <w:shd w:val="clear" w:color="auto" w:fill="E7F5CF" w:themeFill="accent1" w:themeFillTint="33"/>
            <w:vAlign w:val="center"/>
          </w:tcPr>
          <w:p w14:paraId="33364E47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Celkom</w:t>
            </w:r>
          </w:p>
        </w:tc>
        <w:tc>
          <w:tcPr>
            <w:tcW w:w="434" w:type="pct"/>
            <w:shd w:val="clear" w:color="auto" w:fill="E7F5CF" w:themeFill="accent1" w:themeFillTint="33"/>
            <w:vAlign w:val="center"/>
          </w:tcPr>
          <w:p w14:paraId="4565D967" w14:textId="77777777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96" w:type="pct"/>
            <w:shd w:val="clear" w:color="auto" w:fill="E7F5CF" w:themeFill="accent1" w:themeFillTint="33"/>
            <w:vAlign w:val="center"/>
          </w:tcPr>
          <w:p w14:paraId="6F521590" w14:textId="54F13203" w:rsidR="00ED50D9" w:rsidRPr="00DD6590" w:rsidRDefault="00ED50D9" w:rsidP="00EF71AC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177</w:t>
            </w:r>
            <w:r w:rsidR="00EF71AC" w:rsidRPr="00DD6590">
              <w:rPr>
                <w:rFonts w:asciiTheme="minorHAnsi" w:hAnsiTheme="minorHAnsi"/>
                <w:b/>
                <w:sz w:val="16"/>
                <w:szCs w:val="16"/>
              </w:rPr>
              <w:t xml:space="preserve"> 478 </w:t>
            </w: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331</w:t>
            </w:r>
            <w:r w:rsidR="00EF71AC" w:rsidRPr="00DD6590">
              <w:rPr>
                <w:rFonts w:asciiTheme="minorHAnsi" w:hAnsiTheme="minorHAnsi"/>
                <w:b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 xml:space="preserve">98 </w:t>
            </w:r>
            <w:r w:rsidR="004355A3">
              <w:rPr>
                <w:rFonts w:asciiTheme="minorHAnsi" w:hAnsiTheme="minorHAnsi"/>
                <w:b/>
                <w:sz w:val="16"/>
                <w:szCs w:val="16"/>
              </w:rPr>
              <w:t>EUR</w:t>
            </w:r>
          </w:p>
        </w:tc>
        <w:tc>
          <w:tcPr>
            <w:tcW w:w="289" w:type="pct"/>
            <w:shd w:val="clear" w:color="auto" w:fill="E7F5CF" w:themeFill="accent1" w:themeFillTint="33"/>
            <w:vAlign w:val="center"/>
          </w:tcPr>
          <w:p w14:paraId="3B122AA7" w14:textId="34DC0710" w:rsidR="00ED50D9" w:rsidRPr="00DD6590" w:rsidRDefault="00ED50D9" w:rsidP="00EF71AC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70</w:t>
            </w:r>
            <w:r w:rsidR="00EF71AC" w:rsidRPr="00DD6590">
              <w:rPr>
                <w:rFonts w:asciiTheme="minorHAnsi" w:hAnsiTheme="minorHAnsi"/>
                <w:b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27</w:t>
            </w:r>
            <w:r w:rsidR="00B657C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%</w:t>
            </w:r>
          </w:p>
        </w:tc>
        <w:tc>
          <w:tcPr>
            <w:tcW w:w="325" w:type="pct"/>
            <w:shd w:val="clear" w:color="auto" w:fill="E7F5CF" w:themeFill="accent1" w:themeFillTint="33"/>
            <w:vAlign w:val="center"/>
          </w:tcPr>
          <w:p w14:paraId="42FB0D87" w14:textId="77777777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55" w:type="pct"/>
            <w:shd w:val="clear" w:color="auto" w:fill="E7F5CF" w:themeFill="accent1" w:themeFillTint="33"/>
            <w:vAlign w:val="center"/>
          </w:tcPr>
          <w:p w14:paraId="3442CB1C" w14:textId="77777777" w:rsidR="00ED50D9" w:rsidRPr="00DD6590" w:rsidRDefault="00ED50D9" w:rsidP="005A4DB1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05" w:type="pct"/>
            <w:shd w:val="clear" w:color="auto" w:fill="E7F5CF" w:themeFill="accent1" w:themeFillTint="33"/>
            <w:vAlign w:val="center"/>
          </w:tcPr>
          <w:p w14:paraId="0176CD90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00" w:type="pct"/>
            <w:shd w:val="clear" w:color="auto" w:fill="E7F5CF" w:themeFill="accent1" w:themeFillTint="33"/>
            <w:vAlign w:val="center"/>
          </w:tcPr>
          <w:p w14:paraId="45B8BF5D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61" w:type="pct"/>
            <w:shd w:val="clear" w:color="auto" w:fill="E7F5CF" w:themeFill="accent1" w:themeFillTint="33"/>
            <w:vAlign w:val="center"/>
          </w:tcPr>
          <w:p w14:paraId="5B923983" w14:textId="77777777" w:rsidR="00ED50D9" w:rsidRPr="00DD6590" w:rsidRDefault="00ED50D9" w:rsidP="005A4DB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</w:tbl>
    <w:p w14:paraId="2AF2A7E8" w14:textId="77777777" w:rsidR="00ED50D9" w:rsidRPr="00DD6590" w:rsidRDefault="00ED50D9" w:rsidP="00ED50D9">
      <w:pPr>
        <w:pStyle w:val="ListParagraph"/>
        <w:contextualSpacing/>
        <w:rPr>
          <w:rFonts w:asciiTheme="majorHAnsi" w:hAnsiTheme="majorHAnsi"/>
          <w:szCs w:val="18"/>
        </w:rPr>
        <w:sectPr w:rsidR="00ED50D9" w:rsidRPr="00DD6590" w:rsidSect="00654A4E">
          <w:pgSz w:w="16838" w:h="11906" w:orient="landscape" w:code="9"/>
          <w:pgMar w:top="1411" w:right="1987" w:bottom="1138" w:left="1138" w:header="677" w:footer="562" w:gutter="0"/>
          <w:cols w:space="9"/>
          <w:docGrid w:linePitch="360"/>
        </w:sectPr>
      </w:pPr>
    </w:p>
    <w:p w14:paraId="3A2046E0" w14:textId="77777777" w:rsidR="00ED50D9" w:rsidRPr="00DD6590" w:rsidRDefault="00ED50D9" w:rsidP="00B0035E">
      <w:pPr>
        <w:pStyle w:val="Heading2"/>
      </w:pPr>
      <w:bookmarkStart w:id="12" w:name="_Toc9350290"/>
      <w:r w:rsidRPr="00DD6590">
        <w:lastRenderedPageBreak/>
        <w:t>Vyhodnotenie plnenia výstupových, výsledkových a finančných ukazovateľov v rámci PO</w:t>
      </w:r>
      <w:bookmarkEnd w:id="12"/>
    </w:p>
    <w:p w14:paraId="034BBFD1" w14:textId="77777777" w:rsidR="00ED50D9" w:rsidRPr="00DD6590" w:rsidRDefault="00ED50D9" w:rsidP="00ED50D9">
      <w:pPr>
        <w:rPr>
          <w:i/>
          <w:u w:val="single"/>
        </w:rPr>
      </w:pPr>
      <w:r w:rsidRPr="00DD6590">
        <w:rPr>
          <w:i/>
          <w:u w:val="single"/>
        </w:rPr>
        <w:t>Vyhodnotenie ukazovateľov výsledku</w:t>
      </w:r>
    </w:p>
    <w:p w14:paraId="535FEAE6" w14:textId="62BCA22C" w:rsidR="00ED50D9" w:rsidRPr="00DD6590" w:rsidRDefault="00ED50D9" w:rsidP="00ED50D9">
      <w:pPr>
        <w:pStyle w:val="Caption"/>
      </w:pPr>
      <w:bookmarkStart w:id="13" w:name="_Toc8805496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5F4669">
        <w:rPr>
          <w:noProof/>
        </w:rPr>
        <w:t>5</w:t>
      </w:r>
      <w:r w:rsidRPr="00DD6590">
        <w:fldChar w:fldCharType="end"/>
      </w:r>
      <w:r w:rsidRPr="00DD6590">
        <w:t xml:space="preserve"> Vyhodnotenie ukazovateľov výsledku PO6</w:t>
      </w:r>
      <w:bookmarkEnd w:id="13"/>
    </w:p>
    <w:tbl>
      <w:tblPr>
        <w:tblStyle w:val="TableGrid"/>
        <w:tblW w:w="14983" w:type="dxa"/>
        <w:tblInd w:w="-26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610"/>
        <w:gridCol w:w="1440"/>
        <w:gridCol w:w="1350"/>
        <w:gridCol w:w="1350"/>
        <w:gridCol w:w="1440"/>
        <w:gridCol w:w="1170"/>
        <w:gridCol w:w="1080"/>
        <w:gridCol w:w="4089"/>
      </w:tblGrid>
      <w:tr w:rsidR="00ED50D9" w:rsidRPr="00DD6590" w14:paraId="01F840E3" w14:textId="77777777" w:rsidTr="00E066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94"/>
        </w:trPr>
        <w:tc>
          <w:tcPr>
            <w:tcW w:w="454" w:type="dxa"/>
            <w:shd w:val="clear" w:color="auto" w:fill="DBDCDE" w:themeFill="text2" w:themeFillTint="33"/>
            <w:vAlign w:val="center"/>
          </w:tcPr>
          <w:p w14:paraId="0C0A707F" w14:textId="77777777" w:rsidR="00ED50D9" w:rsidRPr="00DD6590" w:rsidRDefault="00ED50D9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proofErr w:type="spellStart"/>
            <w:r w:rsidRPr="00DD6590">
              <w:rPr>
                <w:b/>
                <w:sz w:val="16"/>
                <w:szCs w:val="16"/>
              </w:rPr>
              <w:t>P.č</w:t>
            </w:r>
            <w:proofErr w:type="spellEnd"/>
            <w:r w:rsidRPr="00DD6590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610" w:type="dxa"/>
            <w:shd w:val="clear" w:color="auto" w:fill="DBDCDE" w:themeFill="text2" w:themeFillTint="33"/>
            <w:vAlign w:val="center"/>
          </w:tcPr>
          <w:p w14:paraId="078A7B21" w14:textId="77777777" w:rsidR="00ED50D9" w:rsidRPr="00DD6590" w:rsidRDefault="00ED50D9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Špecifické ukazovatele výsledku programu zodpovedajúce špecifickému cieľu</w:t>
            </w:r>
          </w:p>
        </w:tc>
        <w:tc>
          <w:tcPr>
            <w:tcW w:w="1440" w:type="dxa"/>
            <w:shd w:val="clear" w:color="auto" w:fill="DBDCDE" w:themeFill="text2" w:themeFillTint="33"/>
            <w:vAlign w:val="center"/>
          </w:tcPr>
          <w:p w14:paraId="66A253EE" w14:textId="77777777" w:rsidR="00ED50D9" w:rsidRPr="00DD6590" w:rsidRDefault="00ED50D9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Východisková hodnota (2013)</w:t>
            </w:r>
          </w:p>
        </w:tc>
        <w:tc>
          <w:tcPr>
            <w:tcW w:w="1350" w:type="dxa"/>
            <w:shd w:val="clear" w:color="auto" w:fill="DBDCDE" w:themeFill="text2" w:themeFillTint="33"/>
            <w:vAlign w:val="center"/>
          </w:tcPr>
          <w:p w14:paraId="7C7AAFD2" w14:textId="0E67E728" w:rsidR="00ED50D9" w:rsidRPr="00DD6590" w:rsidRDefault="00ED50D9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Cieľová hodnota</w:t>
            </w:r>
            <w:r w:rsidR="000F37D4" w:rsidRPr="00DD6590">
              <w:rPr>
                <w:b/>
                <w:sz w:val="16"/>
                <w:szCs w:val="16"/>
              </w:rPr>
              <w:t xml:space="preserve"> OPII</w:t>
            </w:r>
            <w:r w:rsidRPr="00DD6590">
              <w:rPr>
                <w:b/>
                <w:sz w:val="16"/>
                <w:szCs w:val="16"/>
              </w:rPr>
              <w:t xml:space="preserve"> (2023)</w:t>
            </w:r>
          </w:p>
        </w:tc>
        <w:tc>
          <w:tcPr>
            <w:tcW w:w="1350" w:type="dxa"/>
            <w:shd w:val="clear" w:color="auto" w:fill="DBDCDE" w:themeFill="text2" w:themeFillTint="33"/>
            <w:vAlign w:val="center"/>
          </w:tcPr>
          <w:p w14:paraId="638111E6" w14:textId="44187B46" w:rsidR="00B57B5A" w:rsidRDefault="000F37D4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Plánovaná ú</w:t>
            </w:r>
            <w:r w:rsidR="00ED50D9" w:rsidRPr="00DD6590">
              <w:rPr>
                <w:b/>
                <w:sz w:val="16"/>
                <w:szCs w:val="16"/>
              </w:rPr>
              <w:t>spora/</w:t>
            </w:r>
          </w:p>
          <w:p w14:paraId="73EB7A89" w14:textId="5761F1AB" w:rsidR="00ED50D9" w:rsidRPr="00DD6590" w:rsidRDefault="00ED50D9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rozdiel </w:t>
            </w:r>
            <w:r w:rsidRPr="00DD6590">
              <w:rPr>
                <w:b/>
                <w:sz w:val="16"/>
                <w:szCs w:val="16"/>
              </w:rPr>
              <w:br/>
              <w:t>(2013-2023)</w:t>
            </w:r>
          </w:p>
        </w:tc>
        <w:tc>
          <w:tcPr>
            <w:tcW w:w="1440" w:type="dxa"/>
            <w:shd w:val="clear" w:color="auto" w:fill="DBDCDE" w:themeFill="text2" w:themeFillTint="33"/>
            <w:vAlign w:val="center"/>
          </w:tcPr>
          <w:p w14:paraId="2BC8D374" w14:textId="77777777" w:rsidR="00ED50D9" w:rsidRPr="00DD6590" w:rsidRDefault="00ED50D9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Cieľové hodnoty projektov </w:t>
            </w:r>
            <w:r w:rsidRPr="00DD6590">
              <w:rPr>
                <w:b/>
                <w:sz w:val="16"/>
                <w:szCs w:val="16"/>
              </w:rPr>
              <w:br/>
              <w:t>v realizácii</w:t>
            </w:r>
          </w:p>
        </w:tc>
        <w:tc>
          <w:tcPr>
            <w:tcW w:w="1170" w:type="dxa"/>
            <w:shd w:val="clear" w:color="auto" w:fill="DBDCDE" w:themeFill="text2" w:themeFillTint="33"/>
            <w:vAlign w:val="center"/>
          </w:tcPr>
          <w:p w14:paraId="5264E261" w14:textId="77777777" w:rsidR="00ED50D9" w:rsidRPr="00DD6590" w:rsidRDefault="00ED50D9" w:rsidP="00527BCC">
            <w:pPr>
              <w:spacing w:before="60" w:after="0" w:line="240" w:lineRule="auto"/>
              <w:ind w:left="68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Hodnotenie</w:t>
            </w:r>
          </w:p>
        </w:tc>
        <w:tc>
          <w:tcPr>
            <w:tcW w:w="1080" w:type="dxa"/>
            <w:shd w:val="clear" w:color="auto" w:fill="DBDCDE" w:themeFill="text2" w:themeFillTint="33"/>
            <w:vAlign w:val="center"/>
          </w:tcPr>
          <w:p w14:paraId="034D89E5" w14:textId="77777777" w:rsidR="00ED50D9" w:rsidRPr="00DD6590" w:rsidRDefault="00ED50D9" w:rsidP="00527BCC">
            <w:pPr>
              <w:spacing w:before="60" w:after="0" w:line="240" w:lineRule="auto"/>
              <w:ind w:left="68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Počet projektov</w:t>
            </w:r>
          </w:p>
        </w:tc>
        <w:tc>
          <w:tcPr>
            <w:tcW w:w="4089" w:type="dxa"/>
            <w:shd w:val="clear" w:color="auto" w:fill="DBDCDE" w:themeFill="text2" w:themeFillTint="33"/>
            <w:vAlign w:val="center"/>
          </w:tcPr>
          <w:p w14:paraId="50AFC3D2" w14:textId="77777777" w:rsidR="00ED50D9" w:rsidRPr="00DD6590" w:rsidRDefault="00ED50D9" w:rsidP="00527BCC">
            <w:pPr>
              <w:spacing w:before="60" w:after="0" w:line="240" w:lineRule="auto"/>
              <w:ind w:left="68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Hlavné zistenia a odporúčania</w:t>
            </w:r>
          </w:p>
        </w:tc>
      </w:tr>
      <w:tr w:rsidR="00ED50D9" w:rsidRPr="00DD6590" w14:paraId="00AAFBAE" w14:textId="77777777" w:rsidTr="00E066EC">
        <w:trPr>
          <w:trHeight w:val="184"/>
        </w:trPr>
        <w:tc>
          <w:tcPr>
            <w:tcW w:w="454" w:type="dxa"/>
            <w:vAlign w:val="center"/>
          </w:tcPr>
          <w:p w14:paraId="2BDDF6AB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</w:t>
            </w:r>
          </w:p>
        </w:tc>
        <w:tc>
          <w:tcPr>
            <w:tcW w:w="2610" w:type="dxa"/>
            <w:vAlign w:val="center"/>
          </w:tcPr>
          <w:p w14:paraId="7D4CCC6C" w14:textId="77777777" w:rsidR="00ED50D9" w:rsidRPr="00DD6590" w:rsidRDefault="00ED50D9" w:rsidP="00527BCC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Úspora času v cestnej doprave na rýchlostných cestách</w:t>
            </w:r>
          </w:p>
        </w:tc>
        <w:tc>
          <w:tcPr>
            <w:tcW w:w="1440" w:type="dxa"/>
            <w:vAlign w:val="center"/>
          </w:tcPr>
          <w:p w14:paraId="064B34F6" w14:textId="77777777" w:rsidR="00ED50D9" w:rsidRPr="00DD6590" w:rsidRDefault="00ED50D9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66 259 814 EUR</w:t>
            </w:r>
          </w:p>
        </w:tc>
        <w:tc>
          <w:tcPr>
            <w:tcW w:w="1350" w:type="dxa"/>
            <w:vAlign w:val="center"/>
          </w:tcPr>
          <w:p w14:paraId="0E3B803C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38 225 440 EUR</w:t>
            </w:r>
          </w:p>
        </w:tc>
        <w:tc>
          <w:tcPr>
            <w:tcW w:w="1350" w:type="dxa"/>
            <w:vAlign w:val="center"/>
          </w:tcPr>
          <w:p w14:paraId="1BB3407C" w14:textId="77777777" w:rsidR="00ED50D9" w:rsidRPr="00DD6590" w:rsidRDefault="00ED50D9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28 034 374 EUR</w:t>
            </w:r>
          </w:p>
        </w:tc>
        <w:tc>
          <w:tcPr>
            <w:tcW w:w="1440" w:type="dxa"/>
            <w:vAlign w:val="center"/>
          </w:tcPr>
          <w:p w14:paraId="46BDA1D9" w14:textId="77777777" w:rsidR="00ED50D9" w:rsidRPr="00DD6590" w:rsidRDefault="00ED50D9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15 989 423 EUR</w:t>
            </w:r>
          </w:p>
        </w:tc>
        <w:tc>
          <w:tcPr>
            <w:tcW w:w="1170" w:type="dxa"/>
            <w:shd w:val="clear" w:color="auto" w:fill="FFD653"/>
            <w:vAlign w:val="center"/>
          </w:tcPr>
          <w:p w14:paraId="73F6E2A3" w14:textId="7807B033" w:rsidR="00ED50D9" w:rsidRPr="00DD6590" w:rsidRDefault="00E43B9E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57</w:t>
            </w:r>
            <w:r w:rsidR="00B657CB">
              <w:rPr>
                <w:color w:val="000000"/>
                <w:sz w:val="16"/>
                <w:szCs w:val="16"/>
              </w:rPr>
              <w:t xml:space="preserve"> </w:t>
            </w:r>
            <w:r w:rsidR="00ED50D9"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080" w:type="dxa"/>
            <w:vAlign w:val="center"/>
          </w:tcPr>
          <w:p w14:paraId="61617B21" w14:textId="77777777" w:rsidR="00ED50D9" w:rsidRPr="00DD6590" w:rsidRDefault="00ED50D9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089" w:type="dxa"/>
            <w:vAlign w:val="center"/>
          </w:tcPr>
          <w:p w14:paraId="73BD7AD3" w14:textId="77777777" w:rsidR="00ED50D9" w:rsidRPr="00DD6590" w:rsidRDefault="00ED50D9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Úspora času v cestnej doprave na rýchlostných cestách je výsledkovým ukazovateľom deklarovaným len v rámci jedného projektu. </w:t>
            </w:r>
          </w:p>
          <w:p w14:paraId="471DE8B0" w14:textId="69988A28" w:rsidR="00ED50D9" w:rsidRPr="00DD6590" w:rsidRDefault="00ED50D9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 prípade naplnenia cieľovej hodnoty tohto projektu bude cieľová hodnota ukazovateľa úspora času (v EUR) naplnená na </w:t>
            </w:r>
            <w:r w:rsidR="00E43B9E" w:rsidRPr="00DD6590">
              <w:rPr>
                <w:color w:val="000000"/>
                <w:sz w:val="16"/>
                <w:szCs w:val="16"/>
              </w:rPr>
              <w:t>57</w:t>
            </w:r>
            <w:r w:rsidR="00B57B5A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 xml:space="preserve">%. </w:t>
            </w:r>
          </w:p>
          <w:p w14:paraId="6174817A" w14:textId="6F0A27D6" w:rsidR="00ED50D9" w:rsidRPr="00DD6590" w:rsidRDefault="00ED50D9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Na základe dotazníka </w:t>
            </w:r>
            <w:r w:rsidR="00144AD8" w:rsidRPr="00DD6590">
              <w:rPr>
                <w:color w:val="000000"/>
                <w:sz w:val="16"/>
                <w:szCs w:val="16"/>
              </w:rPr>
              <w:t xml:space="preserve">bolo prijímateľom NDS </w:t>
            </w:r>
            <w:r w:rsidR="00B01AB7" w:rsidRPr="00DD6590">
              <w:rPr>
                <w:color w:val="000000"/>
                <w:sz w:val="16"/>
                <w:szCs w:val="16"/>
              </w:rPr>
              <w:t xml:space="preserve"> </w:t>
            </w:r>
            <w:r w:rsidR="00144AD8" w:rsidRPr="00DD6590">
              <w:rPr>
                <w:color w:val="000000"/>
                <w:sz w:val="16"/>
                <w:szCs w:val="16"/>
              </w:rPr>
              <w:t xml:space="preserve">identifikovaných </w:t>
            </w:r>
            <w:r w:rsidR="00E43B9E" w:rsidRPr="00DD6590">
              <w:rPr>
                <w:color w:val="000000"/>
                <w:sz w:val="16"/>
                <w:szCs w:val="16"/>
              </w:rPr>
              <w:t xml:space="preserve">päť </w:t>
            </w:r>
            <w:r w:rsidR="00144AD8" w:rsidRPr="00DD6590">
              <w:rPr>
                <w:color w:val="000000"/>
                <w:sz w:val="16"/>
                <w:szCs w:val="16"/>
              </w:rPr>
              <w:t>plánovaných projektov</w:t>
            </w:r>
            <w:r w:rsidRPr="00DD6590">
              <w:rPr>
                <w:color w:val="000000"/>
                <w:sz w:val="16"/>
                <w:szCs w:val="16"/>
              </w:rPr>
              <w:t xml:space="preserve">, ktoré budú napĺňať tento ukazovateľ. </w:t>
            </w:r>
          </w:p>
          <w:p w14:paraId="4D98017B" w14:textId="77777777" w:rsidR="00ED50D9" w:rsidRPr="00DD6590" w:rsidRDefault="00ED50D9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1777FFDF" w14:textId="77777777" w:rsidR="00ED50D9" w:rsidRPr="00DD6590" w:rsidRDefault="00ED50D9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 rámci schvaľovania projektov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prioritizovať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projekty zamerané na napĺňanie tohto ukazovateľa, a to hlavne projekty s najvyššou cieľovou hodnotou ukazovateľa. </w:t>
            </w:r>
          </w:p>
          <w:p w14:paraId="3E73F5C4" w14:textId="7A3E12A1" w:rsidR="00E066EC" w:rsidRPr="00DD6590" w:rsidRDefault="00E066EC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Odporúčame prehodnotiť cieľové hodnoty ukazovateľa vzhľadom na počet realizovaných projektov a z dôvodu zmeny manuálu CBA.</w:t>
            </w:r>
          </w:p>
          <w:p w14:paraId="5B7DB58E" w14:textId="01A84534" w:rsidR="00DB39FE" w:rsidRPr="00DD6590" w:rsidRDefault="00E066EC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Vykonať dopadové hodnotenie vplyvu projektov na tento ukazovateľ.</w:t>
            </w:r>
          </w:p>
        </w:tc>
      </w:tr>
      <w:tr w:rsidR="00ED50D9" w:rsidRPr="00DD6590" w14:paraId="72BC67C0" w14:textId="77777777" w:rsidTr="00E066EC">
        <w:trPr>
          <w:trHeight w:val="184"/>
        </w:trPr>
        <w:tc>
          <w:tcPr>
            <w:tcW w:w="454" w:type="dxa"/>
            <w:vAlign w:val="center"/>
          </w:tcPr>
          <w:p w14:paraId="3A85F5B0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2</w:t>
            </w:r>
          </w:p>
        </w:tc>
        <w:tc>
          <w:tcPr>
            <w:tcW w:w="2610" w:type="dxa"/>
            <w:vAlign w:val="center"/>
          </w:tcPr>
          <w:p w14:paraId="402F329C" w14:textId="77777777" w:rsidR="00ED50D9" w:rsidRPr="00DD6590" w:rsidRDefault="00ED50D9" w:rsidP="00527BCC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Úspora produkcie emisií PM</w:t>
            </w:r>
            <w:r w:rsidRPr="00DD6590">
              <w:rPr>
                <w:sz w:val="16"/>
                <w:szCs w:val="16"/>
                <w:vertAlign w:val="subscript"/>
              </w:rPr>
              <w:t xml:space="preserve">10 </w:t>
            </w:r>
            <w:r w:rsidRPr="00DD6590">
              <w:rPr>
                <w:sz w:val="16"/>
                <w:szCs w:val="16"/>
              </w:rPr>
              <w:t>(vplyvom výstavby rýchlostných ciest)</w:t>
            </w:r>
          </w:p>
        </w:tc>
        <w:tc>
          <w:tcPr>
            <w:tcW w:w="1440" w:type="dxa"/>
            <w:vAlign w:val="center"/>
          </w:tcPr>
          <w:p w14:paraId="6DB56F86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2,89 t</w:t>
            </w:r>
          </w:p>
        </w:tc>
        <w:tc>
          <w:tcPr>
            <w:tcW w:w="1350" w:type="dxa"/>
            <w:vAlign w:val="center"/>
          </w:tcPr>
          <w:p w14:paraId="64845440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0,44 t</w:t>
            </w:r>
          </w:p>
        </w:tc>
        <w:tc>
          <w:tcPr>
            <w:tcW w:w="1350" w:type="dxa"/>
            <w:vAlign w:val="center"/>
          </w:tcPr>
          <w:p w14:paraId="43A0FCBB" w14:textId="77777777" w:rsidR="00ED50D9" w:rsidRPr="00DD6590" w:rsidRDefault="00ED50D9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2,45 t</w:t>
            </w:r>
          </w:p>
        </w:tc>
        <w:tc>
          <w:tcPr>
            <w:tcW w:w="1440" w:type="dxa"/>
            <w:vAlign w:val="center"/>
          </w:tcPr>
          <w:p w14:paraId="120C77D7" w14:textId="77777777" w:rsidR="00ED50D9" w:rsidRPr="00DD6590" w:rsidRDefault="00ED50D9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4,33 t</w:t>
            </w:r>
          </w:p>
        </w:tc>
        <w:tc>
          <w:tcPr>
            <w:tcW w:w="1170" w:type="dxa"/>
            <w:shd w:val="clear" w:color="auto" w:fill="D0EC9F"/>
            <w:vAlign w:val="center"/>
          </w:tcPr>
          <w:p w14:paraId="035E27C9" w14:textId="59FF87FE" w:rsidR="00ED50D9" w:rsidRPr="00DD6590" w:rsidRDefault="00ED50D9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177</w:t>
            </w:r>
            <w:r w:rsidR="00B657CB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080" w:type="dxa"/>
            <w:vAlign w:val="center"/>
          </w:tcPr>
          <w:p w14:paraId="4E28F1BB" w14:textId="77777777" w:rsidR="00ED50D9" w:rsidRPr="00DD6590" w:rsidRDefault="00ED50D9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089" w:type="dxa"/>
            <w:vAlign w:val="center"/>
          </w:tcPr>
          <w:p w14:paraId="49856207" w14:textId="77777777" w:rsidR="00ED50D9" w:rsidRPr="00DD6590" w:rsidRDefault="00B01AB7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Dôsledný monitoring </w:t>
            </w:r>
            <w:r w:rsidR="007D58A7" w:rsidRPr="00DD6590">
              <w:rPr>
                <w:color w:val="000000"/>
                <w:sz w:val="16"/>
                <w:szCs w:val="16"/>
              </w:rPr>
              <w:t>napĺňania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  <w:r w:rsidR="002713F0" w:rsidRPr="00DD6590">
              <w:rPr>
                <w:color w:val="000000"/>
                <w:sz w:val="16"/>
                <w:szCs w:val="16"/>
              </w:rPr>
              <w:t>ukazovateľa</w:t>
            </w:r>
            <w:r w:rsidRPr="00DD6590">
              <w:rPr>
                <w:color w:val="000000"/>
                <w:sz w:val="16"/>
                <w:szCs w:val="16"/>
              </w:rPr>
              <w:t xml:space="preserve"> výsledku v období udržateľnosti projektu.</w:t>
            </w:r>
          </w:p>
          <w:p w14:paraId="7BDC4975" w14:textId="77CDBB1C" w:rsidR="00E066EC" w:rsidRPr="00DD6590" w:rsidRDefault="00E066EC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30C53607" w14:textId="3A5DA166" w:rsidR="00E066EC" w:rsidRPr="00DD6590" w:rsidRDefault="00E066EC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Odporúčame prehodnotiť cieľové hodnoty ukazovateľa vzhľadom na počet realizovaných projektov a z dôvodu zmeny manuálu CBA.</w:t>
            </w:r>
          </w:p>
          <w:p w14:paraId="13CE771E" w14:textId="224BDAF9" w:rsidR="00DB39FE" w:rsidRPr="00DD6590" w:rsidRDefault="00E066EC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Vykonať dopadové hodnotenie vplyvu projektov na tento ukazovateľ.</w:t>
            </w:r>
          </w:p>
        </w:tc>
      </w:tr>
      <w:tr w:rsidR="00ED50D9" w:rsidRPr="00DD6590" w14:paraId="47638407" w14:textId="77777777" w:rsidTr="00E066EC">
        <w:trPr>
          <w:trHeight w:val="481"/>
        </w:trPr>
        <w:tc>
          <w:tcPr>
            <w:tcW w:w="454" w:type="dxa"/>
            <w:vAlign w:val="center"/>
          </w:tcPr>
          <w:p w14:paraId="40E5373F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3</w:t>
            </w:r>
          </w:p>
        </w:tc>
        <w:tc>
          <w:tcPr>
            <w:tcW w:w="2610" w:type="dxa"/>
            <w:vAlign w:val="center"/>
          </w:tcPr>
          <w:p w14:paraId="34854786" w14:textId="77777777" w:rsidR="00ED50D9" w:rsidRPr="00DD6590" w:rsidRDefault="00ED50D9" w:rsidP="00527BCC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Úspora produkcie emisií NO</w:t>
            </w:r>
            <w:r w:rsidRPr="00DD6590">
              <w:rPr>
                <w:sz w:val="16"/>
                <w:szCs w:val="16"/>
                <w:vertAlign w:val="subscript"/>
              </w:rPr>
              <w:t>2</w:t>
            </w:r>
            <w:r w:rsidRPr="00DD6590">
              <w:rPr>
                <w:sz w:val="16"/>
                <w:szCs w:val="16"/>
              </w:rPr>
              <w:t xml:space="preserve"> (vplyvom výstavby rýchlostných ciest)</w:t>
            </w:r>
          </w:p>
        </w:tc>
        <w:tc>
          <w:tcPr>
            <w:tcW w:w="1440" w:type="dxa"/>
            <w:vAlign w:val="center"/>
          </w:tcPr>
          <w:p w14:paraId="7815BF23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11,64 t</w:t>
            </w:r>
          </w:p>
        </w:tc>
        <w:tc>
          <w:tcPr>
            <w:tcW w:w="1350" w:type="dxa"/>
            <w:vAlign w:val="center"/>
          </w:tcPr>
          <w:p w14:paraId="75528B49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1,92 t</w:t>
            </w:r>
          </w:p>
        </w:tc>
        <w:tc>
          <w:tcPr>
            <w:tcW w:w="1350" w:type="dxa"/>
            <w:vAlign w:val="center"/>
          </w:tcPr>
          <w:p w14:paraId="7AB66D2C" w14:textId="77777777" w:rsidR="00ED50D9" w:rsidRPr="00DD6590" w:rsidRDefault="00ED50D9" w:rsidP="00527BCC">
            <w:pPr>
              <w:spacing w:before="60" w:after="0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9,72 t</w:t>
            </w:r>
          </w:p>
        </w:tc>
        <w:tc>
          <w:tcPr>
            <w:tcW w:w="1440" w:type="dxa"/>
            <w:vAlign w:val="center"/>
          </w:tcPr>
          <w:p w14:paraId="4387225A" w14:textId="77777777" w:rsidR="00ED50D9" w:rsidRPr="00DD6590" w:rsidRDefault="00ED50D9" w:rsidP="00527BCC">
            <w:pPr>
              <w:spacing w:before="60" w:after="0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1,01 t</w:t>
            </w:r>
          </w:p>
        </w:tc>
        <w:tc>
          <w:tcPr>
            <w:tcW w:w="1170" w:type="dxa"/>
            <w:shd w:val="clear" w:color="auto" w:fill="FFD653"/>
            <w:vAlign w:val="center"/>
          </w:tcPr>
          <w:p w14:paraId="323DA9CB" w14:textId="3B10F1AB" w:rsidR="00ED50D9" w:rsidRPr="00DD6590" w:rsidRDefault="00ED50D9" w:rsidP="00527BCC">
            <w:pPr>
              <w:spacing w:before="60" w:after="0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10</w:t>
            </w:r>
            <w:r w:rsidR="00B657CB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080" w:type="dxa"/>
            <w:vAlign w:val="center"/>
          </w:tcPr>
          <w:p w14:paraId="02A79516" w14:textId="77777777" w:rsidR="00ED50D9" w:rsidRPr="00DD6590" w:rsidRDefault="00ED50D9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089" w:type="dxa"/>
            <w:vAlign w:val="center"/>
          </w:tcPr>
          <w:p w14:paraId="01664D40" w14:textId="77777777" w:rsidR="00144AD8" w:rsidRPr="00DD6590" w:rsidRDefault="00144AD8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Úspora produkcie emisií NO</w:t>
            </w:r>
            <w:r w:rsidRPr="00DD6590">
              <w:rPr>
                <w:sz w:val="16"/>
                <w:szCs w:val="16"/>
                <w:vertAlign w:val="subscript"/>
              </w:rPr>
              <w:t>2</w:t>
            </w:r>
            <w:r w:rsidRPr="00DD6590">
              <w:rPr>
                <w:sz w:val="16"/>
                <w:szCs w:val="16"/>
              </w:rPr>
              <w:t xml:space="preserve"> (vplyvom výstavby rýchlostných ciest) je výsledkovým ukazovateľom deklarovaným len v rámci jedného projektu. </w:t>
            </w:r>
          </w:p>
          <w:p w14:paraId="4CAE4CDE" w14:textId="3505AA16" w:rsidR="00144AD8" w:rsidRPr="00DD6590" w:rsidRDefault="00144AD8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lastRenderedPageBreak/>
              <w:t xml:space="preserve">V prípade naplnenia cieľovej hodnoty tohto projektu bude cieľová hodnota ukazovateľa </w:t>
            </w:r>
            <w:r w:rsidR="00B57B5A">
              <w:rPr>
                <w:color w:val="000000"/>
                <w:sz w:val="16"/>
                <w:szCs w:val="16"/>
              </w:rPr>
              <w:t>Ú</w:t>
            </w:r>
            <w:r w:rsidR="00B57B5A" w:rsidRPr="00DD6590">
              <w:rPr>
                <w:color w:val="000000"/>
                <w:sz w:val="16"/>
                <w:szCs w:val="16"/>
              </w:rPr>
              <w:t xml:space="preserve">spora </w:t>
            </w:r>
            <w:r w:rsidR="00134E92" w:rsidRPr="00DD6590">
              <w:rPr>
                <w:color w:val="000000"/>
                <w:sz w:val="16"/>
                <w:szCs w:val="16"/>
              </w:rPr>
              <w:t>produkcie emisií NO</w:t>
            </w:r>
            <w:r w:rsidR="00134E92" w:rsidRPr="00DD6590">
              <w:rPr>
                <w:color w:val="000000"/>
                <w:sz w:val="16"/>
                <w:szCs w:val="16"/>
                <w:vertAlign w:val="subscript"/>
              </w:rPr>
              <w:t>2</w:t>
            </w:r>
            <w:r w:rsidRPr="00DD6590">
              <w:rPr>
                <w:color w:val="000000"/>
                <w:sz w:val="16"/>
                <w:szCs w:val="16"/>
              </w:rPr>
              <w:t xml:space="preserve"> naplnená na 10</w:t>
            </w:r>
            <w:r w:rsidR="00B57B5A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 xml:space="preserve">%. </w:t>
            </w:r>
          </w:p>
          <w:p w14:paraId="55C7B877" w14:textId="73A7294F" w:rsidR="00144AD8" w:rsidRPr="00DD6590" w:rsidRDefault="00144AD8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Na základe dotazníka bolo prijímateľ</w:t>
            </w:r>
            <w:r w:rsidR="00A268FE" w:rsidRPr="00DD6590">
              <w:rPr>
                <w:color w:val="000000"/>
                <w:sz w:val="16"/>
                <w:szCs w:val="16"/>
              </w:rPr>
              <w:t>om NDS</w:t>
            </w:r>
            <w:r w:rsidRPr="00DD6590">
              <w:rPr>
                <w:color w:val="000000"/>
                <w:sz w:val="16"/>
                <w:szCs w:val="16"/>
              </w:rPr>
              <w:t xml:space="preserve">  identifikovaných </w:t>
            </w:r>
            <w:r w:rsidR="00E43B9E" w:rsidRPr="00DD6590">
              <w:rPr>
                <w:color w:val="000000"/>
                <w:sz w:val="16"/>
                <w:szCs w:val="16"/>
              </w:rPr>
              <w:t xml:space="preserve">päť </w:t>
            </w:r>
            <w:r w:rsidRPr="00DD6590">
              <w:rPr>
                <w:color w:val="000000"/>
                <w:sz w:val="16"/>
                <w:szCs w:val="16"/>
              </w:rPr>
              <w:t xml:space="preserve">plánovaných projektov, ktoré budú napĺňať tento ukazovateľ. </w:t>
            </w:r>
          </w:p>
          <w:p w14:paraId="69FC8E09" w14:textId="77777777" w:rsidR="00144AD8" w:rsidRPr="00DD6590" w:rsidRDefault="00144AD8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720F1347" w14:textId="18E1E330" w:rsidR="00ED50D9" w:rsidRPr="00DD6590" w:rsidRDefault="00144AD8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 rámci schvaľovania projektov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prioritizovať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projekty zamerané na napĺňanie tohto ukazovateľa, a to hlavne projekty s najvyššou cieľovou hodnotou ukazovateľa. </w:t>
            </w:r>
            <w:r w:rsidRPr="00DD6590">
              <w:rPr>
                <w:sz w:val="16"/>
                <w:szCs w:val="16"/>
              </w:rPr>
              <w:t xml:space="preserve"> </w:t>
            </w:r>
          </w:p>
        </w:tc>
      </w:tr>
      <w:tr w:rsidR="00ED50D9" w:rsidRPr="00DD6590" w14:paraId="7004ED3E" w14:textId="77777777" w:rsidTr="00E066EC">
        <w:trPr>
          <w:trHeight w:val="499"/>
        </w:trPr>
        <w:tc>
          <w:tcPr>
            <w:tcW w:w="454" w:type="dxa"/>
            <w:vAlign w:val="center"/>
          </w:tcPr>
          <w:p w14:paraId="4FCCED6A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2610" w:type="dxa"/>
            <w:vAlign w:val="center"/>
          </w:tcPr>
          <w:p w14:paraId="03BCD26E" w14:textId="77777777" w:rsidR="00ED50D9" w:rsidRPr="00DD6590" w:rsidRDefault="00ED50D9" w:rsidP="00527BCC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Úspora času v cestnej doprave na cestách I. triedy</w:t>
            </w:r>
          </w:p>
        </w:tc>
        <w:tc>
          <w:tcPr>
            <w:tcW w:w="1440" w:type="dxa"/>
            <w:vAlign w:val="center"/>
          </w:tcPr>
          <w:p w14:paraId="7DE16E0B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96 853 141 EUR</w:t>
            </w:r>
          </w:p>
        </w:tc>
        <w:tc>
          <w:tcPr>
            <w:tcW w:w="1350" w:type="dxa"/>
            <w:vAlign w:val="center"/>
          </w:tcPr>
          <w:p w14:paraId="4C47A304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69 287 656 EUR</w:t>
            </w:r>
          </w:p>
        </w:tc>
        <w:tc>
          <w:tcPr>
            <w:tcW w:w="1350" w:type="dxa"/>
            <w:vAlign w:val="center"/>
          </w:tcPr>
          <w:p w14:paraId="7345B694" w14:textId="6EE8C38B" w:rsidR="00ED50D9" w:rsidRPr="00DD6590" w:rsidRDefault="00ED50D9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27 </w:t>
            </w:r>
            <w:r w:rsidR="00E43B9E" w:rsidRPr="00DD6590">
              <w:rPr>
                <w:sz w:val="16"/>
                <w:szCs w:val="16"/>
              </w:rPr>
              <w:t xml:space="preserve">565 </w:t>
            </w:r>
            <w:r w:rsidRPr="00DD6590">
              <w:rPr>
                <w:sz w:val="16"/>
                <w:szCs w:val="16"/>
              </w:rPr>
              <w:t>485 EUR</w:t>
            </w:r>
          </w:p>
        </w:tc>
        <w:tc>
          <w:tcPr>
            <w:tcW w:w="1440" w:type="dxa"/>
            <w:vAlign w:val="center"/>
          </w:tcPr>
          <w:p w14:paraId="547A3BB5" w14:textId="77777777" w:rsidR="00ED50D9" w:rsidRPr="00DD6590" w:rsidRDefault="00ED50D9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16 220 130,92 EUR</w:t>
            </w:r>
          </w:p>
        </w:tc>
        <w:tc>
          <w:tcPr>
            <w:tcW w:w="1170" w:type="dxa"/>
            <w:shd w:val="clear" w:color="auto" w:fill="FFD653"/>
            <w:vAlign w:val="center"/>
          </w:tcPr>
          <w:p w14:paraId="705176FA" w14:textId="201C65E9" w:rsidR="00ED50D9" w:rsidRPr="00DD6590" w:rsidRDefault="00ED50D9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59</w:t>
            </w:r>
            <w:r w:rsidR="00B57B5A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080" w:type="dxa"/>
            <w:vAlign w:val="center"/>
          </w:tcPr>
          <w:p w14:paraId="004E4810" w14:textId="72A29179" w:rsidR="00ED50D9" w:rsidRPr="00DD6590" w:rsidRDefault="00ED50D9" w:rsidP="00527BCC">
            <w:pPr>
              <w:spacing w:before="60" w:after="0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</w:t>
            </w:r>
          </w:p>
        </w:tc>
        <w:tc>
          <w:tcPr>
            <w:tcW w:w="4089" w:type="dxa"/>
            <w:vAlign w:val="center"/>
          </w:tcPr>
          <w:p w14:paraId="402D0225" w14:textId="77777777" w:rsidR="00144AD8" w:rsidRPr="00DD6590" w:rsidRDefault="00144AD8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Úspora času v cestnej doprave na cestách I. triedy je výsledkovým ukazovateľom deklarovaným len v rámci jedného projektu. </w:t>
            </w:r>
          </w:p>
          <w:p w14:paraId="19B81AB6" w14:textId="7C7E6D50" w:rsidR="00144AD8" w:rsidRPr="00DD6590" w:rsidRDefault="00144AD8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 prípade naplnenia cieľovej hodnoty tohto projektu bude cieľová hodnota ukazovateľa úspora času (v EUR) naplnená na 59</w:t>
            </w:r>
            <w:r w:rsidR="00B57B5A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 xml:space="preserve">%. </w:t>
            </w:r>
          </w:p>
          <w:p w14:paraId="46E586B8" w14:textId="459B9DA1" w:rsidR="00144AD8" w:rsidRPr="00DD6590" w:rsidRDefault="00144AD8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Na základe dotazníka bolo prijímateľom </w:t>
            </w:r>
            <w:r w:rsidR="002512EF" w:rsidRPr="00DD6590">
              <w:rPr>
                <w:color w:val="000000"/>
                <w:sz w:val="16"/>
                <w:szCs w:val="16"/>
              </w:rPr>
              <w:t>SSC</w:t>
            </w:r>
            <w:r w:rsidRPr="00DD6590">
              <w:rPr>
                <w:color w:val="000000"/>
                <w:sz w:val="16"/>
                <w:szCs w:val="16"/>
              </w:rPr>
              <w:t xml:space="preserve">  identifikovaných </w:t>
            </w:r>
            <w:r w:rsidR="00E14380" w:rsidRPr="00DD6590">
              <w:rPr>
                <w:color w:val="000000"/>
                <w:sz w:val="16"/>
                <w:szCs w:val="16"/>
              </w:rPr>
              <w:t xml:space="preserve">päť </w:t>
            </w:r>
            <w:r w:rsidRPr="00DD6590">
              <w:rPr>
                <w:color w:val="000000"/>
                <w:sz w:val="16"/>
                <w:szCs w:val="16"/>
              </w:rPr>
              <w:t xml:space="preserve">plánovaných projektov, ktoré budú napĺňať tento ukazovateľ. </w:t>
            </w:r>
          </w:p>
          <w:p w14:paraId="6E6E0912" w14:textId="77777777" w:rsidR="00144AD8" w:rsidRPr="00DD6590" w:rsidRDefault="00144AD8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33DE1339" w14:textId="77777777" w:rsidR="00ED50D9" w:rsidRPr="00DD6590" w:rsidRDefault="00144AD8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 rámci schvaľovania projektov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prioritizovať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projekty zamerané na napĺňanie tohto ukazovateľa, a to hlavne projekty s najvyššou cieľovou hodnotou ukazovateľa. </w:t>
            </w:r>
            <w:r w:rsidRPr="00DD6590">
              <w:rPr>
                <w:sz w:val="16"/>
                <w:szCs w:val="16"/>
              </w:rPr>
              <w:t xml:space="preserve"> </w:t>
            </w:r>
          </w:p>
          <w:p w14:paraId="75BB9AB7" w14:textId="355AD447" w:rsidR="00E066EC" w:rsidRPr="00DD6590" w:rsidRDefault="00E066EC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Odporúčame prehodnotiť cieľové hodnoty ukazovateľa vzhľadom na počet realizovaných projektov a z dôvodu zmeny manuálu CBA.</w:t>
            </w:r>
          </w:p>
          <w:p w14:paraId="562F4F60" w14:textId="27AD2E3F" w:rsidR="00DA132B" w:rsidRPr="00DD6590" w:rsidRDefault="00E066EC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Vykonať dopadové hodnotenie vplyvu projektov na tento ukazovateľ.</w:t>
            </w:r>
          </w:p>
        </w:tc>
      </w:tr>
      <w:tr w:rsidR="00ED50D9" w:rsidRPr="00DD6590" w14:paraId="137419C6" w14:textId="77777777" w:rsidTr="00E066EC">
        <w:trPr>
          <w:trHeight w:val="184"/>
        </w:trPr>
        <w:tc>
          <w:tcPr>
            <w:tcW w:w="454" w:type="dxa"/>
            <w:vAlign w:val="center"/>
          </w:tcPr>
          <w:p w14:paraId="080E43CF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5 </w:t>
            </w:r>
          </w:p>
        </w:tc>
        <w:tc>
          <w:tcPr>
            <w:tcW w:w="2610" w:type="dxa"/>
            <w:vAlign w:val="center"/>
          </w:tcPr>
          <w:p w14:paraId="264C1F69" w14:textId="77777777" w:rsidR="00ED50D9" w:rsidRPr="00DD6590" w:rsidRDefault="00ED50D9" w:rsidP="00527BCC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Počet usmrtených na cestách I. triedy</w:t>
            </w:r>
          </w:p>
        </w:tc>
        <w:tc>
          <w:tcPr>
            <w:tcW w:w="1440" w:type="dxa"/>
            <w:vAlign w:val="center"/>
          </w:tcPr>
          <w:p w14:paraId="515DD65C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83</w:t>
            </w:r>
          </w:p>
        </w:tc>
        <w:tc>
          <w:tcPr>
            <w:tcW w:w="1350" w:type="dxa"/>
            <w:vAlign w:val="center"/>
          </w:tcPr>
          <w:p w14:paraId="17F571BF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70</w:t>
            </w:r>
          </w:p>
        </w:tc>
        <w:tc>
          <w:tcPr>
            <w:tcW w:w="1350" w:type="dxa"/>
            <w:vAlign w:val="center"/>
          </w:tcPr>
          <w:p w14:paraId="3E197C8F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13</w:t>
            </w:r>
          </w:p>
        </w:tc>
        <w:tc>
          <w:tcPr>
            <w:tcW w:w="1440" w:type="dxa"/>
            <w:vAlign w:val="center"/>
          </w:tcPr>
          <w:p w14:paraId="72CC616C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0,1313</w:t>
            </w:r>
          </w:p>
        </w:tc>
        <w:tc>
          <w:tcPr>
            <w:tcW w:w="1170" w:type="dxa"/>
            <w:shd w:val="clear" w:color="auto" w:fill="EF858F"/>
            <w:vAlign w:val="center"/>
          </w:tcPr>
          <w:p w14:paraId="25C26685" w14:textId="788E69CD" w:rsidR="00ED50D9" w:rsidRPr="00DD6590" w:rsidRDefault="00ED50D9" w:rsidP="004355A3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</w:t>
            </w:r>
            <w:r w:rsidR="00B57B5A">
              <w:rPr>
                <w:sz w:val="16"/>
                <w:szCs w:val="16"/>
              </w:rPr>
              <w:t>,</w:t>
            </w:r>
            <w:r w:rsidRPr="00DD6590">
              <w:rPr>
                <w:sz w:val="16"/>
                <w:szCs w:val="16"/>
              </w:rPr>
              <w:t>01</w:t>
            </w:r>
            <w:r w:rsidR="00B57B5A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080" w:type="dxa"/>
            <w:vAlign w:val="center"/>
          </w:tcPr>
          <w:p w14:paraId="2DE3C094" w14:textId="77777777" w:rsidR="00ED50D9" w:rsidRPr="00DD6590" w:rsidRDefault="00ED50D9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</w:t>
            </w:r>
          </w:p>
        </w:tc>
        <w:tc>
          <w:tcPr>
            <w:tcW w:w="4089" w:type="dxa"/>
            <w:vAlign w:val="center"/>
          </w:tcPr>
          <w:p w14:paraId="66941020" w14:textId="77777777" w:rsidR="008F6942" w:rsidRPr="00DD6590" w:rsidRDefault="008F6942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Tento ukazovateľ je vyhodnocovaný na makro úrovni, pričom v rámci plánovaných projektov nebol prijímateľom zaradený ani do jedného projektu.  </w:t>
            </w:r>
          </w:p>
          <w:p w14:paraId="11315866" w14:textId="630F8CA9" w:rsidR="00DA132B" w:rsidRPr="00DD6590" w:rsidRDefault="00DA132B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Odporúčanie:</w:t>
            </w:r>
          </w:p>
          <w:p w14:paraId="155FB374" w14:textId="0A7DDEA7" w:rsidR="00ED50D9" w:rsidRPr="00DD6590" w:rsidRDefault="00DA132B" w:rsidP="004355A3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Vypracovať </w:t>
            </w:r>
            <w:r w:rsidR="00E066EC" w:rsidRPr="00DD6590">
              <w:rPr>
                <w:sz w:val="16"/>
                <w:szCs w:val="16"/>
              </w:rPr>
              <w:t>dopadové hodnotenie</w:t>
            </w:r>
            <w:r w:rsidRPr="00DD6590">
              <w:rPr>
                <w:sz w:val="16"/>
                <w:szCs w:val="16"/>
              </w:rPr>
              <w:t xml:space="preserve"> vplyvu </w:t>
            </w:r>
            <w:r w:rsidR="00E066EC" w:rsidRPr="00DD6590">
              <w:rPr>
                <w:sz w:val="16"/>
                <w:szCs w:val="16"/>
              </w:rPr>
              <w:t xml:space="preserve">realizovaných </w:t>
            </w:r>
            <w:r w:rsidRPr="00DD6590">
              <w:rPr>
                <w:sz w:val="16"/>
                <w:szCs w:val="16"/>
              </w:rPr>
              <w:t>projektov OPII na</w:t>
            </w:r>
            <w:r w:rsidR="00E066EC" w:rsidRPr="00DD6590">
              <w:rPr>
                <w:sz w:val="16"/>
                <w:szCs w:val="16"/>
              </w:rPr>
              <w:t xml:space="preserve"> ukazovateľ</w:t>
            </w:r>
            <w:r w:rsidRPr="00DD6590">
              <w:rPr>
                <w:sz w:val="16"/>
                <w:szCs w:val="16"/>
              </w:rPr>
              <w:t xml:space="preserve"> </w:t>
            </w:r>
            <w:r w:rsidR="00B57B5A">
              <w:rPr>
                <w:sz w:val="16"/>
                <w:szCs w:val="16"/>
              </w:rPr>
              <w:t>P</w:t>
            </w:r>
            <w:r w:rsidRPr="00DD6590">
              <w:rPr>
                <w:sz w:val="16"/>
                <w:szCs w:val="16"/>
              </w:rPr>
              <w:t xml:space="preserve">očet usmrtených </w:t>
            </w:r>
            <w:r w:rsidR="00E066EC" w:rsidRPr="00DD6590">
              <w:rPr>
                <w:sz w:val="16"/>
                <w:szCs w:val="16"/>
              </w:rPr>
              <w:t>na cestách I. triedy</w:t>
            </w:r>
            <w:r w:rsidRPr="00DD6590">
              <w:rPr>
                <w:sz w:val="16"/>
                <w:szCs w:val="16"/>
              </w:rPr>
              <w:t xml:space="preserve">.  </w:t>
            </w:r>
            <w:r w:rsidR="00A268FE" w:rsidRPr="00DD6590">
              <w:rPr>
                <w:sz w:val="16"/>
                <w:szCs w:val="16"/>
              </w:rPr>
              <w:t xml:space="preserve"> </w:t>
            </w:r>
          </w:p>
        </w:tc>
      </w:tr>
      <w:tr w:rsidR="00ED50D9" w:rsidRPr="00DD6590" w14:paraId="7EF135E2" w14:textId="77777777" w:rsidTr="00E066EC">
        <w:trPr>
          <w:trHeight w:val="184"/>
        </w:trPr>
        <w:tc>
          <w:tcPr>
            <w:tcW w:w="454" w:type="dxa"/>
            <w:vAlign w:val="center"/>
          </w:tcPr>
          <w:p w14:paraId="680D6FFC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6</w:t>
            </w:r>
          </w:p>
        </w:tc>
        <w:tc>
          <w:tcPr>
            <w:tcW w:w="2610" w:type="dxa"/>
            <w:vAlign w:val="center"/>
          </w:tcPr>
          <w:p w14:paraId="668DF315" w14:textId="77777777" w:rsidR="00ED50D9" w:rsidRPr="00DD6590" w:rsidRDefault="00ED50D9" w:rsidP="00527BCC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Úspora produkcie emisií PM</w:t>
            </w:r>
            <w:r w:rsidRPr="00DD6590">
              <w:rPr>
                <w:sz w:val="16"/>
                <w:szCs w:val="16"/>
                <w:vertAlign w:val="subscript"/>
              </w:rPr>
              <w:t>10</w:t>
            </w:r>
            <w:r w:rsidRPr="00DD6590">
              <w:rPr>
                <w:sz w:val="16"/>
                <w:szCs w:val="16"/>
              </w:rPr>
              <w:t xml:space="preserve"> (vplyvom výstavby ciest I. triedy)</w:t>
            </w:r>
          </w:p>
        </w:tc>
        <w:tc>
          <w:tcPr>
            <w:tcW w:w="1440" w:type="dxa"/>
            <w:vAlign w:val="center"/>
          </w:tcPr>
          <w:p w14:paraId="6EB352FA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1,16 t</w:t>
            </w:r>
          </w:p>
        </w:tc>
        <w:tc>
          <w:tcPr>
            <w:tcW w:w="1350" w:type="dxa"/>
            <w:vAlign w:val="center"/>
          </w:tcPr>
          <w:p w14:paraId="708345AA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0,29 t</w:t>
            </w:r>
          </w:p>
        </w:tc>
        <w:tc>
          <w:tcPr>
            <w:tcW w:w="1350" w:type="dxa"/>
            <w:vAlign w:val="center"/>
          </w:tcPr>
          <w:p w14:paraId="77148CE8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0,87 t</w:t>
            </w:r>
          </w:p>
        </w:tc>
        <w:tc>
          <w:tcPr>
            <w:tcW w:w="1440" w:type="dxa"/>
            <w:vAlign w:val="center"/>
          </w:tcPr>
          <w:p w14:paraId="6A6E8DC0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0,44 t</w:t>
            </w:r>
          </w:p>
        </w:tc>
        <w:tc>
          <w:tcPr>
            <w:tcW w:w="1170" w:type="dxa"/>
            <w:shd w:val="clear" w:color="auto" w:fill="FFD653"/>
            <w:vAlign w:val="center"/>
          </w:tcPr>
          <w:p w14:paraId="2E40E720" w14:textId="526CA7AB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50,</w:t>
            </w:r>
            <w:r w:rsidR="00E14380" w:rsidRPr="00DD6590">
              <w:rPr>
                <w:sz w:val="16"/>
                <w:szCs w:val="16"/>
              </w:rPr>
              <w:t>57</w:t>
            </w:r>
            <w:r w:rsidR="00B57B5A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080" w:type="dxa"/>
            <w:vAlign w:val="center"/>
          </w:tcPr>
          <w:p w14:paraId="0AEF9171" w14:textId="77777777" w:rsidR="00ED50D9" w:rsidRPr="00DD6590" w:rsidRDefault="00ED50D9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2</w:t>
            </w:r>
          </w:p>
        </w:tc>
        <w:tc>
          <w:tcPr>
            <w:tcW w:w="4089" w:type="dxa"/>
            <w:vAlign w:val="center"/>
          </w:tcPr>
          <w:p w14:paraId="374C9B51" w14:textId="16AEDF7B" w:rsidR="00A268FE" w:rsidRPr="00DD6590" w:rsidRDefault="00A268FE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Úspora produkcie emisií PM</w:t>
            </w:r>
            <w:r w:rsidRPr="00DD6590">
              <w:rPr>
                <w:sz w:val="16"/>
                <w:szCs w:val="16"/>
                <w:vertAlign w:val="subscript"/>
              </w:rPr>
              <w:t>10</w:t>
            </w:r>
            <w:r w:rsidRPr="00DD6590">
              <w:rPr>
                <w:sz w:val="16"/>
                <w:szCs w:val="16"/>
              </w:rPr>
              <w:t xml:space="preserve"> (vplyvom výstavby ciest I. triedy) je výsledkovým ukazovateľom deklarovaným v rámci dvoch projektov. </w:t>
            </w:r>
          </w:p>
          <w:p w14:paraId="10EF4FDD" w14:textId="19D365D7" w:rsidR="00A268FE" w:rsidRPr="00DD6590" w:rsidRDefault="00A268FE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lastRenderedPageBreak/>
              <w:t xml:space="preserve">V prípade naplnenia cieľovej hodnoty projektov bude cieľová hodnota ukazovateľa </w:t>
            </w:r>
            <w:r w:rsidR="00B57B5A">
              <w:rPr>
                <w:color w:val="000000"/>
                <w:sz w:val="16"/>
                <w:szCs w:val="16"/>
                <w:lang w:val="en-US"/>
              </w:rPr>
              <w:t>Ú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spora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produkcie emisií PM</w:t>
            </w:r>
            <w:r w:rsidRPr="00DD6590">
              <w:rPr>
                <w:color w:val="000000"/>
                <w:sz w:val="16"/>
                <w:szCs w:val="16"/>
                <w:vertAlign w:val="subscript"/>
              </w:rPr>
              <w:t>10</w:t>
            </w:r>
            <w:r w:rsidRPr="00DD6590">
              <w:rPr>
                <w:color w:val="000000"/>
                <w:sz w:val="16"/>
                <w:szCs w:val="16"/>
              </w:rPr>
              <w:t xml:space="preserve"> naplnená na </w:t>
            </w:r>
            <w:r w:rsidRPr="00DD6590">
              <w:rPr>
                <w:sz w:val="16"/>
                <w:szCs w:val="16"/>
              </w:rPr>
              <w:t>50,</w:t>
            </w:r>
            <w:r w:rsidR="00E14380" w:rsidRPr="00DD6590">
              <w:rPr>
                <w:sz w:val="16"/>
                <w:szCs w:val="16"/>
              </w:rPr>
              <w:t>57</w:t>
            </w:r>
            <w:r w:rsidR="00B57B5A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  <w:r w:rsidRPr="00DD6590">
              <w:rPr>
                <w:color w:val="000000"/>
                <w:sz w:val="16"/>
                <w:szCs w:val="16"/>
              </w:rPr>
              <w:t xml:space="preserve">. </w:t>
            </w:r>
          </w:p>
          <w:p w14:paraId="7D4F27FA" w14:textId="28D40C1D" w:rsidR="00ED50D9" w:rsidRPr="00DD6590" w:rsidRDefault="00A268FE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Na základe dotazníka bolo prijímateľom SSC  identifikovaných </w:t>
            </w:r>
            <w:r w:rsidR="00E14380" w:rsidRPr="00DD6590">
              <w:rPr>
                <w:color w:val="000000"/>
                <w:sz w:val="16"/>
                <w:szCs w:val="16"/>
              </w:rPr>
              <w:t xml:space="preserve">päť </w:t>
            </w:r>
            <w:r w:rsidRPr="00DD6590">
              <w:rPr>
                <w:color w:val="000000"/>
                <w:sz w:val="16"/>
                <w:szCs w:val="16"/>
              </w:rPr>
              <w:t xml:space="preserve">plánovaných projektov, ktoré budú napĺňať tento ukazovateľ. </w:t>
            </w:r>
          </w:p>
          <w:p w14:paraId="0276032A" w14:textId="77777777" w:rsidR="00E066EC" w:rsidRPr="00DD6590" w:rsidRDefault="00E066EC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70D5DB15" w14:textId="5DF6B348" w:rsidR="00E066EC" w:rsidRPr="00DD6590" w:rsidRDefault="00E066EC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Odporúčame prehodnotiť cieľové hodnoty ukazovateľa vzhľadom na počet realizovaných projektov a z dôvodu zmeny manuálu CBA.</w:t>
            </w:r>
          </w:p>
          <w:p w14:paraId="23AB5539" w14:textId="5742ABFD" w:rsidR="00E066EC" w:rsidRPr="00DD6590" w:rsidRDefault="00E066EC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Vykonať dopadové hodnotenie vplyvu projektov na tento ukazovateľ.</w:t>
            </w:r>
          </w:p>
        </w:tc>
      </w:tr>
      <w:tr w:rsidR="00ED50D9" w:rsidRPr="00DD6590" w14:paraId="61D2577D" w14:textId="77777777" w:rsidTr="00E066EC">
        <w:trPr>
          <w:trHeight w:val="184"/>
        </w:trPr>
        <w:tc>
          <w:tcPr>
            <w:tcW w:w="454" w:type="dxa"/>
            <w:vAlign w:val="center"/>
          </w:tcPr>
          <w:p w14:paraId="06AD1890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2610" w:type="dxa"/>
            <w:vAlign w:val="center"/>
          </w:tcPr>
          <w:p w14:paraId="399410B9" w14:textId="77777777" w:rsidR="00ED50D9" w:rsidRPr="00DD6590" w:rsidRDefault="00ED50D9" w:rsidP="00527BCC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Úspora produkcie emisií NO</w:t>
            </w:r>
            <w:r w:rsidRPr="00DD6590">
              <w:rPr>
                <w:sz w:val="16"/>
                <w:szCs w:val="16"/>
                <w:vertAlign w:val="subscript"/>
              </w:rPr>
              <w:t>2</w:t>
            </w:r>
            <w:r w:rsidRPr="00DD6590">
              <w:rPr>
                <w:sz w:val="16"/>
                <w:szCs w:val="16"/>
              </w:rPr>
              <w:t xml:space="preserve"> (vplyvom výstavby ciest I. triedy)</w:t>
            </w:r>
          </w:p>
        </w:tc>
        <w:tc>
          <w:tcPr>
            <w:tcW w:w="1440" w:type="dxa"/>
            <w:vAlign w:val="center"/>
          </w:tcPr>
          <w:p w14:paraId="00525CD5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4,63 t</w:t>
            </w:r>
          </w:p>
        </w:tc>
        <w:tc>
          <w:tcPr>
            <w:tcW w:w="1350" w:type="dxa"/>
            <w:vAlign w:val="center"/>
          </w:tcPr>
          <w:p w14:paraId="72BFFFC3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1,11 t</w:t>
            </w:r>
          </w:p>
        </w:tc>
        <w:tc>
          <w:tcPr>
            <w:tcW w:w="1350" w:type="dxa"/>
            <w:vAlign w:val="center"/>
          </w:tcPr>
          <w:p w14:paraId="4AC3D85F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3,52 t</w:t>
            </w:r>
          </w:p>
        </w:tc>
        <w:tc>
          <w:tcPr>
            <w:tcW w:w="1440" w:type="dxa"/>
            <w:vAlign w:val="center"/>
          </w:tcPr>
          <w:p w14:paraId="56509864" w14:textId="77777777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2,52 t</w:t>
            </w:r>
          </w:p>
        </w:tc>
        <w:tc>
          <w:tcPr>
            <w:tcW w:w="1170" w:type="dxa"/>
            <w:shd w:val="clear" w:color="auto" w:fill="FFD653"/>
            <w:vAlign w:val="center"/>
          </w:tcPr>
          <w:p w14:paraId="6CF31309" w14:textId="26FCF493" w:rsidR="00ED50D9" w:rsidRPr="00DD6590" w:rsidRDefault="00ED50D9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71,</w:t>
            </w:r>
            <w:r w:rsidR="00E14380" w:rsidRPr="00DD6590">
              <w:rPr>
                <w:sz w:val="16"/>
                <w:szCs w:val="16"/>
              </w:rPr>
              <w:t>59</w:t>
            </w:r>
            <w:r w:rsidR="00B57B5A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080" w:type="dxa"/>
            <w:vAlign w:val="center"/>
          </w:tcPr>
          <w:p w14:paraId="442E30E3" w14:textId="77777777" w:rsidR="00ED50D9" w:rsidRPr="00DD6590" w:rsidRDefault="00ED50D9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2</w:t>
            </w:r>
          </w:p>
        </w:tc>
        <w:tc>
          <w:tcPr>
            <w:tcW w:w="4089" w:type="dxa"/>
            <w:vAlign w:val="center"/>
          </w:tcPr>
          <w:p w14:paraId="303F4827" w14:textId="56A1A6B9" w:rsidR="00A268FE" w:rsidRPr="00DD6590" w:rsidRDefault="00A268FE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Úspora produkcie emisií NO</w:t>
            </w:r>
            <w:r w:rsidRPr="00DD6590">
              <w:rPr>
                <w:sz w:val="16"/>
                <w:szCs w:val="16"/>
                <w:vertAlign w:val="subscript"/>
              </w:rPr>
              <w:t>2</w:t>
            </w:r>
            <w:r w:rsidRPr="00DD6590">
              <w:rPr>
                <w:sz w:val="16"/>
                <w:szCs w:val="16"/>
              </w:rPr>
              <w:t xml:space="preserve"> (vplyvom výstavby ciest I. triedy) je výsledkovým ukazovateľom deklarovaným v rámci dvoch projektov. </w:t>
            </w:r>
          </w:p>
          <w:p w14:paraId="06BFCCC0" w14:textId="5C48CA9D" w:rsidR="00A268FE" w:rsidRPr="00DD6590" w:rsidRDefault="00A268FE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 prípade naplnenia cieľovej hodnoty projektov bude cieľová hodnota ukazovateľa </w:t>
            </w:r>
            <w:r w:rsidR="00B57B5A">
              <w:rPr>
                <w:color w:val="000000"/>
                <w:sz w:val="16"/>
                <w:szCs w:val="16"/>
              </w:rPr>
              <w:t>Ú</w:t>
            </w:r>
            <w:r w:rsidR="00B57B5A" w:rsidRPr="00DD6590">
              <w:rPr>
                <w:color w:val="000000"/>
                <w:sz w:val="16"/>
                <w:szCs w:val="16"/>
              </w:rPr>
              <w:t xml:space="preserve">spora </w:t>
            </w:r>
            <w:r w:rsidRPr="00DD6590">
              <w:rPr>
                <w:color w:val="000000"/>
                <w:sz w:val="16"/>
                <w:szCs w:val="16"/>
              </w:rPr>
              <w:t>produkcie emisií NO</w:t>
            </w:r>
            <w:r w:rsidRPr="00DD6590">
              <w:rPr>
                <w:color w:val="000000"/>
                <w:sz w:val="16"/>
                <w:szCs w:val="16"/>
                <w:vertAlign w:val="subscript"/>
              </w:rPr>
              <w:t>2</w:t>
            </w:r>
            <w:r w:rsidRPr="00DD6590">
              <w:rPr>
                <w:color w:val="000000"/>
                <w:sz w:val="16"/>
                <w:szCs w:val="16"/>
              </w:rPr>
              <w:t xml:space="preserve"> naplnená na </w:t>
            </w:r>
            <w:r w:rsidRPr="00DD6590">
              <w:rPr>
                <w:sz w:val="16"/>
                <w:szCs w:val="16"/>
              </w:rPr>
              <w:t>71,</w:t>
            </w:r>
            <w:r w:rsidR="00E14380" w:rsidRPr="00DD6590">
              <w:rPr>
                <w:sz w:val="16"/>
                <w:szCs w:val="16"/>
              </w:rPr>
              <w:t>59</w:t>
            </w:r>
            <w:r w:rsidR="00B57B5A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  <w:r w:rsidRPr="00DD6590">
              <w:rPr>
                <w:color w:val="000000"/>
                <w:sz w:val="16"/>
                <w:szCs w:val="16"/>
              </w:rPr>
              <w:t xml:space="preserve">. </w:t>
            </w:r>
          </w:p>
          <w:p w14:paraId="573773F0" w14:textId="1FE1580B" w:rsidR="00ED50D9" w:rsidRPr="00DD6590" w:rsidRDefault="00A268FE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Na základe dotazníka bolo prijímateľom SSC  identifikovaných </w:t>
            </w:r>
            <w:r w:rsidR="00E14380" w:rsidRPr="00DD6590">
              <w:rPr>
                <w:color w:val="000000"/>
                <w:sz w:val="16"/>
                <w:szCs w:val="16"/>
              </w:rPr>
              <w:t xml:space="preserve">päť </w:t>
            </w:r>
            <w:r w:rsidRPr="00DD6590">
              <w:rPr>
                <w:color w:val="000000"/>
                <w:sz w:val="16"/>
                <w:szCs w:val="16"/>
              </w:rPr>
              <w:t>plánovaných projektov, ktoré budú napĺňať tento ukazovateľ.</w:t>
            </w:r>
          </w:p>
          <w:p w14:paraId="4400598C" w14:textId="77777777" w:rsidR="00E066EC" w:rsidRPr="00DD6590" w:rsidRDefault="00E066EC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54E0C33E" w14:textId="6F91D3BB" w:rsidR="00E066EC" w:rsidRPr="00DD6590" w:rsidRDefault="00E066EC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Odporúčame prehodnotiť cieľové hodnoty ukazovateľa vzhľadom na počet realizovaných projektov a z dôvodu zmeny manuálu CBA.</w:t>
            </w:r>
          </w:p>
          <w:p w14:paraId="3B164E9B" w14:textId="4DAF0973" w:rsidR="00E066EC" w:rsidRPr="00DD6590" w:rsidRDefault="00E066EC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Vykonať dopadové hodnotenie vplyvu projektov na tento ukazovateľ.</w:t>
            </w:r>
          </w:p>
        </w:tc>
      </w:tr>
    </w:tbl>
    <w:p w14:paraId="6F88E25F" w14:textId="77777777" w:rsidR="00654A4E" w:rsidRDefault="00654A4E" w:rsidP="00ED50D9">
      <w:pPr>
        <w:rPr>
          <w:i/>
          <w:u w:val="single"/>
        </w:rPr>
      </w:pPr>
    </w:p>
    <w:p w14:paraId="3EA47817" w14:textId="77777777" w:rsidR="00654A4E" w:rsidRDefault="00654A4E">
      <w:pPr>
        <w:spacing w:before="0" w:after="200" w:line="276" w:lineRule="auto"/>
        <w:jc w:val="left"/>
        <w:rPr>
          <w:i/>
          <w:u w:val="single"/>
        </w:rPr>
      </w:pPr>
      <w:r>
        <w:rPr>
          <w:i/>
          <w:u w:val="single"/>
        </w:rPr>
        <w:br w:type="page"/>
      </w:r>
    </w:p>
    <w:p w14:paraId="5D7345AD" w14:textId="7161591C" w:rsidR="00ED50D9" w:rsidRPr="00DD6590" w:rsidRDefault="00ED50D9" w:rsidP="00ED50D9">
      <w:pPr>
        <w:rPr>
          <w:i/>
          <w:u w:val="single"/>
        </w:rPr>
      </w:pPr>
      <w:r w:rsidRPr="00DD6590">
        <w:rPr>
          <w:i/>
          <w:u w:val="single"/>
        </w:rPr>
        <w:lastRenderedPageBreak/>
        <w:t>Vyhodnotenie ukazovateľov výstupu</w:t>
      </w:r>
    </w:p>
    <w:p w14:paraId="048CEE65" w14:textId="62DEE611" w:rsidR="00ED50D9" w:rsidRPr="00DD6590" w:rsidRDefault="00ED50D9" w:rsidP="00ED50D9">
      <w:pPr>
        <w:pStyle w:val="Caption"/>
      </w:pPr>
      <w:bookmarkStart w:id="14" w:name="_Toc8805497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5F4669">
        <w:rPr>
          <w:noProof/>
        </w:rPr>
        <w:t>6</w:t>
      </w:r>
      <w:r w:rsidRPr="00DD6590">
        <w:fldChar w:fldCharType="end"/>
      </w:r>
      <w:r w:rsidRPr="00DD6590">
        <w:t xml:space="preserve"> Vyhodnotenie ukazovateľov výstupu PO6</w:t>
      </w:r>
      <w:bookmarkEnd w:id="14"/>
      <w:r w:rsidRPr="00DD6590">
        <w:t xml:space="preserve"> </w:t>
      </w:r>
    </w:p>
    <w:tbl>
      <w:tblPr>
        <w:tblStyle w:val="TableGrid"/>
        <w:tblW w:w="15030" w:type="dxa"/>
        <w:tblInd w:w="-26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2790"/>
        <w:gridCol w:w="1620"/>
        <w:gridCol w:w="1525"/>
        <w:gridCol w:w="1440"/>
        <w:gridCol w:w="1355"/>
        <w:gridCol w:w="990"/>
        <w:gridCol w:w="4860"/>
      </w:tblGrid>
      <w:tr w:rsidR="00ED50D9" w:rsidRPr="00DD6590" w14:paraId="465713A2" w14:textId="77777777" w:rsidTr="00527B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450" w:type="dxa"/>
            <w:shd w:val="clear" w:color="auto" w:fill="DBDCDE" w:themeFill="text2" w:themeFillTint="33"/>
            <w:vAlign w:val="center"/>
          </w:tcPr>
          <w:p w14:paraId="2A44F3F0" w14:textId="77777777" w:rsidR="00ED50D9" w:rsidRPr="00DD6590" w:rsidRDefault="00ED50D9" w:rsidP="00527BCC">
            <w:pPr>
              <w:spacing w:before="60" w:after="0" w:line="240" w:lineRule="auto"/>
              <w:ind w:left="42" w:hanging="42"/>
              <w:jc w:val="left"/>
              <w:rPr>
                <w:b/>
                <w:sz w:val="16"/>
                <w:szCs w:val="16"/>
              </w:rPr>
            </w:pPr>
            <w:proofErr w:type="spellStart"/>
            <w:r w:rsidRPr="00DD6590">
              <w:rPr>
                <w:b/>
                <w:sz w:val="16"/>
                <w:szCs w:val="16"/>
              </w:rPr>
              <w:t>P.č</w:t>
            </w:r>
            <w:proofErr w:type="spellEnd"/>
            <w:r w:rsidRPr="00DD6590">
              <w:rPr>
                <w:b/>
                <w:sz w:val="16"/>
                <w:szCs w:val="16"/>
              </w:rPr>
              <w:t xml:space="preserve">. </w:t>
            </w:r>
          </w:p>
        </w:tc>
        <w:tc>
          <w:tcPr>
            <w:tcW w:w="2790" w:type="dxa"/>
            <w:shd w:val="clear" w:color="auto" w:fill="DBDCDE" w:themeFill="text2" w:themeFillTint="33"/>
            <w:vAlign w:val="center"/>
          </w:tcPr>
          <w:p w14:paraId="324EFBDB" w14:textId="77777777" w:rsidR="00ED50D9" w:rsidRPr="00DD6590" w:rsidRDefault="00ED50D9" w:rsidP="00527BCC">
            <w:pPr>
              <w:spacing w:before="60" w:after="0" w:line="240" w:lineRule="auto"/>
              <w:ind w:left="42" w:hanging="42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Ukazovateľ výstupu</w:t>
            </w:r>
          </w:p>
        </w:tc>
        <w:tc>
          <w:tcPr>
            <w:tcW w:w="1620" w:type="dxa"/>
            <w:shd w:val="clear" w:color="auto" w:fill="DBDCDE" w:themeFill="text2" w:themeFillTint="33"/>
            <w:vAlign w:val="center"/>
          </w:tcPr>
          <w:p w14:paraId="1B20C6D8" w14:textId="1EBDF904" w:rsidR="00ED50D9" w:rsidRPr="00DD6590" w:rsidRDefault="00ED50D9" w:rsidP="00527BCC">
            <w:pPr>
              <w:spacing w:before="60" w:after="0" w:line="240" w:lineRule="auto"/>
              <w:ind w:left="42" w:firstLine="12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Cieľová hodnota</w:t>
            </w:r>
            <w:r w:rsidR="00A268FE" w:rsidRPr="00DD6590">
              <w:rPr>
                <w:b/>
                <w:sz w:val="16"/>
                <w:szCs w:val="16"/>
              </w:rPr>
              <w:t xml:space="preserve"> OPII </w:t>
            </w:r>
            <w:r w:rsidRPr="00DD6590">
              <w:rPr>
                <w:b/>
                <w:sz w:val="16"/>
                <w:szCs w:val="16"/>
              </w:rPr>
              <w:t>(2023)</w:t>
            </w:r>
          </w:p>
        </w:tc>
        <w:tc>
          <w:tcPr>
            <w:tcW w:w="1525" w:type="dxa"/>
            <w:shd w:val="clear" w:color="auto" w:fill="DBDCDE" w:themeFill="text2" w:themeFillTint="33"/>
            <w:vAlign w:val="center"/>
          </w:tcPr>
          <w:p w14:paraId="53790E7B" w14:textId="77777777" w:rsidR="00ED50D9" w:rsidRPr="00DD6590" w:rsidRDefault="00ED50D9" w:rsidP="00527BCC">
            <w:pPr>
              <w:spacing w:before="60" w:after="0" w:line="240" w:lineRule="auto"/>
              <w:ind w:left="72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Cieľové hodnoty projektov </w:t>
            </w:r>
            <w:r w:rsidRPr="00DD6590">
              <w:rPr>
                <w:b/>
                <w:sz w:val="16"/>
                <w:szCs w:val="16"/>
              </w:rPr>
              <w:br/>
              <w:t>v realizácii</w:t>
            </w:r>
          </w:p>
        </w:tc>
        <w:tc>
          <w:tcPr>
            <w:tcW w:w="1440" w:type="dxa"/>
            <w:shd w:val="clear" w:color="auto" w:fill="DBDCDE" w:themeFill="text2" w:themeFillTint="33"/>
            <w:vAlign w:val="center"/>
          </w:tcPr>
          <w:p w14:paraId="662D5F7F" w14:textId="77777777" w:rsidR="00ED50D9" w:rsidRPr="00DD6590" w:rsidRDefault="00ED50D9" w:rsidP="00527BCC">
            <w:pPr>
              <w:spacing w:before="60" w:after="0" w:line="240" w:lineRule="auto"/>
              <w:ind w:left="42" w:hanging="6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Skutočné hodnoty projektov </w:t>
            </w:r>
            <w:r w:rsidRPr="00DD6590">
              <w:rPr>
                <w:b/>
                <w:sz w:val="16"/>
                <w:szCs w:val="16"/>
              </w:rPr>
              <w:br/>
              <w:t>v realizácii</w:t>
            </w:r>
          </w:p>
        </w:tc>
        <w:tc>
          <w:tcPr>
            <w:tcW w:w="1355" w:type="dxa"/>
            <w:shd w:val="clear" w:color="auto" w:fill="DBDCDE" w:themeFill="text2" w:themeFillTint="33"/>
            <w:vAlign w:val="center"/>
          </w:tcPr>
          <w:p w14:paraId="75B56AAB" w14:textId="77777777" w:rsidR="00ED50D9" w:rsidRPr="00DD6590" w:rsidRDefault="00ED50D9" w:rsidP="00527BCC">
            <w:pPr>
              <w:spacing w:before="60" w:after="0" w:line="240" w:lineRule="auto"/>
              <w:ind w:left="42" w:hanging="42"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Hodnotenie</w:t>
            </w:r>
          </w:p>
        </w:tc>
        <w:tc>
          <w:tcPr>
            <w:tcW w:w="990" w:type="dxa"/>
            <w:shd w:val="clear" w:color="auto" w:fill="DBDCDE" w:themeFill="text2" w:themeFillTint="33"/>
            <w:vAlign w:val="center"/>
          </w:tcPr>
          <w:p w14:paraId="4BCA12AA" w14:textId="77777777" w:rsidR="00ED50D9" w:rsidRPr="00DD6590" w:rsidRDefault="00ED50D9" w:rsidP="00527BCC">
            <w:pPr>
              <w:spacing w:before="60" w:after="0" w:line="240" w:lineRule="auto"/>
              <w:ind w:left="42" w:firstLine="6"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Počet projektov</w:t>
            </w:r>
          </w:p>
        </w:tc>
        <w:tc>
          <w:tcPr>
            <w:tcW w:w="4860" w:type="dxa"/>
            <w:shd w:val="clear" w:color="auto" w:fill="DBDCDE" w:themeFill="text2" w:themeFillTint="33"/>
            <w:vAlign w:val="center"/>
          </w:tcPr>
          <w:p w14:paraId="223AD701" w14:textId="77777777" w:rsidR="00ED50D9" w:rsidRPr="00DD6590" w:rsidRDefault="00ED50D9" w:rsidP="00527BCC">
            <w:pPr>
              <w:spacing w:before="60" w:after="0" w:line="240" w:lineRule="auto"/>
              <w:ind w:left="42" w:firstLine="6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Hlavné zistenia a odporúčania</w:t>
            </w:r>
          </w:p>
        </w:tc>
      </w:tr>
      <w:tr w:rsidR="00ED50D9" w:rsidRPr="00DD6590" w14:paraId="3F51D10D" w14:textId="77777777" w:rsidTr="00527BCC">
        <w:trPr>
          <w:trHeight w:val="20"/>
        </w:trPr>
        <w:tc>
          <w:tcPr>
            <w:tcW w:w="450" w:type="dxa"/>
            <w:vAlign w:val="center"/>
          </w:tcPr>
          <w:p w14:paraId="159918A1" w14:textId="77777777" w:rsidR="00ED50D9" w:rsidRPr="00DD6590" w:rsidRDefault="00ED50D9" w:rsidP="00527BCC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90" w:type="dxa"/>
            <w:vAlign w:val="center"/>
          </w:tcPr>
          <w:p w14:paraId="2D5285BF" w14:textId="77777777" w:rsidR="00ED50D9" w:rsidRPr="00DD6590" w:rsidRDefault="00ED50D9" w:rsidP="00527BCC">
            <w:pPr>
              <w:pStyle w:val="Style30"/>
              <w:widowControl/>
              <w:spacing w:before="60" w:after="0" w:line="240" w:lineRule="auto"/>
              <w:ind w:left="85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Celková dĺžka novovybudovaných ciest v sieti TEN-T</w:t>
            </w:r>
          </w:p>
        </w:tc>
        <w:tc>
          <w:tcPr>
            <w:tcW w:w="1620" w:type="dxa"/>
            <w:vAlign w:val="center"/>
          </w:tcPr>
          <w:p w14:paraId="51E1BF23" w14:textId="77777777" w:rsidR="00ED50D9" w:rsidRPr="00DD6590" w:rsidRDefault="00ED50D9" w:rsidP="00527BCC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21,5 km</w:t>
            </w:r>
          </w:p>
        </w:tc>
        <w:tc>
          <w:tcPr>
            <w:tcW w:w="1525" w:type="dxa"/>
            <w:vAlign w:val="center"/>
          </w:tcPr>
          <w:p w14:paraId="5C6E77E2" w14:textId="77777777" w:rsidR="00ED50D9" w:rsidRPr="00DD6590" w:rsidRDefault="00ED50D9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7,85 km</w:t>
            </w:r>
          </w:p>
        </w:tc>
        <w:tc>
          <w:tcPr>
            <w:tcW w:w="1440" w:type="dxa"/>
            <w:vAlign w:val="center"/>
          </w:tcPr>
          <w:p w14:paraId="14F9EE99" w14:textId="77777777" w:rsidR="00ED50D9" w:rsidRPr="00DD6590" w:rsidRDefault="00ED50D9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7,85 km</w:t>
            </w:r>
          </w:p>
        </w:tc>
        <w:tc>
          <w:tcPr>
            <w:tcW w:w="1355" w:type="dxa"/>
            <w:shd w:val="clear" w:color="auto" w:fill="FFD653"/>
            <w:vAlign w:val="center"/>
          </w:tcPr>
          <w:p w14:paraId="534320B9" w14:textId="759099C0" w:rsidR="00ED50D9" w:rsidRPr="00DD6590" w:rsidRDefault="00ED50D9" w:rsidP="00527BCC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36,51</w:t>
            </w:r>
            <w:r w:rsidR="00D472D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0" w:type="dxa"/>
            <w:vAlign w:val="center"/>
          </w:tcPr>
          <w:p w14:paraId="514B3B70" w14:textId="77777777" w:rsidR="00ED50D9" w:rsidRPr="00DD6590" w:rsidRDefault="00ED50D9" w:rsidP="00527BCC">
            <w:pPr>
              <w:pStyle w:val="Style30"/>
              <w:widowControl/>
              <w:spacing w:before="60" w:after="0" w:line="240" w:lineRule="auto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860" w:type="dxa"/>
            <w:vAlign w:val="center"/>
          </w:tcPr>
          <w:p w14:paraId="2B1B4FB7" w14:textId="48749FF3" w:rsidR="008817CC" w:rsidRPr="00DD6590" w:rsidRDefault="008817CC" w:rsidP="00527BC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Výstupový ukazovateľ </w:t>
            </w:r>
            <w:r w:rsidR="00A268FE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Celková dĺžka novovybudovaných ciest v sieti TEN-T je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vykazovaný len </w:t>
            </w:r>
            <w:r w:rsidR="00D472D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v</w:t>
            </w:r>
            <w:r w:rsidR="00D472D0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jednom projekte a jeho realizáciou je naplnený</w:t>
            </w:r>
            <w:r w:rsidR="00A268FE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na 36,51</w:t>
            </w:r>
            <w:r w:rsidR="00D472D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="00A268FE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%. </w:t>
            </w:r>
          </w:p>
          <w:p w14:paraId="4E34168C" w14:textId="2BD6FC88" w:rsidR="00ED50D9" w:rsidRPr="00DD6590" w:rsidRDefault="008817CC" w:rsidP="004355A3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Prijímateľ NDS v dotazníku</w:t>
            </w:r>
            <w:r w:rsidR="00A268FE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uviedol </w:t>
            </w:r>
            <w:r w:rsidR="00E14380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päť </w:t>
            </w:r>
            <w:r w:rsidR="00DA132B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potenciálnych </w:t>
            </w:r>
            <w:r w:rsidR="00A268FE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projektov v celkov</w:t>
            </w:r>
            <w:r w:rsidR="00D472D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om</w:t>
            </w:r>
            <w:r w:rsidR="00A268FE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="00D472D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rozsahu</w:t>
            </w:r>
            <w:r w:rsidR="00A268FE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63,83 km</w:t>
            </w:r>
            <w:r w:rsidR="00D472D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,</w:t>
            </w:r>
            <w:r w:rsidR="00A268FE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="00D472D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č</w:t>
            </w:r>
            <w:r w:rsidR="00A268FE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ím by sa ukazovateľ naplnil na </w:t>
            </w:r>
            <w:r w:rsidR="00E14380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333,40</w:t>
            </w:r>
            <w:r w:rsidR="00D472D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%</w:t>
            </w:r>
          </w:p>
        </w:tc>
      </w:tr>
      <w:tr w:rsidR="00ED50D9" w:rsidRPr="00DD6590" w14:paraId="0BAC63EB" w14:textId="77777777" w:rsidTr="00527BCC">
        <w:trPr>
          <w:trHeight w:val="20"/>
        </w:trPr>
        <w:tc>
          <w:tcPr>
            <w:tcW w:w="450" w:type="dxa"/>
            <w:vAlign w:val="center"/>
          </w:tcPr>
          <w:p w14:paraId="40CDB18B" w14:textId="77777777" w:rsidR="00ED50D9" w:rsidRPr="00DD6590" w:rsidRDefault="00ED50D9" w:rsidP="00527BCC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90" w:type="dxa"/>
            <w:vAlign w:val="center"/>
          </w:tcPr>
          <w:p w14:paraId="2E2108D3" w14:textId="77777777" w:rsidR="00ED50D9" w:rsidRPr="00DD6590" w:rsidRDefault="00ED50D9" w:rsidP="00527BCC">
            <w:pPr>
              <w:pStyle w:val="Style30"/>
              <w:widowControl/>
              <w:spacing w:before="60" w:after="0" w:line="240" w:lineRule="auto"/>
              <w:ind w:left="85" w:hanging="13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Celková dĺžka novovybudovaných ciest</w:t>
            </w:r>
          </w:p>
        </w:tc>
        <w:tc>
          <w:tcPr>
            <w:tcW w:w="1620" w:type="dxa"/>
            <w:vAlign w:val="center"/>
          </w:tcPr>
          <w:p w14:paraId="445C4CA3" w14:textId="3989F220" w:rsidR="00ED50D9" w:rsidRPr="00DD6590" w:rsidRDefault="00F37880" w:rsidP="00527BCC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10,25</w:t>
            </w:r>
            <w:r w:rsidR="00ED50D9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km</w:t>
            </w:r>
          </w:p>
        </w:tc>
        <w:tc>
          <w:tcPr>
            <w:tcW w:w="1525" w:type="dxa"/>
            <w:vAlign w:val="center"/>
          </w:tcPr>
          <w:p w14:paraId="23F4D5B8" w14:textId="55E812C2" w:rsidR="00ED50D9" w:rsidRPr="00DD6590" w:rsidRDefault="00ED50D9" w:rsidP="00527BCC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6,26</w:t>
            </w:r>
            <w:r w:rsidR="00F37880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km</w:t>
            </w:r>
          </w:p>
        </w:tc>
        <w:tc>
          <w:tcPr>
            <w:tcW w:w="1440" w:type="dxa"/>
            <w:vAlign w:val="center"/>
          </w:tcPr>
          <w:p w14:paraId="02B7B8C8" w14:textId="77777777" w:rsidR="00ED50D9" w:rsidRPr="00DD6590" w:rsidRDefault="00ED50D9" w:rsidP="00527BCC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1,59 km</w:t>
            </w:r>
          </w:p>
        </w:tc>
        <w:tc>
          <w:tcPr>
            <w:tcW w:w="1355" w:type="dxa"/>
            <w:shd w:val="clear" w:color="auto" w:fill="FFD653"/>
            <w:vAlign w:val="center"/>
          </w:tcPr>
          <w:p w14:paraId="5D388854" w14:textId="47674885" w:rsidR="00ED50D9" w:rsidRPr="00DD6590" w:rsidRDefault="00F37880" w:rsidP="00527BCC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61,07</w:t>
            </w:r>
            <w:r w:rsidR="00D472D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="00ED50D9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0" w:type="dxa"/>
            <w:vAlign w:val="center"/>
          </w:tcPr>
          <w:p w14:paraId="5CD2D6C8" w14:textId="77777777" w:rsidR="00ED50D9" w:rsidRPr="00DD6590" w:rsidRDefault="00ED50D9" w:rsidP="00527BCC">
            <w:pPr>
              <w:pStyle w:val="Style30"/>
              <w:widowControl/>
              <w:spacing w:before="60" w:after="0" w:line="240" w:lineRule="auto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860" w:type="dxa"/>
            <w:vAlign w:val="center"/>
          </w:tcPr>
          <w:p w14:paraId="17DCC2E1" w14:textId="0D358864" w:rsidR="00ED50D9" w:rsidRPr="00DD6590" w:rsidRDefault="008817CC" w:rsidP="00527BC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Výstupový ukazovateľ Celková dĺžka novovybudovaných ciest je vykazovaný </w:t>
            </w:r>
            <w:r w:rsidR="00D472D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v</w:t>
            </w:r>
            <w:r w:rsidR="00D472D0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dvoch projektoch prijímateľa SSC a po zrealizovaní projektov bude naplnený na </w:t>
            </w:r>
            <w:r w:rsidR="00F37880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61,07</w:t>
            </w:r>
            <w:r w:rsidR="00D472D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%.</w:t>
            </w:r>
          </w:p>
          <w:p w14:paraId="1F86A674" w14:textId="3971CCAC" w:rsidR="008817CC" w:rsidRPr="00DD6590" w:rsidRDefault="008817CC" w:rsidP="004355A3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V dotazníku prijímateľ identifikoval </w:t>
            </w:r>
            <w:r w:rsidR="00675ACB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štyri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projekty, ktoré by mali napĺňať tento ukazovateľ, </w:t>
            </w:r>
            <w:r w:rsidR="00D472D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ale</w:t>
            </w:r>
            <w:r w:rsidR="00D472D0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="00D472D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ne</w:t>
            </w:r>
            <w:r w:rsidR="005D5CF6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špecifikoval hodnotu</w:t>
            </w:r>
            <w:r w:rsidR="00D472D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pri všetkých</w:t>
            </w:r>
            <w:r w:rsidR="00DA132B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, keďže ešte </w:t>
            </w:r>
            <w:r w:rsidR="005D5CF6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pre niektoré projekty </w:t>
            </w:r>
            <w:r w:rsidR="00DA132B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nie sú vypracované, resp. schválené štúdie uskutočniteľnosti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. </w:t>
            </w:r>
            <w:r w:rsidR="00A57077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Dva projekty mali stanovenú hodnotu na 13</w:t>
            </w:r>
            <w:r w:rsidR="00D472D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,</w:t>
            </w:r>
            <w:r w:rsidR="00A57077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38 km.</w:t>
            </w:r>
          </w:p>
        </w:tc>
      </w:tr>
      <w:tr w:rsidR="00DA132B" w:rsidRPr="00DD6590" w14:paraId="73419AC0" w14:textId="77777777" w:rsidTr="00527BCC">
        <w:trPr>
          <w:trHeight w:val="20"/>
        </w:trPr>
        <w:tc>
          <w:tcPr>
            <w:tcW w:w="450" w:type="dxa"/>
            <w:vAlign w:val="center"/>
          </w:tcPr>
          <w:p w14:paraId="6F81F58D" w14:textId="77777777" w:rsidR="00DA132B" w:rsidRPr="00DD6590" w:rsidRDefault="00DA132B" w:rsidP="00527BCC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90" w:type="dxa"/>
            <w:vAlign w:val="center"/>
          </w:tcPr>
          <w:p w14:paraId="67B6117D" w14:textId="77777777" w:rsidR="00DA132B" w:rsidRPr="00DD6590" w:rsidRDefault="00DA132B" w:rsidP="00527BCC">
            <w:pPr>
              <w:pStyle w:val="Style30"/>
              <w:widowControl/>
              <w:spacing w:before="60" w:after="0" w:line="240" w:lineRule="auto"/>
              <w:ind w:left="85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Celková dĺžka rekonštruovaných alebo zrenovovaných ciest</w:t>
            </w:r>
          </w:p>
        </w:tc>
        <w:tc>
          <w:tcPr>
            <w:tcW w:w="1620" w:type="dxa"/>
            <w:vAlign w:val="center"/>
          </w:tcPr>
          <w:p w14:paraId="4EC9DE92" w14:textId="77777777" w:rsidR="00DA132B" w:rsidRPr="00DD6590" w:rsidRDefault="00DA132B" w:rsidP="00527BCC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286,40 km</w:t>
            </w:r>
          </w:p>
        </w:tc>
        <w:tc>
          <w:tcPr>
            <w:tcW w:w="1525" w:type="dxa"/>
            <w:vAlign w:val="center"/>
          </w:tcPr>
          <w:p w14:paraId="316C720A" w14:textId="04883FB4" w:rsidR="00DA132B" w:rsidRPr="00DD6590" w:rsidRDefault="00DA132B" w:rsidP="00527BCC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102,88 km</w:t>
            </w:r>
          </w:p>
        </w:tc>
        <w:tc>
          <w:tcPr>
            <w:tcW w:w="1440" w:type="dxa"/>
            <w:vAlign w:val="center"/>
          </w:tcPr>
          <w:p w14:paraId="285FABCC" w14:textId="77777777" w:rsidR="00DA132B" w:rsidRPr="00DD6590" w:rsidRDefault="00DA132B" w:rsidP="00527BCC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77,7 km</w:t>
            </w:r>
          </w:p>
        </w:tc>
        <w:tc>
          <w:tcPr>
            <w:tcW w:w="1355" w:type="dxa"/>
            <w:shd w:val="clear" w:color="auto" w:fill="FFD653"/>
            <w:vAlign w:val="center"/>
          </w:tcPr>
          <w:p w14:paraId="794E737E" w14:textId="6055F433" w:rsidR="00DA132B" w:rsidRPr="00DD6590" w:rsidRDefault="00DA132B" w:rsidP="00527BCC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35,92</w:t>
            </w:r>
            <w:r w:rsidR="00D472D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0" w:type="dxa"/>
            <w:vAlign w:val="center"/>
          </w:tcPr>
          <w:p w14:paraId="51B1A66D" w14:textId="77777777" w:rsidR="00DA132B" w:rsidRPr="00DD6590" w:rsidRDefault="00DA132B" w:rsidP="00527BCC">
            <w:pPr>
              <w:pStyle w:val="Style30"/>
              <w:widowControl/>
              <w:spacing w:before="60" w:after="0" w:line="240" w:lineRule="auto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4860" w:type="dxa"/>
            <w:vAlign w:val="center"/>
          </w:tcPr>
          <w:p w14:paraId="583886A0" w14:textId="5DC5C311" w:rsidR="00DA132B" w:rsidRPr="00DD6590" w:rsidRDefault="00DA132B" w:rsidP="00527BC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Celková dĺžka rekonštruovaných alebo zrenovovaných ciest je výstupový ukazovateľ vykazovaný </w:t>
            </w:r>
            <w:r w:rsidR="00D472D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v</w:t>
            </w:r>
            <w:r w:rsidR="00D472D0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pätnástich realizovaných projektoch</w:t>
            </w:r>
            <w:r w:rsidR="00D472D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pričom ich ukončením bude ukazovateľ naplnený na 35,92</w:t>
            </w:r>
            <w:r w:rsidR="00D472D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%.</w:t>
            </w:r>
          </w:p>
          <w:p w14:paraId="274A94F7" w14:textId="52344B5C" w:rsidR="00DA132B" w:rsidRPr="00DD6590" w:rsidRDefault="00D472D0" w:rsidP="004355A3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P</w:t>
            </w:r>
            <w:r w:rsidR="00DA132B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rijímateľ SSC uviedol </w:t>
            </w:r>
            <w:r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v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 dotazníku </w:t>
            </w:r>
            <w:r w:rsidR="00C54295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dvanásť </w:t>
            </w:r>
            <w:r w:rsidR="00DA132B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plánovaných projektov, pričom len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pr</w:t>
            </w:r>
            <w:r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i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="00C54295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tr</w:t>
            </w:r>
            <w:r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och</w:t>
            </w:r>
            <w:r w:rsidR="00C54295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="00DA132B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bola uvedená dĺžka (</w:t>
            </w:r>
            <w:r w:rsidR="00C54295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80,85 </w:t>
            </w:r>
            <w:r w:rsidR="00DA132B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km)</w:t>
            </w:r>
            <w:r w:rsidR="008F6942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,</w:t>
            </w:r>
            <w:r w:rsidR="005D5CF6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pr</w:t>
            </w:r>
            <w:r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e</w:t>
            </w:r>
            <w:r w:rsidR="005D5CF6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projekt</w:t>
            </w:r>
            <w:r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y,</w:t>
            </w:r>
            <w:r w:rsidR="005D5CF6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kde nebola špecifikovaná dĺžka ciest, je potrebné vypracovať štúdiu uskutočniteľnosti</w:t>
            </w:r>
            <w:r w:rsidR="00DA132B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Z toho dôvodu</w:t>
            </w:r>
            <w:r w:rsidR="00DA132B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vzniká predpoklad naplnenia ukazovateľa.</w:t>
            </w:r>
          </w:p>
        </w:tc>
      </w:tr>
      <w:tr w:rsidR="00DA132B" w:rsidRPr="00DD6590" w14:paraId="18DFD655" w14:textId="77777777" w:rsidTr="00527BCC">
        <w:trPr>
          <w:trHeight w:val="643"/>
        </w:trPr>
        <w:tc>
          <w:tcPr>
            <w:tcW w:w="450" w:type="dxa"/>
            <w:vAlign w:val="center"/>
          </w:tcPr>
          <w:p w14:paraId="36DA9B7B" w14:textId="77777777" w:rsidR="00DA132B" w:rsidRPr="00DD6590" w:rsidRDefault="00DA132B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790" w:type="dxa"/>
            <w:vAlign w:val="center"/>
          </w:tcPr>
          <w:p w14:paraId="7B8B8E87" w14:textId="77777777" w:rsidR="00DA132B" w:rsidRPr="00DD6590" w:rsidRDefault="00DA132B" w:rsidP="00527BCC">
            <w:pPr>
              <w:spacing w:before="60" w:after="0" w:line="240" w:lineRule="auto"/>
              <w:ind w:left="85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Počet odstránených kritických nehodových lokalít a kolíznych bodov na cestách I. triedy</w:t>
            </w:r>
          </w:p>
        </w:tc>
        <w:tc>
          <w:tcPr>
            <w:tcW w:w="1620" w:type="dxa"/>
            <w:vAlign w:val="center"/>
          </w:tcPr>
          <w:p w14:paraId="33E7D0DF" w14:textId="77777777" w:rsidR="00DA132B" w:rsidRPr="00DD6590" w:rsidRDefault="00DA132B" w:rsidP="00527BCC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40</w:t>
            </w:r>
          </w:p>
        </w:tc>
        <w:tc>
          <w:tcPr>
            <w:tcW w:w="1525" w:type="dxa"/>
            <w:vAlign w:val="center"/>
          </w:tcPr>
          <w:p w14:paraId="5F44D05A" w14:textId="77777777" w:rsidR="00DA132B" w:rsidRPr="00DD6590" w:rsidRDefault="00DA132B" w:rsidP="00527BCC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79</w:t>
            </w:r>
          </w:p>
        </w:tc>
        <w:tc>
          <w:tcPr>
            <w:tcW w:w="1440" w:type="dxa"/>
            <w:vAlign w:val="center"/>
          </w:tcPr>
          <w:p w14:paraId="6DFA08A0" w14:textId="77777777" w:rsidR="00DA132B" w:rsidRPr="00DD6590" w:rsidRDefault="00DA132B" w:rsidP="00527BCC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1355" w:type="dxa"/>
            <w:shd w:val="clear" w:color="auto" w:fill="D0EC9F"/>
            <w:vAlign w:val="center"/>
          </w:tcPr>
          <w:p w14:paraId="2C29CC9A" w14:textId="5C863938" w:rsidR="00DA132B" w:rsidRPr="00DD6590" w:rsidRDefault="00DA132B" w:rsidP="00527BCC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197,50</w:t>
            </w:r>
            <w:r w:rsidR="00D472D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0" w:type="dxa"/>
            <w:vAlign w:val="center"/>
          </w:tcPr>
          <w:p w14:paraId="5A9AE7C4" w14:textId="77777777" w:rsidR="00DA132B" w:rsidRPr="00DD6590" w:rsidRDefault="00DA132B" w:rsidP="00527BCC">
            <w:pPr>
              <w:pStyle w:val="Style30"/>
              <w:widowControl/>
              <w:spacing w:before="60" w:after="0" w:line="240" w:lineRule="auto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4860" w:type="dxa"/>
            <w:vAlign w:val="center"/>
          </w:tcPr>
          <w:p w14:paraId="19CE6ACC" w14:textId="77777777" w:rsidR="00DA132B" w:rsidRPr="00DD6590" w:rsidRDefault="00DA132B" w:rsidP="00527BC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Ukazovateľ výstupu Počet odstránených kritických nehodových lokalít a kolíznych bodov na cestách I. triedy je naplnený už na realizovaných projektoch.</w:t>
            </w:r>
          </w:p>
          <w:p w14:paraId="57AA0688" w14:textId="171C6F9D" w:rsidR="005D4417" w:rsidRPr="00DD6590" w:rsidRDefault="005D4417" w:rsidP="00527BC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Odporúčanie:</w:t>
            </w:r>
          </w:p>
          <w:p w14:paraId="03BA3069" w14:textId="0271828D" w:rsidR="00DA132B" w:rsidRPr="00DD6590" w:rsidRDefault="00CE3FD7" w:rsidP="00527BC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Odporúčame</w:t>
            </w:r>
            <w:r w:rsidR="00DA132B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zamerať sa na projekty, ktoré budú napĺňať ostatné ukazovatele. </w:t>
            </w:r>
          </w:p>
        </w:tc>
      </w:tr>
    </w:tbl>
    <w:p w14:paraId="53BDE5B5" w14:textId="77777777" w:rsidR="00654A4E" w:rsidRDefault="00654A4E">
      <w:pPr>
        <w:pStyle w:val="Heading2"/>
      </w:pPr>
      <w:bookmarkStart w:id="15" w:name="_Toc9350291"/>
    </w:p>
    <w:p w14:paraId="33FFA3F2" w14:textId="77777777" w:rsidR="00654A4E" w:rsidRDefault="00654A4E">
      <w:pPr>
        <w:spacing w:before="0" w:after="200" w:line="276" w:lineRule="auto"/>
        <w:jc w:val="left"/>
        <w:rPr>
          <w:rFonts w:asciiTheme="majorHAnsi" w:eastAsiaTheme="majorEastAsia" w:hAnsiTheme="majorHAnsi" w:cstheme="majorBidi"/>
          <w:b/>
          <w:bCs/>
          <w:color w:val="000000" w:themeColor="text1"/>
          <w:szCs w:val="26"/>
        </w:rPr>
      </w:pPr>
      <w:r>
        <w:br w:type="page"/>
      </w:r>
    </w:p>
    <w:p w14:paraId="6456F890" w14:textId="37222559" w:rsidR="00ED50D9" w:rsidRPr="00DD6590" w:rsidRDefault="00ED50D9">
      <w:pPr>
        <w:pStyle w:val="Heading2"/>
      </w:pPr>
      <w:r w:rsidRPr="00DD6590">
        <w:lastRenderedPageBreak/>
        <w:t>Vyhodnotenie napĺňania cieľov a výkonnostného rámca pre PO</w:t>
      </w:r>
      <w:r w:rsidR="00B82026" w:rsidRPr="00DD6590">
        <w:t>6</w:t>
      </w:r>
      <w:bookmarkEnd w:id="15"/>
    </w:p>
    <w:p w14:paraId="5062BE7C" w14:textId="3393C244" w:rsidR="00ED50D9" w:rsidRPr="00DD6590" w:rsidRDefault="00ED50D9" w:rsidP="00ED50D9">
      <w:pPr>
        <w:pStyle w:val="Caption"/>
      </w:pPr>
      <w:bookmarkStart w:id="16" w:name="_Toc8805498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5F4669">
        <w:rPr>
          <w:noProof/>
        </w:rPr>
        <w:t>7</w:t>
      </w:r>
      <w:r w:rsidRPr="00DD6590">
        <w:fldChar w:fldCharType="end"/>
      </w:r>
      <w:r w:rsidRPr="00DD6590">
        <w:t xml:space="preserve"> Vyhodnotenie výkonnostného rámca PO6</w:t>
      </w:r>
      <w:bookmarkEnd w:id="16"/>
      <w:r w:rsidRPr="00DD6590">
        <w:t xml:space="preserve"> </w:t>
      </w:r>
    </w:p>
    <w:tbl>
      <w:tblPr>
        <w:tblStyle w:val="TableGrid"/>
        <w:tblW w:w="5382" w:type="pct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439"/>
        <w:gridCol w:w="3691"/>
        <w:gridCol w:w="1598"/>
        <w:gridCol w:w="1281"/>
        <w:gridCol w:w="6752"/>
      </w:tblGrid>
      <w:tr w:rsidR="00ED50D9" w:rsidRPr="00DD6590" w14:paraId="11848208" w14:textId="77777777" w:rsidTr="008B12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tcW w:w="487" w:type="pct"/>
            <w:shd w:val="clear" w:color="auto" w:fill="DBDCDE" w:themeFill="text2" w:themeFillTint="33"/>
            <w:vAlign w:val="center"/>
          </w:tcPr>
          <w:p w14:paraId="778A86BF" w14:textId="77777777" w:rsidR="00ED50D9" w:rsidRPr="00DD6590" w:rsidRDefault="00ED50D9" w:rsidP="00527BCC">
            <w:pPr>
              <w:spacing w:before="60" w:after="0" w:line="240" w:lineRule="auto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Typ ukazovateľa</w:t>
            </w:r>
          </w:p>
        </w:tc>
        <w:tc>
          <w:tcPr>
            <w:tcW w:w="1250" w:type="pct"/>
            <w:shd w:val="clear" w:color="auto" w:fill="DBDCDE" w:themeFill="text2" w:themeFillTint="33"/>
            <w:vAlign w:val="center"/>
          </w:tcPr>
          <w:p w14:paraId="186056CF" w14:textId="77777777" w:rsidR="00ED50D9" w:rsidRPr="00DD6590" w:rsidRDefault="00ED50D9" w:rsidP="00527BCC">
            <w:pPr>
              <w:spacing w:before="60" w:after="0" w:line="240" w:lineRule="auto"/>
              <w:ind w:left="60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Definícia ukazovateľa alebo implementačného kroku</w:t>
            </w:r>
          </w:p>
        </w:tc>
        <w:tc>
          <w:tcPr>
            <w:tcW w:w="541" w:type="pct"/>
            <w:shd w:val="clear" w:color="auto" w:fill="DBDCDE" w:themeFill="text2" w:themeFillTint="33"/>
            <w:vAlign w:val="center"/>
          </w:tcPr>
          <w:p w14:paraId="42EEFBC5" w14:textId="77777777" w:rsidR="00ED50D9" w:rsidRPr="00DD6590" w:rsidRDefault="00ED50D9" w:rsidP="00527BCC">
            <w:pPr>
              <w:spacing w:before="60" w:after="0" w:line="240" w:lineRule="auto"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Zámer</w:t>
            </w:r>
          </w:p>
          <w:p w14:paraId="653D93B9" w14:textId="77777777" w:rsidR="00ED50D9" w:rsidRPr="00DD6590" w:rsidRDefault="00ED50D9" w:rsidP="00527BCC">
            <w:pPr>
              <w:spacing w:before="60" w:after="0" w:line="240" w:lineRule="auto"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(2023)</w:t>
            </w:r>
          </w:p>
        </w:tc>
        <w:tc>
          <w:tcPr>
            <w:tcW w:w="434" w:type="pct"/>
            <w:tcBorders>
              <w:bottom w:val="single" w:sz="2" w:space="0" w:color="D9D9D9" w:themeColor="background1" w:themeShade="D9"/>
            </w:tcBorders>
            <w:shd w:val="clear" w:color="auto" w:fill="DBDCDE" w:themeFill="text2" w:themeFillTint="33"/>
            <w:vAlign w:val="center"/>
          </w:tcPr>
          <w:p w14:paraId="06591446" w14:textId="77777777" w:rsidR="00ED50D9" w:rsidRPr="00DD6590" w:rsidRDefault="00ED50D9" w:rsidP="00527BCC">
            <w:pPr>
              <w:spacing w:before="60" w:after="0" w:line="240" w:lineRule="auto"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Hodnotenie naplnenosti</w:t>
            </w:r>
          </w:p>
        </w:tc>
        <w:tc>
          <w:tcPr>
            <w:tcW w:w="2287" w:type="pct"/>
            <w:shd w:val="clear" w:color="auto" w:fill="DBDCDE" w:themeFill="text2" w:themeFillTint="33"/>
            <w:vAlign w:val="center"/>
          </w:tcPr>
          <w:p w14:paraId="226B82C5" w14:textId="77777777" w:rsidR="00ED50D9" w:rsidRPr="00DD6590" w:rsidRDefault="00ED50D9" w:rsidP="00527BCC">
            <w:pPr>
              <w:spacing w:before="60" w:after="0" w:line="240" w:lineRule="auto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Komentár</w:t>
            </w:r>
          </w:p>
        </w:tc>
      </w:tr>
      <w:tr w:rsidR="00ED50D9" w:rsidRPr="00DD6590" w14:paraId="160D1AEF" w14:textId="77777777" w:rsidTr="008B121C">
        <w:trPr>
          <w:trHeight w:val="454"/>
        </w:trPr>
        <w:tc>
          <w:tcPr>
            <w:tcW w:w="487" w:type="pct"/>
            <w:vAlign w:val="center"/>
          </w:tcPr>
          <w:p w14:paraId="237D24CE" w14:textId="77777777" w:rsidR="00ED50D9" w:rsidRPr="00DD6590" w:rsidRDefault="00ED50D9" w:rsidP="00527BCC">
            <w:pPr>
              <w:spacing w:before="60" w:after="0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Finančný ukazovateľ</w:t>
            </w:r>
          </w:p>
        </w:tc>
        <w:tc>
          <w:tcPr>
            <w:tcW w:w="1250" w:type="pct"/>
            <w:vAlign w:val="center"/>
          </w:tcPr>
          <w:p w14:paraId="12F9B9A5" w14:textId="77777777" w:rsidR="00ED50D9" w:rsidRPr="00DD6590" w:rsidRDefault="00ED50D9" w:rsidP="00527BCC">
            <w:pPr>
              <w:spacing w:before="60" w:after="0"/>
              <w:ind w:left="66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Celková suma oprávnených výdavkov po ich certifikácii certifikačným orgánom a predložení žiadostí o platby Európskej komisii</w:t>
            </w:r>
          </w:p>
        </w:tc>
        <w:tc>
          <w:tcPr>
            <w:tcW w:w="541" w:type="pct"/>
            <w:vAlign w:val="center"/>
          </w:tcPr>
          <w:p w14:paraId="1153BB5F" w14:textId="77777777" w:rsidR="00ED50D9" w:rsidRPr="00DD6590" w:rsidRDefault="00ED50D9" w:rsidP="00527BCC">
            <w:pPr>
              <w:spacing w:before="60" w:after="0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570 302 622 EUR</w:t>
            </w:r>
          </w:p>
        </w:tc>
        <w:tc>
          <w:tcPr>
            <w:tcW w:w="434" w:type="pct"/>
            <w:shd w:val="clear" w:color="auto" w:fill="FFD653"/>
            <w:vAlign w:val="center"/>
          </w:tcPr>
          <w:p w14:paraId="5447E97A" w14:textId="05D81EA6" w:rsidR="00ED50D9" w:rsidRPr="00DD6590" w:rsidRDefault="00C54295" w:rsidP="00527BCC">
            <w:pPr>
              <w:spacing w:before="60" w:after="0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36,61</w:t>
            </w:r>
            <w:r w:rsidR="00D472D0">
              <w:rPr>
                <w:sz w:val="16"/>
                <w:szCs w:val="16"/>
              </w:rPr>
              <w:t xml:space="preserve"> </w:t>
            </w:r>
            <w:r w:rsidR="00ED50D9" w:rsidRPr="00DD6590">
              <w:rPr>
                <w:sz w:val="16"/>
                <w:szCs w:val="16"/>
              </w:rPr>
              <w:t xml:space="preserve">% kontrahované, </w:t>
            </w:r>
            <w:r w:rsidRPr="00DD6590">
              <w:rPr>
                <w:sz w:val="16"/>
                <w:szCs w:val="16"/>
              </w:rPr>
              <w:t>25,73</w:t>
            </w:r>
            <w:r w:rsidR="00D472D0">
              <w:rPr>
                <w:sz w:val="16"/>
                <w:szCs w:val="16"/>
              </w:rPr>
              <w:t xml:space="preserve"> </w:t>
            </w:r>
            <w:r w:rsidR="00ED50D9" w:rsidRPr="00DD6590">
              <w:rPr>
                <w:sz w:val="16"/>
                <w:szCs w:val="16"/>
              </w:rPr>
              <w:t>% čerpané</w:t>
            </w:r>
          </w:p>
        </w:tc>
        <w:tc>
          <w:tcPr>
            <w:tcW w:w="2287" w:type="pct"/>
            <w:vAlign w:val="center"/>
          </w:tcPr>
          <w:p w14:paraId="65D4CF79" w14:textId="3B3BDF57" w:rsidR="00ED50D9" w:rsidRPr="00DD6590" w:rsidRDefault="00ED50D9" w:rsidP="00527BCC">
            <w:pPr>
              <w:spacing w:before="60" w:after="0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V súčasnosti je v rámci prebiehajúcich projektov </w:t>
            </w:r>
            <w:r w:rsidRPr="00DD6590">
              <w:rPr>
                <w:b/>
                <w:sz w:val="16"/>
                <w:szCs w:val="16"/>
              </w:rPr>
              <w:t xml:space="preserve">kontrahovaných 208 mil. EUR, </w:t>
            </w:r>
            <w:r w:rsidRPr="00DD6590">
              <w:rPr>
                <w:sz w:val="16"/>
                <w:szCs w:val="16"/>
              </w:rPr>
              <w:t xml:space="preserve">z čoho je 177 mil. </w:t>
            </w:r>
            <w:r w:rsidR="00D472D0">
              <w:rPr>
                <w:sz w:val="16"/>
                <w:szCs w:val="16"/>
              </w:rPr>
              <w:t xml:space="preserve">EUR z </w:t>
            </w:r>
            <w:r w:rsidRPr="00DD6590">
              <w:rPr>
                <w:sz w:val="16"/>
                <w:szCs w:val="16"/>
              </w:rPr>
              <w:t xml:space="preserve">EÚ zdrojov. </w:t>
            </w:r>
            <w:r w:rsidR="00D472D0">
              <w:rPr>
                <w:sz w:val="16"/>
                <w:szCs w:val="16"/>
              </w:rPr>
              <w:t>Podľa</w:t>
            </w:r>
            <w:r w:rsidRPr="00DD6590">
              <w:rPr>
                <w:sz w:val="16"/>
                <w:szCs w:val="16"/>
              </w:rPr>
              <w:t xml:space="preserve"> dotazníka vyplneného projektovými manažérmi je plánovaných </w:t>
            </w:r>
            <w:r w:rsidR="00C54295" w:rsidRPr="00DD6590">
              <w:rPr>
                <w:sz w:val="16"/>
                <w:szCs w:val="16"/>
              </w:rPr>
              <w:t xml:space="preserve">tridsaťpäť </w:t>
            </w:r>
            <w:r w:rsidRPr="00DD6590">
              <w:rPr>
                <w:sz w:val="16"/>
                <w:szCs w:val="16"/>
              </w:rPr>
              <w:t xml:space="preserve">projektov v celkovej hodnote </w:t>
            </w:r>
            <w:r w:rsidR="00863DEC" w:rsidRPr="00DD6590">
              <w:rPr>
                <w:sz w:val="16"/>
                <w:szCs w:val="16"/>
              </w:rPr>
              <w:t xml:space="preserve">1 </w:t>
            </w:r>
            <w:r w:rsidR="00C54295" w:rsidRPr="00DD6590">
              <w:rPr>
                <w:sz w:val="16"/>
                <w:szCs w:val="16"/>
              </w:rPr>
              <w:t xml:space="preserve">626 </w:t>
            </w:r>
            <w:r w:rsidRPr="00DD6590">
              <w:rPr>
                <w:sz w:val="16"/>
                <w:szCs w:val="16"/>
              </w:rPr>
              <w:t xml:space="preserve">mil. EUR. Pokiaľ nedôjde k výraznému omeškaniu v schvaľovaní a realizácii projektov, dá sa predpokladať, že dôjde k naplneniu finančného ukazovateľa. </w:t>
            </w:r>
          </w:p>
          <w:p w14:paraId="5E5999C1" w14:textId="02F3DB0F" w:rsidR="00DA132B" w:rsidRPr="00DD6590" w:rsidRDefault="00DA132B" w:rsidP="00527BCC">
            <w:pPr>
              <w:spacing w:before="60" w:after="0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Prioritná os naplnila hodnoty pre </w:t>
            </w:r>
            <w:r w:rsidR="00D472D0">
              <w:rPr>
                <w:sz w:val="16"/>
                <w:szCs w:val="16"/>
              </w:rPr>
              <w:t xml:space="preserve">rok </w:t>
            </w:r>
            <w:r w:rsidRPr="00DD6590">
              <w:rPr>
                <w:sz w:val="16"/>
                <w:szCs w:val="16"/>
              </w:rPr>
              <w:t>2018 a na základe rokovania vlády z 2</w:t>
            </w:r>
            <w:r w:rsidR="00C30276" w:rsidRPr="00DD6590">
              <w:rPr>
                <w:sz w:val="16"/>
                <w:szCs w:val="16"/>
              </w:rPr>
              <w:t>7</w:t>
            </w:r>
            <w:r w:rsidRPr="00DD6590">
              <w:rPr>
                <w:sz w:val="16"/>
                <w:szCs w:val="16"/>
              </w:rPr>
              <w:t>.</w:t>
            </w:r>
            <w:r w:rsidR="00D472D0">
              <w:rPr>
                <w:sz w:val="16"/>
                <w:szCs w:val="16"/>
              </w:rPr>
              <w:t> </w:t>
            </w:r>
            <w:r w:rsidRPr="00DD6590">
              <w:rPr>
                <w:sz w:val="16"/>
                <w:szCs w:val="16"/>
              </w:rPr>
              <w:t>3.</w:t>
            </w:r>
            <w:r w:rsidR="00D472D0">
              <w:rPr>
                <w:sz w:val="16"/>
                <w:szCs w:val="16"/>
              </w:rPr>
              <w:t> </w:t>
            </w:r>
            <w:r w:rsidRPr="00DD6590">
              <w:rPr>
                <w:sz w:val="16"/>
                <w:szCs w:val="16"/>
              </w:rPr>
              <w:t xml:space="preserve">2019 bol schválený materiál „Predbežný návrh prerozdelenia časti výkonnostnej rezervy v prospech Operačného programu Integrovaná infraštruktúra“ na </w:t>
            </w:r>
            <w:proofErr w:type="spellStart"/>
            <w:r w:rsidRPr="00DD6590">
              <w:rPr>
                <w:sz w:val="16"/>
                <w:szCs w:val="16"/>
              </w:rPr>
              <w:t>realokáciu</w:t>
            </w:r>
            <w:proofErr w:type="spellEnd"/>
            <w:r w:rsidRPr="00DD6590">
              <w:rPr>
                <w:sz w:val="16"/>
                <w:szCs w:val="16"/>
              </w:rPr>
              <w:t xml:space="preserve"> finančných prostriedkov z ostatných prioritných osí, resp. programov.</w:t>
            </w:r>
          </w:p>
          <w:p w14:paraId="30285336" w14:textId="602788BE" w:rsidR="00ED50D9" w:rsidRPr="00DD6590" w:rsidRDefault="00ED50D9" w:rsidP="004355A3">
            <w:pPr>
              <w:spacing w:before="60" w:after="0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Pozn.: Alokácia prioritnej osi bola k 31. 12. 2018 5</w:t>
            </w:r>
            <w:r w:rsidR="00863DEC" w:rsidRPr="00DD6590">
              <w:rPr>
                <w:sz w:val="16"/>
                <w:szCs w:val="16"/>
              </w:rPr>
              <w:t>70</w:t>
            </w:r>
            <w:r w:rsidRPr="00DD6590">
              <w:rPr>
                <w:sz w:val="16"/>
                <w:szCs w:val="16"/>
              </w:rPr>
              <w:t xml:space="preserve"> mil. EUR. </w:t>
            </w:r>
            <w:r w:rsidR="00D472D0">
              <w:rPr>
                <w:sz w:val="16"/>
                <w:szCs w:val="16"/>
              </w:rPr>
              <w:t>Na</w:t>
            </w:r>
            <w:r w:rsidRPr="00DD6590">
              <w:rPr>
                <w:sz w:val="16"/>
                <w:szCs w:val="16"/>
              </w:rPr>
              <w:t xml:space="preserve"> dosiahnutie hodnoty plánovanej v roku 2023 je potrebné </w:t>
            </w:r>
            <w:proofErr w:type="spellStart"/>
            <w:r w:rsidRPr="00DD6590">
              <w:rPr>
                <w:sz w:val="16"/>
                <w:szCs w:val="16"/>
              </w:rPr>
              <w:t>zazmluvniť</w:t>
            </w:r>
            <w:proofErr w:type="spellEnd"/>
            <w:r w:rsidRPr="00DD6590">
              <w:rPr>
                <w:sz w:val="16"/>
                <w:szCs w:val="16"/>
              </w:rPr>
              <w:t xml:space="preserve"> projekty v PO6 v hodnote </w:t>
            </w:r>
            <w:r w:rsidR="00C54295" w:rsidRPr="00DD6590">
              <w:rPr>
                <w:sz w:val="16"/>
                <w:szCs w:val="16"/>
              </w:rPr>
              <w:t xml:space="preserve">362 </w:t>
            </w:r>
            <w:r w:rsidRPr="00DD6590">
              <w:rPr>
                <w:sz w:val="16"/>
                <w:szCs w:val="16"/>
              </w:rPr>
              <w:t>mil. EUR.</w:t>
            </w:r>
          </w:p>
        </w:tc>
      </w:tr>
      <w:tr w:rsidR="00ED50D9" w:rsidRPr="00DD6590" w14:paraId="5814AB78" w14:textId="77777777" w:rsidTr="008B121C">
        <w:trPr>
          <w:trHeight w:val="454"/>
        </w:trPr>
        <w:tc>
          <w:tcPr>
            <w:tcW w:w="487" w:type="pct"/>
            <w:vAlign w:val="center"/>
          </w:tcPr>
          <w:p w14:paraId="0FCEEDE9" w14:textId="77777777" w:rsidR="00ED50D9" w:rsidRPr="00DD6590" w:rsidRDefault="00ED50D9" w:rsidP="00527BCC">
            <w:pPr>
              <w:spacing w:before="60" w:after="0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Výstupový ukazovateľ</w:t>
            </w:r>
          </w:p>
        </w:tc>
        <w:tc>
          <w:tcPr>
            <w:tcW w:w="1250" w:type="pct"/>
            <w:vAlign w:val="center"/>
          </w:tcPr>
          <w:p w14:paraId="1089C822" w14:textId="77777777" w:rsidR="00ED50D9" w:rsidRPr="00DD6590" w:rsidRDefault="00ED50D9" w:rsidP="00527BCC">
            <w:pPr>
              <w:spacing w:before="60" w:after="0"/>
              <w:ind w:left="66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Celková dĺžka novovybudovaných ciest</w:t>
            </w:r>
          </w:p>
        </w:tc>
        <w:tc>
          <w:tcPr>
            <w:tcW w:w="541" w:type="pct"/>
            <w:vAlign w:val="center"/>
          </w:tcPr>
          <w:p w14:paraId="10CF7494" w14:textId="77777777" w:rsidR="00ED50D9" w:rsidRPr="00DD6590" w:rsidRDefault="00ED50D9" w:rsidP="00527BCC">
            <w:pPr>
              <w:spacing w:before="60" w:after="0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31,75 km</w:t>
            </w:r>
          </w:p>
        </w:tc>
        <w:tc>
          <w:tcPr>
            <w:tcW w:w="434" w:type="pct"/>
            <w:shd w:val="clear" w:color="auto" w:fill="FFD653"/>
            <w:vAlign w:val="center"/>
          </w:tcPr>
          <w:p w14:paraId="01B81C66" w14:textId="67B5C700" w:rsidR="00ED50D9" w:rsidRPr="00DD6590" w:rsidRDefault="00F37880" w:rsidP="004355A3">
            <w:pPr>
              <w:spacing w:before="60" w:after="0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44</w:t>
            </w:r>
            <w:r w:rsidR="00D472D0">
              <w:rPr>
                <w:sz w:val="16"/>
                <w:szCs w:val="16"/>
              </w:rPr>
              <w:t>,</w:t>
            </w:r>
            <w:r w:rsidRPr="00DD6590">
              <w:rPr>
                <w:sz w:val="16"/>
                <w:szCs w:val="16"/>
              </w:rPr>
              <w:t>44%</w:t>
            </w:r>
          </w:p>
        </w:tc>
        <w:tc>
          <w:tcPr>
            <w:tcW w:w="2287" w:type="pct"/>
            <w:vAlign w:val="center"/>
          </w:tcPr>
          <w:p w14:paraId="0F26253D" w14:textId="49411704" w:rsidR="00ED50D9" w:rsidRPr="00DD6590" w:rsidRDefault="004E3A07" w:rsidP="00527BCC">
            <w:pPr>
              <w:spacing w:before="60" w:after="0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Do konca roka 2018</w:t>
            </w:r>
            <w:r w:rsidR="00ED50D9" w:rsidRPr="00DD6590">
              <w:rPr>
                <w:sz w:val="16"/>
                <w:szCs w:val="16"/>
              </w:rPr>
              <w:t xml:space="preserve"> bolo celko</w:t>
            </w:r>
            <w:r w:rsidR="00D472D0">
              <w:rPr>
                <w:sz w:val="16"/>
                <w:szCs w:val="16"/>
              </w:rPr>
              <w:t>vo</w:t>
            </w:r>
            <w:r w:rsidR="00ED50D9" w:rsidRPr="00DD6590">
              <w:rPr>
                <w:sz w:val="16"/>
                <w:szCs w:val="16"/>
              </w:rPr>
              <w:t xml:space="preserve"> novovybudovaných </w:t>
            </w:r>
            <w:r w:rsidR="00D472D0" w:rsidRPr="00DD6590">
              <w:rPr>
                <w:sz w:val="16"/>
                <w:szCs w:val="16"/>
              </w:rPr>
              <w:t xml:space="preserve">14,11 km </w:t>
            </w:r>
            <w:r w:rsidR="00ED50D9" w:rsidRPr="00DD6590">
              <w:rPr>
                <w:sz w:val="16"/>
                <w:szCs w:val="16"/>
              </w:rPr>
              <w:t>ciest</w:t>
            </w:r>
            <w:r w:rsidR="00F37880" w:rsidRPr="00DD6590">
              <w:rPr>
                <w:sz w:val="16"/>
                <w:szCs w:val="16"/>
              </w:rPr>
              <w:t xml:space="preserve">, čím </w:t>
            </w:r>
            <w:r w:rsidR="00D472D0">
              <w:rPr>
                <w:sz w:val="16"/>
                <w:szCs w:val="16"/>
              </w:rPr>
              <w:t>sa</w:t>
            </w:r>
            <w:r w:rsidR="00D472D0" w:rsidRPr="00DD6590">
              <w:rPr>
                <w:sz w:val="16"/>
                <w:szCs w:val="16"/>
              </w:rPr>
              <w:t xml:space="preserve"> </w:t>
            </w:r>
            <w:r w:rsidR="00F37880" w:rsidRPr="00DD6590">
              <w:rPr>
                <w:sz w:val="16"/>
                <w:szCs w:val="16"/>
              </w:rPr>
              <w:t xml:space="preserve">ukazovateľ </w:t>
            </w:r>
            <w:r w:rsidR="00D472D0" w:rsidRPr="00DD6590">
              <w:rPr>
                <w:sz w:val="16"/>
                <w:szCs w:val="16"/>
              </w:rPr>
              <w:t>napln</w:t>
            </w:r>
            <w:r w:rsidR="00D472D0">
              <w:rPr>
                <w:sz w:val="16"/>
                <w:szCs w:val="16"/>
              </w:rPr>
              <w:t>il</w:t>
            </w:r>
            <w:r w:rsidR="00D472D0" w:rsidRPr="00DD6590">
              <w:rPr>
                <w:sz w:val="16"/>
                <w:szCs w:val="16"/>
              </w:rPr>
              <w:t xml:space="preserve"> </w:t>
            </w:r>
            <w:r w:rsidR="00F37880" w:rsidRPr="00DD6590">
              <w:rPr>
                <w:sz w:val="16"/>
                <w:szCs w:val="16"/>
              </w:rPr>
              <w:t>na 44,44</w:t>
            </w:r>
            <w:r w:rsidR="00D472D0">
              <w:rPr>
                <w:sz w:val="16"/>
                <w:szCs w:val="16"/>
              </w:rPr>
              <w:t xml:space="preserve"> </w:t>
            </w:r>
            <w:r w:rsidR="00F37880" w:rsidRPr="00DD6590">
              <w:rPr>
                <w:sz w:val="16"/>
                <w:szCs w:val="16"/>
              </w:rPr>
              <w:t>%</w:t>
            </w:r>
            <w:r w:rsidR="00ED50D9" w:rsidRPr="00DD6590">
              <w:rPr>
                <w:sz w:val="16"/>
                <w:szCs w:val="16"/>
              </w:rPr>
              <w:t>.</w:t>
            </w:r>
          </w:p>
          <w:p w14:paraId="644CC987" w14:textId="2C0B636D" w:rsidR="00ED50D9" w:rsidRPr="00DD6590" w:rsidRDefault="00ED50D9" w:rsidP="00527BCC">
            <w:pPr>
              <w:spacing w:before="60" w:after="0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Pre naplnenie cieľovej hodnoty v roku 2023 je kľúčové kontrahovať </w:t>
            </w:r>
            <w:r w:rsidRPr="00DD6590">
              <w:rPr>
                <w:b/>
                <w:sz w:val="16"/>
                <w:szCs w:val="16"/>
              </w:rPr>
              <w:t>dodatočné projekty, ktoré budú zah</w:t>
            </w:r>
            <w:r w:rsidR="00D472D0">
              <w:rPr>
                <w:b/>
                <w:sz w:val="16"/>
                <w:szCs w:val="16"/>
              </w:rPr>
              <w:t>ŕňať</w:t>
            </w:r>
            <w:r w:rsidRPr="00DD6590">
              <w:rPr>
                <w:b/>
                <w:sz w:val="16"/>
                <w:szCs w:val="16"/>
              </w:rPr>
              <w:t xml:space="preserve"> novovybudované cesty v min. dĺžke </w:t>
            </w:r>
            <w:r w:rsidR="00F37880" w:rsidRPr="00DD6590">
              <w:rPr>
                <w:b/>
                <w:sz w:val="16"/>
                <w:szCs w:val="16"/>
              </w:rPr>
              <w:t>17,64</w:t>
            </w:r>
            <w:r w:rsidRPr="00DD6590">
              <w:rPr>
                <w:b/>
                <w:sz w:val="16"/>
                <w:szCs w:val="16"/>
              </w:rPr>
              <w:t xml:space="preserve"> km.</w:t>
            </w:r>
          </w:p>
          <w:p w14:paraId="456F40C5" w14:textId="2B72CB80" w:rsidR="00DA132B" w:rsidRPr="00DD6590" w:rsidRDefault="00DA132B" w:rsidP="004355A3">
            <w:pPr>
              <w:spacing w:before="60" w:after="0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Prioritná os naplnila hodnoty pre rok 2018</w:t>
            </w:r>
            <w:r w:rsidR="00D472D0">
              <w:rPr>
                <w:sz w:val="16"/>
                <w:szCs w:val="16"/>
              </w:rPr>
              <w:t>,</w:t>
            </w:r>
            <w:r w:rsidRPr="00DD6590">
              <w:rPr>
                <w:sz w:val="16"/>
                <w:szCs w:val="16"/>
              </w:rPr>
              <w:t xml:space="preserve"> a preto odporúčame </w:t>
            </w:r>
            <w:r w:rsidR="00D472D0" w:rsidRPr="00DD6590">
              <w:rPr>
                <w:sz w:val="16"/>
                <w:szCs w:val="16"/>
              </w:rPr>
              <w:t>navýš</w:t>
            </w:r>
            <w:r w:rsidR="00D472D0">
              <w:rPr>
                <w:sz w:val="16"/>
                <w:szCs w:val="16"/>
              </w:rPr>
              <w:t>iť</w:t>
            </w:r>
            <w:r w:rsidR="00D472D0" w:rsidRPr="00DD6590">
              <w:rPr>
                <w:sz w:val="16"/>
                <w:szCs w:val="16"/>
              </w:rPr>
              <w:t xml:space="preserve"> finančn</w:t>
            </w:r>
            <w:r w:rsidR="00D472D0">
              <w:rPr>
                <w:sz w:val="16"/>
                <w:szCs w:val="16"/>
              </w:rPr>
              <w:t>é</w:t>
            </w:r>
            <w:r w:rsidR="00D472D0" w:rsidRPr="00DD6590">
              <w:rPr>
                <w:sz w:val="16"/>
                <w:szCs w:val="16"/>
              </w:rPr>
              <w:t xml:space="preserve"> prostriedk</w:t>
            </w:r>
            <w:r w:rsidR="00D472D0">
              <w:rPr>
                <w:sz w:val="16"/>
                <w:szCs w:val="16"/>
              </w:rPr>
              <w:t>y</w:t>
            </w:r>
            <w:r w:rsidR="00D472D0" w:rsidRPr="00DD6590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v rámci PO6.</w:t>
            </w:r>
          </w:p>
        </w:tc>
      </w:tr>
    </w:tbl>
    <w:p w14:paraId="7F05BA29" w14:textId="77777777" w:rsidR="00F846E1" w:rsidRPr="00DD6590" w:rsidRDefault="00F846E1" w:rsidP="00A40396">
      <w:pPr>
        <w:rPr>
          <w:b/>
        </w:rPr>
        <w:sectPr w:rsidR="00F846E1" w:rsidRPr="00DD6590" w:rsidSect="00E60DD4">
          <w:pgSz w:w="16838" w:h="11906" w:orient="landscape" w:code="9"/>
          <w:pgMar w:top="1411" w:right="1987" w:bottom="1138" w:left="1138" w:header="677" w:footer="562" w:gutter="0"/>
          <w:cols w:space="9"/>
          <w:titlePg/>
          <w:docGrid w:linePitch="360"/>
        </w:sectPr>
      </w:pPr>
    </w:p>
    <w:bookmarkEnd w:id="1"/>
    <w:p w14:paraId="22C8AC6E" w14:textId="29BBE8CF" w:rsidR="008C6F86" w:rsidRPr="00DD6590" w:rsidRDefault="008C6F86">
      <w:pPr>
        <w:spacing w:after="200" w:line="276" w:lineRule="auto"/>
      </w:pPr>
    </w:p>
    <w:p w14:paraId="078BC969" w14:textId="77777777" w:rsidR="008C6F86" w:rsidRPr="00DD6590" w:rsidRDefault="008C6F86">
      <w:pPr>
        <w:spacing w:after="200" w:line="276" w:lineRule="auto"/>
      </w:pPr>
    </w:p>
    <w:p w14:paraId="18BA85A2" w14:textId="77777777" w:rsidR="008C6F86" w:rsidRPr="00DD6590" w:rsidRDefault="008C6F86">
      <w:pPr>
        <w:spacing w:after="200" w:line="276" w:lineRule="auto"/>
      </w:pPr>
    </w:p>
    <w:p w14:paraId="46A54C14" w14:textId="77777777" w:rsidR="008C6F86" w:rsidRPr="00DD6590" w:rsidRDefault="008C6F86">
      <w:pPr>
        <w:spacing w:after="200" w:line="276" w:lineRule="auto"/>
      </w:pPr>
    </w:p>
    <w:p w14:paraId="4E6465E5" w14:textId="77777777" w:rsidR="008C6F86" w:rsidRPr="00DD6590" w:rsidRDefault="008C6F86">
      <w:pPr>
        <w:spacing w:after="200" w:line="276" w:lineRule="auto"/>
      </w:pPr>
    </w:p>
    <w:p w14:paraId="7CA5D8BB" w14:textId="77777777" w:rsidR="008C6F86" w:rsidRPr="00DD6590" w:rsidRDefault="008C6F86">
      <w:pPr>
        <w:spacing w:after="200" w:line="276" w:lineRule="auto"/>
      </w:pPr>
    </w:p>
    <w:p w14:paraId="01787646" w14:textId="77777777" w:rsidR="008C6F86" w:rsidRPr="00DD6590" w:rsidRDefault="008C6F86">
      <w:pPr>
        <w:spacing w:after="200" w:line="276" w:lineRule="auto"/>
      </w:pPr>
    </w:p>
    <w:p w14:paraId="055E041F" w14:textId="77777777" w:rsidR="008C6F86" w:rsidRPr="00DD6590" w:rsidRDefault="008C6F86">
      <w:pPr>
        <w:spacing w:after="200" w:line="276" w:lineRule="auto"/>
      </w:pPr>
    </w:p>
    <w:p w14:paraId="02D0BE95" w14:textId="77777777" w:rsidR="008C6F86" w:rsidRPr="00DD6590" w:rsidRDefault="008C6F86">
      <w:pPr>
        <w:spacing w:after="200" w:line="276" w:lineRule="auto"/>
      </w:pPr>
    </w:p>
    <w:p w14:paraId="1D2C0446" w14:textId="77777777" w:rsidR="008C6F86" w:rsidRPr="00DD6590" w:rsidRDefault="008C6F86">
      <w:pPr>
        <w:spacing w:after="200" w:line="276" w:lineRule="auto"/>
      </w:pPr>
    </w:p>
    <w:p w14:paraId="3CACB718" w14:textId="77777777" w:rsidR="008C6F86" w:rsidRPr="00DD6590" w:rsidRDefault="008C6F86">
      <w:pPr>
        <w:spacing w:after="200" w:line="276" w:lineRule="auto"/>
      </w:pPr>
    </w:p>
    <w:p w14:paraId="48F8DB93" w14:textId="77777777" w:rsidR="008C6F86" w:rsidRPr="00DD6590" w:rsidRDefault="008C6F86">
      <w:pPr>
        <w:spacing w:after="200" w:line="276" w:lineRule="auto"/>
      </w:pPr>
    </w:p>
    <w:p w14:paraId="0E0C77AA" w14:textId="77777777" w:rsidR="008C6F86" w:rsidRPr="00DD6590" w:rsidRDefault="008C6F86">
      <w:pPr>
        <w:spacing w:after="200" w:line="276" w:lineRule="auto"/>
      </w:pPr>
    </w:p>
    <w:p w14:paraId="0F575F65" w14:textId="77777777" w:rsidR="008C6F86" w:rsidRPr="00DD6590" w:rsidRDefault="008C6F86">
      <w:pPr>
        <w:spacing w:after="200" w:line="276" w:lineRule="auto"/>
      </w:pPr>
    </w:p>
    <w:p w14:paraId="25F366BB" w14:textId="77777777" w:rsidR="008C6F86" w:rsidRPr="00DD6590" w:rsidRDefault="008C6F86">
      <w:pPr>
        <w:spacing w:after="200" w:line="276" w:lineRule="auto"/>
      </w:pPr>
    </w:p>
    <w:p w14:paraId="05B8E0E4" w14:textId="77777777" w:rsidR="008C6F86" w:rsidRPr="00DD6590" w:rsidRDefault="008C6F86">
      <w:pPr>
        <w:spacing w:after="200" w:line="276" w:lineRule="auto"/>
      </w:pPr>
    </w:p>
    <w:p w14:paraId="20982CD9" w14:textId="77777777" w:rsidR="008C6F86" w:rsidRPr="00DD6590" w:rsidRDefault="008C6F86">
      <w:pPr>
        <w:spacing w:after="200" w:line="276" w:lineRule="auto"/>
      </w:pPr>
    </w:p>
    <w:p w14:paraId="7C3CE3A2" w14:textId="5A8AF1E4" w:rsidR="00BF6F8B" w:rsidRPr="00053D7B" w:rsidRDefault="00BF6F8B" w:rsidP="00654A4E">
      <w:pPr>
        <w:spacing w:after="200" w:line="276" w:lineRule="auto"/>
      </w:pPr>
    </w:p>
    <w:sectPr w:rsidR="00BF6F8B" w:rsidRPr="00053D7B" w:rsidSect="00DF6454">
      <w:type w:val="continuous"/>
      <w:pgSz w:w="16838" w:h="11906" w:orient="landscape" w:code="9"/>
      <w:pgMar w:top="1411" w:right="1987" w:bottom="1138" w:left="1138" w:header="677" w:footer="562" w:gutter="0"/>
      <w:cols w:num="3" w:space="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ED4AF" w14:textId="77777777" w:rsidR="00135C16" w:rsidRDefault="00135C16" w:rsidP="00C702C7">
      <w:r>
        <w:separator/>
      </w:r>
    </w:p>
  </w:endnote>
  <w:endnote w:type="continuationSeparator" w:id="0">
    <w:p w14:paraId="48BD6A56" w14:textId="77777777" w:rsidR="00135C16" w:rsidRDefault="00135C16" w:rsidP="00C7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ans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Roboto-Regular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51220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EB7F14" w14:textId="5F677934" w:rsidR="00B15231" w:rsidRDefault="00B152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4669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9B4A9D3" w14:textId="77777777" w:rsidR="00135C16" w:rsidRPr="00335CF3" w:rsidRDefault="00135C16" w:rsidP="00D21B5F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70490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7BE000" w14:textId="1C832C6A" w:rsidR="00B15231" w:rsidRDefault="00B152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4669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7EC27993" w14:textId="77777777" w:rsidR="00135C16" w:rsidRDefault="00135C16" w:rsidP="00D21B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FB7C5" w14:textId="77777777" w:rsidR="00135C16" w:rsidRDefault="00135C16" w:rsidP="00C702C7">
      <w:r>
        <w:separator/>
      </w:r>
    </w:p>
  </w:footnote>
  <w:footnote w:type="continuationSeparator" w:id="0">
    <w:p w14:paraId="09316071" w14:textId="77777777" w:rsidR="00135C16" w:rsidRDefault="00135C16" w:rsidP="00C702C7">
      <w:r>
        <w:continuationSeparator/>
      </w:r>
    </w:p>
  </w:footnote>
  <w:footnote w:id="1">
    <w:p w14:paraId="2C02F5A2" w14:textId="77777777" w:rsidR="00135C16" w:rsidRPr="00491526" w:rsidRDefault="00135C16" w:rsidP="00ED50D9">
      <w:pPr>
        <w:pStyle w:val="FootnoteText"/>
      </w:pPr>
      <w:r w:rsidRPr="00491526">
        <w:rPr>
          <w:rStyle w:val="FootnoteReference"/>
        </w:rPr>
        <w:footnoteRef/>
      </w:r>
      <w:r w:rsidRPr="00491526">
        <w:t xml:space="preserve"> Zámer je plánovaná konečná hodnota ukazovateľa k termínu splnenia 31. 12. 2023. Dosiahnutie zámeru sa vyhodnocuje v roku 2025 pri uzatváraní programového obdobia.</w:t>
      </w:r>
    </w:p>
  </w:footnote>
  <w:footnote w:id="2">
    <w:p w14:paraId="089615EE" w14:textId="4384766E" w:rsidR="00135C16" w:rsidRPr="00B122A8" w:rsidRDefault="00135C16" w:rsidP="00ED50D9">
      <w:pPr>
        <w:pStyle w:val="FootnoteText"/>
        <w:contextualSpacing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r w:rsidRPr="00B122A8">
        <w:t>Zdroj: Údaje čerpané z Monitorovacích správ dostupný</w:t>
      </w:r>
      <w:r>
        <w:t>ch</w:t>
      </w:r>
      <w:r w:rsidRPr="00B122A8">
        <w:t xml:space="preserve"> v ITMS k 31. 1. 2019 a z informácií k projektom poskytnutým zadávateľom. (Pozn.: MS za rok 2018 musia byť poskytnuté do 31. </w:t>
      </w:r>
      <w:r>
        <w:t>1</w:t>
      </w:r>
      <w:r w:rsidRPr="00B122A8">
        <w:t>. 2019.</w:t>
      </w:r>
      <w:r>
        <w:rPr>
          <w:lang w:val="cs-CZ"/>
        </w:rPr>
        <w:t xml:space="preserve"> </w:t>
      </w:r>
    </w:p>
  </w:footnote>
  <w:footnote w:id="3">
    <w:p w14:paraId="00D40948" w14:textId="77777777" w:rsidR="00135C16" w:rsidRPr="00966CAD" w:rsidRDefault="00135C16" w:rsidP="00ED50D9">
      <w:pPr>
        <w:pStyle w:val="FootnoteText"/>
        <w:spacing w:before="0"/>
        <w:contextualSpacing/>
      </w:pPr>
      <w:r w:rsidRPr="00966CAD">
        <w:rPr>
          <w:rStyle w:val="FootnoteReference"/>
        </w:rPr>
        <w:footnoteRef/>
      </w:r>
      <w:r w:rsidRPr="00966CAD">
        <w:t xml:space="preserve"> Od začiatku projektu do 31.</w:t>
      </w:r>
      <w:r>
        <w:t xml:space="preserve"> </w:t>
      </w:r>
      <w:r w:rsidRPr="00966CAD">
        <w:t>12.</w:t>
      </w:r>
      <w:r>
        <w:t xml:space="preserve"> </w:t>
      </w:r>
      <w:r w:rsidRPr="00966CAD">
        <w:t>2018.</w:t>
      </w:r>
    </w:p>
  </w:footnote>
  <w:footnote w:id="4">
    <w:p w14:paraId="6174BD03" w14:textId="77777777" w:rsidR="00135C16" w:rsidRPr="00966CAD" w:rsidRDefault="00135C16" w:rsidP="00ED50D9">
      <w:pPr>
        <w:pStyle w:val="FootnoteText"/>
        <w:spacing w:before="0"/>
        <w:contextualSpacing/>
      </w:pPr>
      <w:r w:rsidRPr="00966CAD">
        <w:rPr>
          <w:rStyle w:val="FootnoteReference"/>
        </w:rPr>
        <w:footnoteRef/>
      </w:r>
      <w:r w:rsidRPr="00966CAD">
        <w:t xml:space="preserve"> </w:t>
      </w:r>
      <w:r w:rsidRPr="00C0506C">
        <w:t xml:space="preserve">Percentuálny podiel </w:t>
      </w:r>
      <w:r>
        <w:t xml:space="preserve">a stav </w:t>
      </w:r>
      <w:r w:rsidRPr="00C0506C">
        <w:t xml:space="preserve">vecného plnenia </w:t>
      </w:r>
      <w:r>
        <w:t>podľa</w:t>
      </w:r>
      <w:r w:rsidRPr="00C0506C">
        <w:t xml:space="preserve"> odhadu projektových manažérov.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0066D" w14:textId="38CA39AF" w:rsidR="00135C16" w:rsidRPr="00DF6454" w:rsidRDefault="00135C16">
    <w:pPr>
      <w:pStyle w:val="Header"/>
      <w:rPr>
        <w:b w:val="0"/>
        <w:sz w:val="16"/>
        <w:szCs w:val="16"/>
        <w:lang w:val="sk-SK"/>
      </w:rPr>
    </w:pPr>
    <w:r w:rsidRPr="00DF6454">
      <w:rPr>
        <w:b w:val="0"/>
        <w:sz w:val="16"/>
        <w:szCs w:val="16"/>
        <w:lang w:val="sk-SK"/>
      </w:rPr>
      <w:t>Príloha č. 9 Výsledky analýzy prioritnej osi 6</w:t>
    </w:r>
    <w:r w:rsidR="00B5019E">
      <w:rPr>
        <w:b w:val="0"/>
        <w:sz w:val="16"/>
        <w:szCs w:val="16"/>
        <w:lang w:val="sk-SK"/>
      </w:rPr>
      <w:t xml:space="preserve"> </w:t>
    </w:r>
    <w:r w:rsidR="00B5019E" w:rsidRPr="00D76E8D">
      <w:rPr>
        <w:sz w:val="16"/>
        <w:szCs w:val="16"/>
      </w:rPr>
      <w:t>–</w:t>
    </w:r>
    <w:r w:rsidRPr="00DF6454">
      <w:rPr>
        <w:b w:val="0"/>
        <w:sz w:val="16"/>
        <w:szCs w:val="16"/>
        <w:lang w:val="sk-SK"/>
      </w:rPr>
      <w:t xml:space="preserve"> Cestná infraštruktúra (mimo TEN-T CORE)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CD23D" w14:textId="313AAA73" w:rsidR="00135C16" w:rsidRPr="0011727C" w:rsidRDefault="00135C16" w:rsidP="00654A4E">
    <w:pPr>
      <w:pStyle w:val="Header"/>
      <w:rPr>
        <w:b w:val="0"/>
        <w:sz w:val="16"/>
        <w:szCs w:val="16"/>
        <w:lang w:val="sk-SK"/>
      </w:rPr>
    </w:pPr>
    <w:r w:rsidRPr="0011727C">
      <w:rPr>
        <w:b w:val="0"/>
        <w:sz w:val="16"/>
        <w:szCs w:val="16"/>
        <w:lang w:val="sk-SK"/>
      </w:rPr>
      <w:t xml:space="preserve">Príloha č. 9 Výsledky analýzy prioritnej osi 6 </w:t>
    </w:r>
    <w:r w:rsidR="00B5019E" w:rsidRPr="00D76E8D">
      <w:rPr>
        <w:sz w:val="16"/>
        <w:szCs w:val="16"/>
      </w:rPr>
      <w:t>–</w:t>
    </w:r>
    <w:r w:rsidR="00B5019E">
      <w:rPr>
        <w:sz w:val="16"/>
        <w:szCs w:val="16"/>
      </w:rPr>
      <w:t xml:space="preserve"> </w:t>
    </w:r>
    <w:r w:rsidRPr="0011727C">
      <w:rPr>
        <w:b w:val="0"/>
        <w:sz w:val="16"/>
        <w:szCs w:val="16"/>
        <w:lang w:val="sk-SK"/>
      </w:rPr>
      <w:t>Cestná infraštruktúra (mimo TEN-T CORE)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4D4E6FE"/>
    <w:lvl w:ilvl="0">
      <w:start w:val="1"/>
      <w:numFmt w:val="lowerLetter"/>
      <w:pStyle w:val="ListNumber2"/>
      <w:lvlText w:val="%1."/>
      <w:lvlJc w:val="left"/>
      <w:pPr>
        <w:ind w:left="644" w:hanging="360"/>
      </w:pPr>
    </w:lvl>
  </w:abstractNum>
  <w:abstractNum w:abstractNumId="1" w15:restartNumberingAfterBreak="0">
    <w:nsid w:val="FFFFFF83"/>
    <w:multiLevelType w:val="singleLevel"/>
    <w:tmpl w:val="8EAA911C"/>
    <w:lvl w:ilvl="0">
      <w:start w:val="1"/>
      <w:numFmt w:val="bullet"/>
      <w:pStyle w:val="ListBullet2"/>
      <w:lvlText w:val="‒"/>
      <w:lvlJc w:val="left"/>
      <w:pPr>
        <w:ind w:left="587" w:hanging="360"/>
      </w:pPr>
      <w:rPr>
        <w:rFonts w:ascii="Calibri" w:hAnsi="Calibri" w:hint="default"/>
      </w:rPr>
    </w:lvl>
  </w:abstractNum>
  <w:abstractNum w:abstractNumId="2" w15:restartNumberingAfterBreak="0">
    <w:nsid w:val="FFFFFF88"/>
    <w:multiLevelType w:val="singleLevel"/>
    <w:tmpl w:val="F716B3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2A4026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F1546E"/>
    <w:multiLevelType w:val="hybridMultilevel"/>
    <w:tmpl w:val="9390A5DC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D659F"/>
    <w:multiLevelType w:val="hybridMultilevel"/>
    <w:tmpl w:val="BD70E5B8"/>
    <w:lvl w:ilvl="0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05EC5B65"/>
    <w:multiLevelType w:val="multilevel"/>
    <w:tmpl w:val="F5FA3D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60D3F35"/>
    <w:multiLevelType w:val="hybridMultilevel"/>
    <w:tmpl w:val="3A623CA0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D6749D"/>
    <w:multiLevelType w:val="hybridMultilevel"/>
    <w:tmpl w:val="0F3E4268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170" w:hanging="360"/>
      </w:pPr>
      <w:rPr>
        <w:rFonts w:ascii="Calibri" w:eastAsiaTheme="minorHAnsi" w:hAnsi="Calibri" w:hint="default"/>
      </w:rPr>
    </w:lvl>
    <w:lvl w:ilvl="2" w:tplc="1400AD66">
      <w:start w:val="1"/>
      <w:numFmt w:val="decimal"/>
      <w:lvlText w:val="%3."/>
      <w:lvlJc w:val="left"/>
      <w:pPr>
        <w:ind w:left="207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0737687E"/>
    <w:multiLevelType w:val="hybridMultilevel"/>
    <w:tmpl w:val="DFC2D8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8E0551"/>
    <w:multiLevelType w:val="hybridMultilevel"/>
    <w:tmpl w:val="02C22996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B5C13"/>
    <w:multiLevelType w:val="hybridMultilevel"/>
    <w:tmpl w:val="FECA1176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A71487"/>
    <w:multiLevelType w:val="hybridMultilevel"/>
    <w:tmpl w:val="674E8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592C5D"/>
    <w:multiLevelType w:val="hybridMultilevel"/>
    <w:tmpl w:val="32A426C8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26A00"/>
    <w:multiLevelType w:val="hybridMultilevel"/>
    <w:tmpl w:val="9EACC5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4B3A54"/>
    <w:multiLevelType w:val="hybridMultilevel"/>
    <w:tmpl w:val="3C7A9D5C"/>
    <w:lvl w:ilvl="0" w:tplc="287A5174">
      <w:numFmt w:val="bullet"/>
      <w:lvlText w:val="•"/>
      <w:lvlJc w:val="left"/>
      <w:pPr>
        <w:ind w:left="1080" w:hanging="720"/>
      </w:pPr>
      <w:rPr>
        <w:rFonts w:ascii="Verdana" w:eastAsia="Verdana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116083"/>
    <w:multiLevelType w:val="hybridMultilevel"/>
    <w:tmpl w:val="BC06C1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F73EC0"/>
    <w:multiLevelType w:val="hybridMultilevel"/>
    <w:tmpl w:val="3D8C7D94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5675BC"/>
    <w:multiLevelType w:val="hybridMultilevel"/>
    <w:tmpl w:val="1AEC1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8E6309"/>
    <w:multiLevelType w:val="hybridMultilevel"/>
    <w:tmpl w:val="3FFAE18C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1169D5"/>
    <w:multiLevelType w:val="hybridMultilevel"/>
    <w:tmpl w:val="96B41E02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21174A"/>
    <w:multiLevelType w:val="hybridMultilevel"/>
    <w:tmpl w:val="6C5A5048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170" w:hanging="360"/>
      </w:pPr>
      <w:rPr>
        <w:rFonts w:ascii="Calibri" w:eastAsiaTheme="minorHAnsi"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1F437708"/>
    <w:multiLevelType w:val="hybridMultilevel"/>
    <w:tmpl w:val="371CA554"/>
    <w:lvl w:ilvl="0" w:tplc="2D72B276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D10102"/>
    <w:multiLevelType w:val="hybridMultilevel"/>
    <w:tmpl w:val="B0229B58"/>
    <w:lvl w:ilvl="0" w:tplc="48D6B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41826D2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61CE5"/>
    <w:multiLevelType w:val="hybridMultilevel"/>
    <w:tmpl w:val="5B286D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6C77F0"/>
    <w:multiLevelType w:val="hybridMultilevel"/>
    <w:tmpl w:val="16D8B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BD71E5"/>
    <w:multiLevelType w:val="hybridMultilevel"/>
    <w:tmpl w:val="B35C766E"/>
    <w:lvl w:ilvl="0" w:tplc="D410EC44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26B478AA"/>
    <w:multiLevelType w:val="hybridMultilevel"/>
    <w:tmpl w:val="EA36D00A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7D12D11"/>
    <w:multiLevelType w:val="hybridMultilevel"/>
    <w:tmpl w:val="21F0740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98214CF"/>
    <w:multiLevelType w:val="hybridMultilevel"/>
    <w:tmpl w:val="85ACB9DC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BAC20C4">
      <w:numFmt w:val="bullet"/>
      <w:lvlText w:val="–"/>
      <w:lvlJc w:val="left"/>
      <w:pPr>
        <w:ind w:left="2070" w:hanging="360"/>
      </w:pPr>
      <w:rPr>
        <w:rFonts w:ascii="Verdana" w:eastAsiaTheme="minorHAnsi" w:hAnsi="Verdan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 w15:restartNumberingAfterBreak="0">
    <w:nsid w:val="2B35497D"/>
    <w:multiLevelType w:val="hybridMultilevel"/>
    <w:tmpl w:val="12442D94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D654486"/>
    <w:multiLevelType w:val="hybridMultilevel"/>
    <w:tmpl w:val="2AF43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337363"/>
    <w:multiLevelType w:val="hybridMultilevel"/>
    <w:tmpl w:val="6A0E2A74"/>
    <w:lvl w:ilvl="0" w:tplc="2F1C8C5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A51AA7"/>
    <w:multiLevelType w:val="hybridMultilevel"/>
    <w:tmpl w:val="7DB27FAC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BAC20C4">
      <w:numFmt w:val="bullet"/>
      <w:lvlText w:val="–"/>
      <w:lvlJc w:val="left"/>
      <w:pPr>
        <w:ind w:left="1980" w:hanging="360"/>
      </w:pPr>
      <w:rPr>
        <w:rFonts w:ascii="Verdana" w:eastAsiaTheme="minorHAnsi" w:hAnsi="Verdan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04C1642"/>
    <w:multiLevelType w:val="hybridMultilevel"/>
    <w:tmpl w:val="1D38391A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1BC3B9D"/>
    <w:multiLevelType w:val="hybridMultilevel"/>
    <w:tmpl w:val="4C2451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F1335D"/>
    <w:multiLevelType w:val="multilevel"/>
    <w:tmpl w:val="6A8275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324D76EE"/>
    <w:multiLevelType w:val="hybridMultilevel"/>
    <w:tmpl w:val="9C6EB8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556F30"/>
    <w:multiLevelType w:val="hybridMultilevel"/>
    <w:tmpl w:val="1ACEC306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AA3B54"/>
    <w:multiLevelType w:val="hybridMultilevel"/>
    <w:tmpl w:val="FEF82A54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B27DE5"/>
    <w:multiLevelType w:val="hybridMultilevel"/>
    <w:tmpl w:val="1E4E01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4415317"/>
    <w:multiLevelType w:val="hybridMultilevel"/>
    <w:tmpl w:val="A5484C6E"/>
    <w:lvl w:ilvl="0" w:tplc="D10C504E">
      <w:numFmt w:val="bullet"/>
      <w:lvlText w:val="-"/>
      <w:lvlJc w:val="left"/>
      <w:pPr>
        <w:ind w:left="108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354D0EAC"/>
    <w:multiLevelType w:val="multilevel"/>
    <w:tmpl w:val="263ACD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39C57EC0"/>
    <w:multiLevelType w:val="hybridMultilevel"/>
    <w:tmpl w:val="9D345DB8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41826D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BD3D15"/>
    <w:multiLevelType w:val="hybridMultilevel"/>
    <w:tmpl w:val="B2C0E5E4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5800C7"/>
    <w:multiLevelType w:val="hybridMultilevel"/>
    <w:tmpl w:val="F182CAC4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BAC20C4">
      <w:numFmt w:val="bullet"/>
      <w:lvlText w:val="–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753CD7"/>
    <w:multiLevelType w:val="hybridMultilevel"/>
    <w:tmpl w:val="8E780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7F1B9D"/>
    <w:multiLevelType w:val="hybridMultilevel"/>
    <w:tmpl w:val="973A2618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E4A2B22A">
      <w:start w:val="1"/>
      <w:numFmt w:val="lowerLetter"/>
      <w:lvlText w:val="%3)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4212B4"/>
    <w:multiLevelType w:val="multilevel"/>
    <w:tmpl w:val="4DCE3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9" w15:restartNumberingAfterBreak="0">
    <w:nsid w:val="457C67BE"/>
    <w:multiLevelType w:val="hybridMultilevel"/>
    <w:tmpl w:val="6EAEA3C8"/>
    <w:lvl w:ilvl="0" w:tplc="2E444D5E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5E76697"/>
    <w:multiLevelType w:val="hybridMultilevel"/>
    <w:tmpl w:val="D5B28564"/>
    <w:lvl w:ilvl="0" w:tplc="2752CD9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D6439F"/>
    <w:multiLevelType w:val="hybridMultilevel"/>
    <w:tmpl w:val="00925A92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9126BD0"/>
    <w:multiLevelType w:val="hybridMultilevel"/>
    <w:tmpl w:val="31E6CFB2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3" w15:restartNumberingAfterBreak="0">
    <w:nsid w:val="4B2E76AA"/>
    <w:multiLevelType w:val="hybridMultilevel"/>
    <w:tmpl w:val="4DA899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CA46E84"/>
    <w:multiLevelType w:val="hybridMultilevel"/>
    <w:tmpl w:val="A8647C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194850"/>
    <w:multiLevelType w:val="hybridMultilevel"/>
    <w:tmpl w:val="CE320C84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4F5825BB"/>
    <w:multiLevelType w:val="hybridMultilevel"/>
    <w:tmpl w:val="758032A4"/>
    <w:lvl w:ilvl="0" w:tplc="FBB4B35C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7" w15:restartNumberingAfterBreak="0">
    <w:nsid w:val="4FAE0B2F"/>
    <w:multiLevelType w:val="hybridMultilevel"/>
    <w:tmpl w:val="64DA5C3E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3A36787"/>
    <w:multiLevelType w:val="hybridMultilevel"/>
    <w:tmpl w:val="D6FE7CC8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835B43"/>
    <w:multiLevelType w:val="hybridMultilevel"/>
    <w:tmpl w:val="E6F60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6F9450B"/>
    <w:multiLevelType w:val="hybridMultilevel"/>
    <w:tmpl w:val="F2402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DCB7673"/>
    <w:multiLevelType w:val="multilevel"/>
    <w:tmpl w:val="EDAC9F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2" w15:restartNumberingAfterBreak="0">
    <w:nsid w:val="5DDD2C74"/>
    <w:multiLevelType w:val="hybridMultilevel"/>
    <w:tmpl w:val="71706D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DA112A"/>
    <w:multiLevelType w:val="hybridMultilevel"/>
    <w:tmpl w:val="8C9A94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0557AFB"/>
    <w:multiLevelType w:val="hybridMultilevel"/>
    <w:tmpl w:val="7248A714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9152D5"/>
    <w:multiLevelType w:val="hybridMultilevel"/>
    <w:tmpl w:val="DDA0FDEA"/>
    <w:lvl w:ilvl="0" w:tplc="03565C20">
      <w:start w:val="1"/>
      <w:numFmt w:val="decimal"/>
      <w:pStyle w:val="Table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9634AC"/>
    <w:multiLevelType w:val="hybridMultilevel"/>
    <w:tmpl w:val="A4CEF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EA0CD6"/>
    <w:multiLevelType w:val="hybridMultilevel"/>
    <w:tmpl w:val="64441018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63464AFC"/>
    <w:multiLevelType w:val="hybridMultilevel"/>
    <w:tmpl w:val="5A6C46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4029A3"/>
    <w:multiLevelType w:val="multilevel"/>
    <w:tmpl w:val="EDAC9F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0" w15:restartNumberingAfterBreak="0">
    <w:nsid w:val="66075D94"/>
    <w:multiLevelType w:val="hybridMultilevel"/>
    <w:tmpl w:val="475277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884CE7"/>
    <w:multiLevelType w:val="multilevel"/>
    <w:tmpl w:val="0850594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2" w15:restartNumberingAfterBreak="0">
    <w:nsid w:val="668A0B60"/>
    <w:multiLevelType w:val="hybridMultilevel"/>
    <w:tmpl w:val="12AA7456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8890F48"/>
    <w:multiLevelType w:val="hybridMultilevel"/>
    <w:tmpl w:val="BB7AC774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9787B48"/>
    <w:multiLevelType w:val="hybridMultilevel"/>
    <w:tmpl w:val="BD887F50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10C504E">
      <w:numFmt w:val="bullet"/>
      <w:lvlText w:val="-"/>
      <w:lvlJc w:val="left"/>
      <w:pPr>
        <w:ind w:left="1800" w:hanging="360"/>
      </w:pPr>
      <w:rPr>
        <w:rFonts w:ascii="Calibri" w:eastAsiaTheme="minorHAnsi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9FE08F0"/>
    <w:multiLevelType w:val="hybridMultilevel"/>
    <w:tmpl w:val="3A9A870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6AE5293E"/>
    <w:multiLevelType w:val="hybridMultilevel"/>
    <w:tmpl w:val="D4FE8B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073FDE"/>
    <w:multiLevelType w:val="hybridMultilevel"/>
    <w:tmpl w:val="71706D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FC6346"/>
    <w:multiLevelType w:val="hybridMultilevel"/>
    <w:tmpl w:val="6E20202C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6E0A408A"/>
    <w:multiLevelType w:val="hybridMultilevel"/>
    <w:tmpl w:val="57B65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F445FF8"/>
    <w:multiLevelType w:val="hybridMultilevel"/>
    <w:tmpl w:val="13F4DC0A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6B264B"/>
    <w:multiLevelType w:val="hybridMultilevel"/>
    <w:tmpl w:val="439ABF50"/>
    <w:lvl w:ilvl="0" w:tplc="D234A1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0930BE4"/>
    <w:multiLevelType w:val="hybridMultilevel"/>
    <w:tmpl w:val="2B1A0D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1244D69"/>
    <w:multiLevelType w:val="hybridMultilevel"/>
    <w:tmpl w:val="8A2EA7FA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3CB1609"/>
    <w:multiLevelType w:val="hybridMultilevel"/>
    <w:tmpl w:val="043E2A08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4327D4A"/>
    <w:multiLevelType w:val="hybridMultilevel"/>
    <w:tmpl w:val="7AAECCA4"/>
    <w:lvl w:ilvl="0" w:tplc="8FCE6878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45648D5"/>
    <w:multiLevelType w:val="hybridMultilevel"/>
    <w:tmpl w:val="2E1C68FC"/>
    <w:lvl w:ilvl="0" w:tplc="D592D76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59655FE"/>
    <w:multiLevelType w:val="hybridMultilevel"/>
    <w:tmpl w:val="896A2454"/>
    <w:lvl w:ilvl="0" w:tplc="CB6CA1A0">
      <w:start w:val="2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744493C"/>
    <w:multiLevelType w:val="multilevel"/>
    <w:tmpl w:val="7C0EC0E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9" w15:restartNumberingAfterBreak="0">
    <w:nsid w:val="77567C51"/>
    <w:multiLevelType w:val="hybridMultilevel"/>
    <w:tmpl w:val="EBEA2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7C0445C"/>
    <w:multiLevelType w:val="hybridMultilevel"/>
    <w:tmpl w:val="A8182902"/>
    <w:lvl w:ilvl="0" w:tplc="CB6CA1A0">
      <w:start w:val="2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7C878A5"/>
    <w:multiLevelType w:val="hybridMultilevel"/>
    <w:tmpl w:val="4538DE76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170" w:hanging="360"/>
      </w:pPr>
      <w:rPr>
        <w:rFonts w:ascii="Calibri" w:eastAsiaTheme="minorHAnsi"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2" w15:restartNumberingAfterBreak="0">
    <w:nsid w:val="79EC25C9"/>
    <w:multiLevelType w:val="hybridMultilevel"/>
    <w:tmpl w:val="75E2C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AC41260"/>
    <w:multiLevelType w:val="hybridMultilevel"/>
    <w:tmpl w:val="407C3F18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4" w15:restartNumberingAfterBreak="0">
    <w:nsid w:val="7CE66048"/>
    <w:multiLevelType w:val="hybridMultilevel"/>
    <w:tmpl w:val="CA9C59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9"/>
  </w:num>
  <w:num w:numId="6">
    <w:abstractNumId w:val="65"/>
  </w:num>
  <w:num w:numId="7">
    <w:abstractNumId w:val="48"/>
  </w:num>
  <w:num w:numId="8">
    <w:abstractNumId w:val="23"/>
  </w:num>
  <w:num w:numId="9">
    <w:abstractNumId w:val="6"/>
  </w:num>
  <w:num w:numId="10">
    <w:abstractNumId w:val="93"/>
  </w:num>
  <w:num w:numId="11">
    <w:abstractNumId w:val="16"/>
  </w:num>
  <w:num w:numId="12">
    <w:abstractNumId w:val="50"/>
  </w:num>
  <w:num w:numId="13">
    <w:abstractNumId w:val="35"/>
  </w:num>
  <w:num w:numId="14">
    <w:abstractNumId w:val="82"/>
  </w:num>
  <w:num w:numId="15">
    <w:abstractNumId w:val="37"/>
  </w:num>
  <w:num w:numId="16">
    <w:abstractNumId w:val="56"/>
  </w:num>
  <w:num w:numId="17">
    <w:abstractNumId w:val="52"/>
  </w:num>
  <w:num w:numId="18">
    <w:abstractNumId w:val="42"/>
  </w:num>
  <w:num w:numId="19">
    <w:abstractNumId w:val="76"/>
  </w:num>
  <w:num w:numId="20">
    <w:abstractNumId w:val="63"/>
  </w:num>
  <w:num w:numId="21">
    <w:abstractNumId w:val="26"/>
  </w:num>
  <w:num w:numId="22">
    <w:abstractNumId w:val="54"/>
  </w:num>
  <w:num w:numId="23">
    <w:abstractNumId w:val="77"/>
  </w:num>
  <w:num w:numId="24">
    <w:abstractNumId w:val="62"/>
  </w:num>
  <w:num w:numId="25">
    <w:abstractNumId w:val="36"/>
  </w:num>
  <w:num w:numId="26">
    <w:abstractNumId w:val="70"/>
  </w:num>
  <w:num w:numId="27">
    <w:abstractNumId w:val="18"/>
  </w:num>
  <w:num w:numId="28">
    <w:abstractNumId w:val="71"/>
  </w:num>
  <w:num w:numId="29">
    <w:abstractNumId w:val="14"/>
  </w:num>
  <w:num w:numId="30">
    <w:abstractNumId w:val="68"/>
  </w:num>
  <w:num w:numId="31">
    <w:abstractNumId w:val="9"/>
  </w:num>
  <w:num w:numId="32">
    <w:abstractNumId w:val="32"/>
  </w:num>
  <w:num w:numId="33">
    <w:abstractNumId w:val="61"/>
  </w:num>
  <w:num w:numId="34">
    <w:abstractNumId w:val="69"/>
  </w:num>
  <w:num w:numId="35">
    <w:abstractNumId w:val="15"/>
  </w:num>
  <w:num w:numId="36">
    <w:abstractNumId w:val="72"/>
  </w:num>
  <w:num w:numId="37">
    <w:abstractNumId w:val="90"/>
  </w:num>
  <w:num w:numId="38">
    <w:abstractNumId w:val="5"/>
  </w:num>
  <w:num w:numId="39">
    <w:abstractNumId w:val="75"/>
  </w:num>
  <w:num w:numId="40">
    <w:abstractNumId w:val="87"/>
  </w:num>
  <w:num w:numId="41">
    <w:abstractNumId w:val="4"/>
  </w:num>
  <w:num w:numId="42">
    <w:abstractNumId w:val="41"/>
  </w:num>
  <w:num w:numId="43">
    <w:abstractNumId w:val="88"/>
  </w:num>
  <w:num w:numId="44">
    <w:abstractNumId w:val="47"/>
  </w:num>
  <w:num w:numId="45">
    <w:abstractNumId w:val="58"/>
  </w:num>
  <w:num w:numId="46">
    <w:abstractNumId w:val="53"/>
  </w:num>
  <w:num w:numId="47">
    <w:abstractNumId w:val="29"/>
  </w:num>
  <w:num w:numId="48">
    <w:abstractNumId w:val="91"/>
  </w:num>
  <w:num w:numId="49">
    <w:abstractNumId w:val="8"/>
  </w:num>
  <w:num w:numId="50">
    <w:abstractNumId w:val="21"/>
  </w:num>
  <w:num w:numId="51">
    <w:abstractNumId w:val="38"/>
  </w:num>
  <w:num w:numId="52">
    <w:abstractNumId w:val="20"/>
  </w:num>
  <w:num w:numId="53">
    <w:abstractNumId w:val="17"/>
  </w:num>
  <w:num w:numId="54">
    <w:abstractNumId w:val="43"/>
  </w:num>
  <w:num w:numId="55">
    <w:abstractNumId w:val="13"/>
  </w:num>
  <w:num w:numId="56">
    <w:abstractNumId w:val="64"/>
  </w:num>
  <w:num w:numId="57">
    <w:abstractNumId w:val="11"/>
  </w:num>
  <w:num w:numId="58">
    <w:abstractNumId w:val="33"/>
  </w:num>
  <w:num w:numId="59">
    <w:abstractNumId w:val="67"/>
  </w:num>
  <w:num w:numId="60">
    <w:abstractNumId w:val="22"/>
  </w:num>
  <w:num w:numId="61">
    <w:abstractNumId w:val="27"/>
  </w:num>
  <w:num w:numId="62">
    <w:abstractNumId w:val="45"/>
  </w:num>
  <w:num w:numId="63">
    <w:abstractNumId w:val="7"/>
  </w:num>
  <w:num w:numId="64">
    <w:abstractNumId w:val="83"/>
  </w:num>
  <w:num w:numId="65">
    <w:abstractNumId w:val="34"/>
  </w:num>
  <w:num w:numId="66">
    <w:abstractNumId w:val="84"/>
  </w:num>
  <w:num w:numId="67">
    <w:abstractNumId w:val="44"/>
  </w:num>
  <w:num w:numId="68">
    <w:abstractNumId w:val="74"/>
  </w:num>
  <w:num w:numId="69">
    <w:abstractNumId w:val="78"/>
  </w:num>
  <w:num w:numId="70">
    <w:abstractNumId w:val="80"/>
  </w:num>
  <w:num w:numId="71">
    <w:abstractNumId w:val="55"/>
  </w:num>
  <w:num w:numId="72">
    <w:abstractNumId w:val="30"/>
  </w:num>
  <w:num w:numId="73">
    <w:abstractNumId w:val="57"/>
  </w:num>
  <w:num w:numId="74">
    <w:abstractNumId w:val="39"/>
  </w:num>
  <w:num w:numId="75">
    <w:abstractNumId w:val="10"/>
  </w:num>
  <w:num w:numId="76">
    <w:abstractNumId w:val="12"/>
  </w:num>
  <w:num w:numId="77">
    <w:abstractNumId w:val="89"/>
  </w:num>
  <w:num w:numId="78">
    <w:abstractNumId w:val="31"/>
  </w:num>
  <w:num w:numId="79">
    <w:abstractNumId w:val="24"/>
  </w:num>
  <w:num w:numId="80">
    <w:abstractNumId w:val="86"/>
  </w:num>
  <w:num w:numId="81">
    <w:abstractNumId w:val="25"/>
  </w:num>
  <w:num w:numId="82">
    <w:abstractNumId w:val="51"/>
  </w:num>
  <w:num w:numId="83">
    <w:abstractNumId w:val="19"/>
  </w:num>
  <w:num w:numId="84">
    <w:abstractNumId w:val="73"/>
  </w:num>
  <w:num w:numId="85">
    <w:abstractNumId w:val="40"/>
  </w:num>
  <w:num w:numId="86">
    <w:abstractNumId w:val="94"/>
  </w:num>
  <w:num w:numId="87">
    <w:abstractNumId w:val="28"/>
  </w:num>
  <w:num w:numId="88">
    <w:abstractNumId w:val="85"/>
  </w:num>
  <w:num w:numId="89">
    <w:abstractNumId w:val="81"/>
  </w:num>
  <w:num w:numId="90">
    <w:abstractNumId w:val="46"/>
  </w:num>
  <w:num w:numId="91">
    <w:abstractNumId w:val="59"/>
  </w:num>
  <w:num w:numId="92">
    <w:abstractNumId w:val="60"/>
  </w:num>
  <w:num w:numId="93">
    <w:abstractNumId w:val="92"/>
  </w:num>
  <w:num w:numId="94">
    <w:abstractNumId w:val="79"/>
  </w:num>
  <w:num w:numId="95">
    <w:abstractNumId w:val="6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stylePaneSortMethod w:val="000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3FE"/>
    <w:rsid w:val="00000334"/>
    <w:rsid w:val="000005FE"/>
    <w:rsid w:val="00005680"/>
    <w:rsid w:val="000058A1"/>
    <w:rsid w:val="000063C9"/>
    <w:rsid w:val="00006B9F"/>
    <w:rsid w:val="00011550"/>
    <w:rsid w:val="00011DD4"/>
    <w:rsid w:val="00012E5A"/>
    <w:rsid w:val="000131A3"/>
    <w:rsid w:val="000135F9"/>
    <w:rsid w:val="00014B89"/>
    <w:rsid w:val="00017256"/>
    <w:rsid w:val="000172FC"/>
    <w:rsid w:val="000173B3"/>
    <w:rsid w:val="00020D44"/>
    <w:rsid w:val="00021A39"/>
    <w:rsid w:val="00022715"/>
    <w:rsid w:val="000229EF"/>
    <w:rsid w:val="00022E1D"/>
    <w:rsid w:val="000251F1"/>
    <w:rsid w:val="00025E7D"/>
    <w:rsid w:val="00031F08"/>
    <w:rsid w:val="00032B71"/>
    <w:rsid w:val="00033FC8"/>
    <w:rsid w:val="00035845"/>
    <w:rsid w:val="00035DBA"/>
    <w:rsid w:val="00037C17"/>
    <w:rsid w:val="00040464"/>
    <w:rsid w:val="00041DB4"/>
    <w:rsid w:val="000429AC"/>
    <w:rsid w:val="00042B6A"/>
    <w:rsid w:val="00042B99"/>
    <w:rsid w:val="00043BD3"/>
    <w:rsid w:val="00043CF2"/>
    <w:rsid w:val="00045ECD"/>
    <w:rsid w:val="00045FE8"/>
    <w:rsid w:val="000516C4"/>
    <w:rsid w:val="000517C0"/>
    <w:rsid w:val="00052768"/>
    <w:rsid w:val="00052EA7"/>
    <w:rsid w:val="00053D7B"/>
    <w:rsid w:val="0005400F"/>
    <w:rsid w:val="00055C2E"/>
    <w:rsid w:val="000576C3"/>
    <w:rsid w:val="00057C98"/>
    <w:rsid w:val="000604BF"/>
    <w:rsid w:val="00061C6E"/>
    <w:rsid w:val="000637A6"/>
    <w:rsid w:val="00065D26"/>
    <w:rsid w:val="00066BBA"/>
    <w:rsid w:val="000709B9"/>
    <w:rsid w:val="00071509"/>
    <w:rsid w:val="000726EA"/>
    <w:rsid w:val="00072858"/>
    <w:rsid w:val="00072B76"/>
    <w:rsid w:val="000730F3"/>
    <w:rsid w:val="0007715B"/>
    <w:rsid w:val="000808A3"/>
    <w:rsid w:val="000810F6"/>
    <w:rsid w:val="00081C31"/>
    <w:rsid w:val="00083DD5"/>
    <w:rsid w:val="00084DFA"/>
    <w:rsid w:val="00090C7A"/>
    <w:rsid w:val="0009224F"/>
    <w:rsid w:val="00092341"/>
    <w:rsid w:val="00092877"/>
    <w:rsid w:val="00093F81"/>
    <w:rsid w:val="0009411F"/>
    <w:rsid w:val="0009444A"/>
    <w:rsid w:val="00094645"/>
    <w:rsid w:val="00094F54"/>
    <w:rsid w:val="00095A8D"/>
    <w:rsid w:val="000961D8"/>
    <w:rsid w:val="00096C42"/>
    <w:rsid w:val="000A05DB"/>
    <w:rsid w:val="000A39BD"/>
    <w:rsid w:val="000A3D42"/>
    <w:rsid w:val="000A44F3"/>
    <w:rsid w:val="000A5514"/>
    <w:rsid w:val="000A61CB"/>
    <w:rsid w:val="000A66A9"/>
    <w:rsid w:val="000A783D"/>
    <w:rsid w:val="000A7F05"/>
    <w:rsid w:val="000B1D31"/>
    <w:rsid w:val="000B2077"/>
    <w:rsid w:val="000B2E3C"/>
    <w:rsid w:val="000B438F"/>
    <w:rsid w:val="000B4403"/>
    <w:rsid w:val="000B493A"/>
    <w:rsid w:val="000B5F92"/>
    <w:rsid w:val="000B60AC"/>
    <w:rsid w:val="000B6C05"/>
    <w:rsid w:val="000B6D74"/>
    <w:rsid w:val="000C1BB4"/>
    <w:rsid w:val="000C20BD"/>
    <w:rsid w:val="000C2750"/>
    <w:rsid w:val="000C2B24"/>
    <w:rsid w:val="000C3230"/>
    <w:rsid w:val="000C3C7F"/>
    <w:rsid w:val="000C4E5A"/>
    <w:rsid w:val="000C5EA5"/>
    <w:rsid w:val="000D1B02"/>
    <w:rsid w:val="000D2DE0"/>
    <w:rsid w:val="000D5A99"/>
    <w:rsid w:val="000D67AE"/>
    <w:rsid w:val="000E2C94"/>
    <w:rsid w:val="000E4AA4"/>
    <w:rsid w:val="000E6138"/>
    <w:rsid w:val="000F31B2"/>
    <w:rsid w:val="000F3629"/>
    <w:rsid w:val="000F37D4"/>
    <w:rsid w:val="000F3BFF"/>
    <w:rsid w:val="000F3C7C"/>
    <w:rsid w:val="000F4404"/>
    <w:rsid w:val="000F5A5C"/>
    <w:rsid w:val="000F5C22"/>
    <w:rsid w:val="000F71BD"/>
    <w:rsid w:val="000F785A"/>
    <w:rsid w:val="001008F5"/>
    <w:rsid w:val="00100F61"/>
    <w:rsid w:val="0010113D"/>
    <w:rsid w:val="001016CC"/>
    <w:rsid w:val="001018AB"/>
    <w:rsid w:val="00102A6C"/>
    <w:rsid w:val="0010462B"/>
    <w:rsid w:val="00106067"/>
    <w:rsid w:val="00110C92"/>
    <w:rsid w:val="00110F65"/>
    <w:rsid w:val="001142BC"/>
    <w:rsid w:val="0011439F"/>
    <w:rsid w:val="00115A15"/>
    <w:rsid w:val="0011727C"/>
    <w:rsid w:val="00117DC5"/>
    <w:rsid w:val="00120523"/>
    <w:rsid w:val="00120650"/>
    <w:rsid w:val="001208AE"/>
    <w:rsid w:val="00120B4B"/>
    <w:rsid w:val="00123AD3"/>
    <w:rsid w:val="0012599A"/>
    <w:rsid w:val="001265CF"/>
    <w:rsid w:val="00127AE6"/>
    <w:rsid w:val="00130191"/>
    <w:rsid w:val="00132576"/>
    <w:rsid w:val="0013283B"/>
    <w:rsid w:val="00132A29"/>
    <w:rsid w:val="00134E92"/>
    <w:rsid w:val="001351C0"/>
    <w:rsid w:val="00135C16"/>
    <w:rsid w:val="00136294"/>
    <w:rsid w:val="001362AF"/>
    <w:rsid w:val="00137513"/>
    <w:rsid w:val="001411CB"/>
    <w:rsid w:val="00143A60"/>
    <w:rsid w:val="00144AD8"/>
    <w:rsid w:val="001457BC"/>
    <w:rsid w:val="00147347"/>
    <w:rsid w:val="00147CE0"/>
    <w:rsid w:val="00153E97"/>
    <w:rsid w:val="00156FD1"/>
    <w:rsid w:val="00157BD7"/>
    <w:rsid w:val="00157E6E"/>
    <w:rsid w:val="001616A1"/>
    <w:rsid w:val="00162B0D"/>
    <w:rsid w:val="00163881"/>
    <w:rsid w:val="00165112"/>
    <w:rsid w:val="001657EF"/>
    <w:rsid w:val="001659E4"/>
    <w:rsid w:val="00166337"/>
    <w:rsid w:val="00167200"/>
    <w:rsid w:val="001708B9"/>
    <w:rsid w:val="00171273"/>
    <w:rsid w:val="0017280D"/>
    <w:rsid w:val="0017318A"/>
    <w:rsid w:val="00174FEF"/>
    <w:rsid w:val="001757CE"/>
    <w:rsid w:val="0017585F"/>
    <w:rsid w:val="001808D2"/>
    <w:rsid w:val="00180BDA"/>
    <w:rsid w:val="00180E1E"/>
    <w:rsid w:val="0018108F"/>
    <w:rsid w:val="00183E0D"/>
    <w:rsid w:val="0018451F"/>
    <w:rsid w:val="001845D0"/>
    <w:rsid w:val="00186929"/>
    <w:rsid w:val="00186FC8"/>
    <w:rsid w:val="0019043F"/>
    <w:rsid w:val="0019144B"/>
    <w:rsid w:val="001925C1"/>
    <w:rsid w:val="00193B84"/>
    <w:rsid w:val="00193D43"/>
    <w:rsid w:val="001945F9"/>
    <w:rsid w:val="00195734"/>
    <w:rsid w:val="00195CAE"/>
    <w:rsid w:val="00195F15"/>
    <w:rsid w:val="00195F7B"/>
    <w:rsid w:val="00197155"/>
    <w:rsid w:val="001975EF"/>
    <w:rsid w:val="0019765A"/>
    <w:rsid w:val="001A0292"/>
    <w:rsid w:val="001A0962"/>
    <w:rsid w:val="001A45CF"/>
    <w:rsid w:val="001A4DEE"/>
    <w:rsid w:val="001A582C"/>
    <w:rsid w:val="001A65CF"/>
    <w:rsid w:val="001B0F94"/>
    <w:rsid w:val="001B21F8"/>
    <w:rsid w:val="001B4781"/>
    <w:rsid w:val="001B49AF"/>
    <w:rsid w:val="001B52AB"/>
    <w:rsid w:val="001B535E"/>
    <w:rsid w:val="001B5C19"/>
    <w:rsid w:val="001B73AD"/>
    <w:rsid w:val="001B7E58"/>
    <w:rsid w:val="001C0133"/>
    <w:rsid w:val="001C3BE7"/>
    <w:rsid w:val="001C487B"/>
    <w:rsid w:val="001C7535"/>
    <w:rsid w:val="001D03A7"/>
    <w:rsid w:val="001D2671"/>
    <w:rsid w:val="001D4B22"/>
    <w:rsid w:val="001D50C3"/>
    <w:rsid w:val="001D6822"/>
    <w:rsid w:val="001D6F81"/>
    <w:rsid w:val="001D7490"/>
    <w:rsid w:val="001E016B"/>
    <w:rsid w:val="001E125E"/>
    <w:rsid w:val="001E293A"/>
    <w:rsid w:val="001E4462"/>
    <w:rsid w:val="001E450C"/>
    <w:rsid w:val="001E6E19"/>
    <w:rsid w:val="001E7D3E"/>
    <w:rsid w:val="001F0AC6"/>
    <w:rsid w:val="001F1079"/>
    <w:rsid w:val="001F38BE"/>
    <w:rsid w:val="001F4B59"/>
    <w:rsid w:val="001F61B8"/>
    <w:rsid w:val="001F6839"/>
    <w:rsid w:val="002019FC"/>
    <w:rsid w:val="00202F6F"/>
    <w:rsid w:val="00204CBA"/>
    <w:rsid w:val="00212852"/>
    <w:rsid w:val="00212CDB"/>
    <w:rsid w:val="00213931"/>
    <w:rsid w:val="00214566"/>
    <w:rsid w:val="00215563"/>
    <w:rsid w:val="002164ED"/>
    <w:rsid w:val="002167D2"/>
    <w:rsid w:val="00216CF6"/>
    <w:rsid w:val="00217747"/>
    <w:rsid w:val="00220492"/>
    <w:rsid w:val="00220CCF"/>
    <w:rsid w:val="00220CE4"/>
    <w:rsid w:val="00220CEC"/>
    <w:rsid w:val="0022232D"/>
    <w:rsid w:val="0022322B"/>
    <w:rsid w:val="002239BD"/>
    <w:rsid w:val="00227F1F"/>
    <w:rsid w:val="00230B49"/>
    <w:rsid w:val="00230B7E"/>
    <w:rsid w:val="00231B44"/>
    <w:rsid w:val="0023344F"/>
    <w:rsid w:val="002340B6"/>
    <w:rsid w:val="00234BA2"/>
    <w:rsid w:val="00235284"/>
    <w:rsid w:val="00235582"/>
    <w:rsid w:val="0023699A"/>
    <w:rsid w:val="002370AB"/>
    <w:rsid w:val="00237872"/>
    <w:rsid w:val="00242795"/>
    <w:rsid w:val="00244010"/>
    <w:rsid w:val="00244915"/>
    <w:rsid w:val="002512EF"/>
    <w:rsid w:val="00252514"/>
    <w:rsid w:val="00253D2A"/>
    <w:rsid w:val="00254E12"/>
    <w:rsid w:val="00255D53"/>
    <w:rsid w:val="00260CDE"/>
    <w:rsid w:val="00261E3B"/>
    <w:rsid w:val="00261E5F"/>
    <w:rsid w:val="002624DF"/>
    <w:rsid w:val="00262F61"/>
    <w:rsid w:val="00263DAE"/>
    <w:rsid w:val="002651BD"/>
    <w:rsid w:val="00267D70"/>
    <w:rsid w:val="002713F0"/>
    <w:rsid w:val="00271695"/>
    <w:rsid w:val="00272A78"/>
    <w:rsid w:val="00274949"/>
    <w:rsid w:val="00274C23"/>
    <w:rsid w:val="00275C4A"/>
    <w:rsid w:val="00284D72"/>
    <w:rsid w:val="002866FF"/>
    <w:rsid w:val="00292D75"/>
    <w:rsid w:val="002930B2"/>
    <w:rsid w:val="002937CD"/>
    <w:rsid w:val="00294819"/>
    <w:rsid w:val="00294BBA"/>
    <w:rsid w:val="00295586"/>
    <w:rsid w:val="00295E6B"/>
    <w:rsid w:val="00295ECD"/>
    <w:rsid w:val="002962BF"/>
    <w:rsid w:val="00297214"/>
    <w:rsid w:val="002A0E97"/>
    <w:rsid w:val="002A13EF"/>
    <w:rsid w:val="002A1D5E"/>
    <w:rsid w:val="002A2AE2"/>
    <w:rsid w:val="002A4002"/>
    <w:rsid w:val="002B13EC"/>
    <w:rsid w:val="002B1B99"/>
    <w:rsid w:val="002B2376"/>
    <w:rsid w:val="002B25BF"/>
    <w:rsid w:val="002B37E9"/>
    <w:rsid w:val="002B4054"/>
    <w:rsid w:val="002B4D02"/>
    <w:rsid w:val="002B6284"/>
    <w:rsid w:val="002B63DA"/>
    <w:rsid w:val="002B6D2E"/>
    <w:rsid w:val="002B6E06"/>
    <w:rsid w:val="002C18DA"/>
    <w:rsid w:val="002C3BCC"/>
    <w:rsid w:val="002C4B75"/>
    <w:rsid w:val="002C5FEA"/>
    <w:rsid w:val="002C690A"/>
    <w:rsid w:val="002C6E97"/>
    <w:rsid w:val="002C6F50"/>
    <w:rsid w:val="002C72AA"/>
    <w:rsid w:val="002C7C62"/>
    <w:rsid w:val="002D085E"/>
    <w:rsid w:val="002D41F7"/>
    <w:rsid w:val="002D7BFB"/>
    <w:rsid w:val="002E022C"/>
    <w:rsid w:val="002E1C00"/>
    <w:rsid w:val="002E25A0"/>
    <w:rsid w:val="002E3538"/>
    <w:rsid w:val="002E3BAE"/>
    <w:rsid w:val="002E55B0"/>
    <w:rsid w:val="002E7099"/>
    <w:rsid w:val="002E79C6"/>
    <w:rsid w:val="002F0388"/>
    <w:rsid w:val="002F2771"/>
    <w:rsid w:val="002F4450"/>
    <w:rsid w:val="002F5462"/>
    <w:rsid w:val="002F56C8"/>
    <w:rsid w:val="002F75BC"/>
    <w:rsid w:val="002F7BAE"/>
    <w:rsid w:val="0030357B"/>
    <w:rsid w:val="00304105"/>
    <w:rsid w:val="00305EA5"/>
    <w:rsid w:val="00305EEE"/>
    <w:rsid w:val="00310AB4"/>
    <w:rsid w:val="00312097"/>
    <w:rsid w:val="003121C1"/>
    <w:rsid w:val="0032044D"/>
    <w:rsid w:val="0032066E"/>
    <w:rsid w:val="00320D28"/>
    <w:rsid w:val="00321137"/>
    <w:rsid w:val="003213F3"/>
    <w:rsid w:val="00321AE1"/>
    <w:rsid w:val="00322F91"/>
    <w:rsid w:val="0032373B"/>
    <w:rsid w:val="00324D59"/>
    <w:rsid w:val="00325FD9"/>
    <w:rsid w:val="003273E7"/>
    <w:rsid w:val="00331D1F"/>
    <w:rsid w:val="00333D70"/>
    <w:rsid w:val="00336C0D"/>
    <w:rsid w:val="00337680"/>
    <w:rsid w:val="00337AB0"/>
    <w:rsid w:val="00343F35"/>
    <w:rsid w:val="003503DF"/>
    <w:rsid w:val="00350A24"/>
    <w:rsid w:val="00351C61"/>
    <w:rsid w:val="003522BF"/>
    <w:rsid w:val="003536B5"/>
    <w:rsid w:val="0035442D"/>
    <w:rsid w:val="00356E52"/>
    <w:rsid w:val="00357A3C"/>
    <w:rsid w:val="00357E4F"/>
    <w:rsid w:val="003612CF"/>
    <w:rsid w:val="00361D85"/>
    <w:rsid w:val="00362CEB"/>
    <w:rsid w:val="00363ABD"/>
    <w:rsid w:val="00363C7B"/>
    <w:rsid w:val="00363FAB"/>
    <w:rsid w:val="00365C40"/>
    <w:rsid w:val="00366C89"/>
    <w:rsid w:val="003672A5"/>
    <w:rsid w:val="0036797A"/>
    <w:rsid w:val="0037019A"/>
    <w:rsid w:val="00372D47"/>
    <w:rsid w:val="00375393"/>
    <w:rsid w:val="00375D3D"/>
    <w:rsid w:val="00375EB8"/>
    <w:rsid w:val="00376134"/>
    <w:rsid w:val="00376317"/>
    <w:rsid w:val="0037660E"/>
    <w:rsid w:val="00377AE4"/>
    <w:rsid w:val="00377B4C"/>
    <w:rsid w:val="00377D44"/>
    <w:rsid w:val="003810B3"/>
    <w:rsid w:val="0038122E"/>
    <w:rsid w:val="00382B24"/>
    <w:rsid w:val="00384353"/>
    <w:rsid w:val="003853E2"/>
    <w:rsid w:val="003863C7"/>
    <w:rsid w:val="0039181B"/>
    <w:rsid w:val="003918B4"/>
    <w:rsid w:val="003923FD"/>
    <w:rsid w:val="0039267B"/>
    <w:rsid w:val="003973F8"/>
    <w:rsid w:val="003A064B"/>
    <w:rsid w:val="003A0AF6"/>
    <w:rsid w:val="003A1C6F"/>
    <w:rsid w:val="003A360C"/>
    <w:rsid w:val="003A3A4D"/>
    <w:rsid w:val="003A494E"/>
    <w:rsid w:val="003A7C27"/>
    <w:rsid w:val="003B3379"/>
    <w:rsid w:val="003B3987"/>
    <w:rsid w:val="003B3C47"/>
    <w:rsid w:val="003B3F96"/>
    <w:rsid w:val="003B6522"/>
    <w:rsid w:val="003B679F"/>
    <w:rsid w:val="003B7B77"/>
    <w:rsid w:val="003C12AF"/>
    <w:rsid w:val="003C34B8"/>
    <w:rsid w:val="003C4BE4"/>
    <w:rsid w:val="003C4DE4"/>
    <w:rsid w:val="003C4E87"/>
    <w:rsid w:val="003C65FF"/>
    <w:rsid w:val="003C77AB"/>
    <w:rsid w:val="003D0493"/>
    <w:rsid w:val="003D16ED"/>
    <w:rsid w:val="003D1A80"/>
    <w:rsid w:val="003D54BF"/>
    <w:rsid w:val="003D5AD9"/>
    <w:rsid w:val="003D6E98"/>
    <w:rsid w:val="003D7F8B"/>
    <w:rsid w:val="003E108C"/>
    <w:rsid w:val="003E138D"/>
    <w:rsid w:val="003E1820"/>
    <w:rsid w:val="003E1CD0"/>
    <w:rsid w:val="003E2349"/>
    <w:rsid w:val="003E3540"/>
    <w:rsid w:val="003E49BA"/>
    <w:rsid w:val="003E761D"/>
    <w:rsid w:val="003F0749"/>
    <w:rsid w:val="003F2224"/>
    <w:rsid w:val="003F2F79"/>
    <w:rsid w:val="003F4EDC"/>
    <w:rsid w:val="003F7332"/>
    <w:rsid w:val="00402CBB"/>
    <w:rsid w:val="00402D56"/>
    <w:rsid w:val="00404077"/>
    <w:rsid w:val="004041A9"/>
    <w:rsid w:val="00404297"/>
    <w:rsid w:val="004052BC"/>
    <w:rsid w:val="0040530D"/>
    <w:rsid w:val="004056F8"/>
    <w:rsid w:val="004066C3"/>
    <w:rsid w:val="00411284"/>
    <w:rsid w:val="00412EA0"/>
    <w:rsid w:val="004160D6"/>
    <w:rsid w:val="00420811"/>
    <w:rsid w:val="00420E07"/>
    <w:rsid w:val="00425F9A"/>
    <w:rsid w:val="004260CE"/>
    <w:rsid w:val="004265FD"/>
    <w:rsid w:val="0043006A"/>
    <w:rsid w:val="004312D5"/>
    <w:rsid w:val="004314E1"/>
    <w:rsid w:val="00431E74"/>
    <w:rsid w:val="00432002"/>
    <w:rsid w:val="00434B3C"/>
    <w:rsid w:val="004355A3"/>
    <w:rsid w:val="00436B1D"/>
    <w:rsid w:val="00436E4A"/>
    <w:rsid w:val="00440582"/>
    <w:rsid w:val="0044117C"/>
    <w:rsid w:val="004427DE"/>
    <w:rsid w:val="00442BFF"/>
    <w:rsid w:val="00444397"/>
    <w:rsid w:val="0044558B"/>
    <w:rsid w:val="00447916"/>
    <w:rsid w:val="004509E3"/>
    <w:rsid w:val="00451AD9"/>
    <w:rsid w:val="00451C51"/>
    <w:rsid w:val="00452ABB"/>
    <w:rsid w:val="00452BD2"/>
    <w:rsid w:val="004533F9"/>
    <w:rsid w:val="0045650C"/>
    <w:rsid w:val="0045730E"/>
    <w:rsid w:val="004627B0"/>
    <w:rsid w:val="00465882"/>
    <w:rsid w:val="004677F8"/>
    <w:rsid w:val="00470C21"/>
    <w:rsid w:val="00472F0F"/>
    <w:rsid w:val="00473614"/>
    <w:rsid w:val="00473B91"/>
    <w:rsid w:val="00484356"/>
    <w:rsid w:val="0048498B"/>
    <w:rsid w:val="0048525B"/>
    <w:rsid w:val="004860A3"/>
    <w:rsid w:val="0048624A"/>
    <w:rsid w:val="00486736"/>
    <w:rsid w:val="00487EB8"/>
    <w:rsid w:val="00491526"/>
    <w:rsid w:val="00492028"/>
    <w:rsid w:val="00494A36"/>
    <w:rsid w:val="00495619"/>
    <w:rsid w:val="004977BE"/>
    <w:rsid w:val="00497CFA"/>
    <w:rsid w:val="004A0742"/>
    <w:rsid w:val="004A0DCC"/>
    <w:rsid w:val="004A4506"/>
    <w:rsid w:val="004A5145"/>
    <w:rsid w:val="004A5EA8"/>
    <w:rsid w:val="004A6133"/>
    <w:rsid w:val="004A6C1B"/>
    <w:rsid w:val="004B0B22"/>
    <w:rsid w:val="004B443B"/>
    <w:rsid w:val="004B55AE"/>
    <w:rsid w:val="004B6258"/>
    <w:rsid w:val="004C0E4D"/>
    <w:rsid w:val="004C1017"/>
    <w:rsid w:val="004C183C"/>
    <w:rsid w:val="004C2616"/>
    <w:rsid w:val="004C623A"/>
    <w:rsid w:val="004D0D6D"/>
    <w:rsid w:val="004D159E"/>
    <w:rsid w:val="004D1F57"/>
    <w:rsid w:val="004D2EA9"/>
    <w:rsid w:val="004D3B8A"/>
    <w:rsid w:val="004D49FC"/>
    <w:rsid w:val="004D661F"/>
    <w:rsid w:val="004E0A2C"/>
    <w:rsid w:val="004E0D08"/>
    <w:rsid w:val="004E3A07"/>
    <w:rsid w:val="004E6992"/>
    <w:rsid w:val="004E71C0"/>
    <w:rsid w:val="004E7BDE"/>
    <w:rsid w:val="004E7FA3"/>
    <w:rsid w:val="004F290D"/>
    <w:rsid w:val="004F2CEE"/>
    <w:rsid w:val="004F3CBB"/>
    <w:rsid w:val="004F47B4"/>
    <w:rsid w:val="004F4A4B"/>
    <w:rsid w:val="004F5380"/>
    <w:rsid w:val="004F7EAB"/>
    <w:rsid w:val="005004C0"/>
    <w:rsid w:val="005015F0"/>
    <w:rsid w:val="00501EFF"/>
    <w:rsid w:val="00502154"/>
    <w:rsid w:val="0050296C"/>
    <w:rsid w:val="00503157"/>
    <w:rsid w:val="00504856"/>
    <w:rsid w:val="00507A71"/>
    <w:rsid w:val="00507E6C"/>
    <w:rsid w:val="00511CC5"/>
    <w:rsid w:val="00512D5A"/>
    <w:rsid w:val="00512F8F"/>
    <w:rsid w:val="005145CC"/>
    <w:rsid w:val="00520A0C"/>
    <w:rsid w:val="00520B86"/>
    <w:rsid w:val="00522423"/>
    <w:rsid w:val="00523F6F"/>
    <w:rsid w:val="00526863"/>
    <w:rsid w:val="00526D31"/>
    <w:rsid w:val="005270F9"/>
    <w:rsid w:val="00527BCC"/>
    <w:rsid w:val="00527D72"/>
    <w:rsid w:val="00530886"/>
    <w:rsid w:val="005308BE"/>
    <w:rsid w:val="00530F84"/>
    <w:rsid w:val="00531801"/>
    <w:rsid w:val="00532A8C"/>
    <w:rsid w:val="00532F51"/>
    <w:rsid w:val="00542505"/>
    <w:rsid w:val="00543BA8"/>
    <w:rsid w:val="005454BC"/>
    <w:rsid w:val="00545593"/>
    <w:rsid w:val="005473F3"/>
    <w:rsid w:val="0054741F"/>
    <w:rsid w:val="005513EB"/>
    <w:rsid w:val="00560C96"/>
    <w:rsid w:val="00560D57"/>
    <w:rsid w:val="00561C52"/>
    <w:rsid w:val="00563C6F"/>
    <w:rsid w:val="00564F21"/>
    <w:rsid w:val="00566556"/>
    <w:rsid w:val="00566C4C"/>
    <w:rsid w:val="005676F0"/>
    <w:rsid w:val="00570C44"/>
    <w:rsid w:val="00573556"/>
    <w:rsid w:val="00573D2F"/>
    <w:rsid w:val="0057510A"/>
    <w:rsid w:val="0057637C"/>
    <w:rsid w:val="005775F7"/>
    <w:rsid w:val="005810D9"/>
    <w:rsid w:val="005843DE"/>
    <w:rsid w:val="005847CD"/>
    <w:rsid w:val="00585853"/>
    <w:rsid w:val="00586F3E"/>
    <w:rsid w:val="005902D8"/>
    <w:rsid w:val="0059053C"/>
    <w:rsid w:val="00590694"/>
    <w:rsid w:val="00592E11"/>
    <w:rsid w:val="00592E6C"/>
    <w:rsid w:val="00593BF7"/>
    <w:rsid w:val="00593CD9"/>
    <w:rsid w:val="00595170"/>
    <w:rsid w:val="005951FB"/>
    <w:rsid w:val="005967D7"/>
    <w:rsid w:val="0059682F"/>
    <w:rsid w:val="005969FB"/>
    <w:rsid w:val="00596AE3"/>
    <w:rsid w:val="00596E75"/>
    <w:rsid w:val="005975D8"/>
    <w:rsid w:val="00597AE6"/>
    <w:rsid w:val="005A29A3"/>
    <w:rsid w:val="005A35AB"/>
    <w:rsid w:val="005A45C7"/>
    <w:rsid w:val="005A4733"/>
    <w:rsid w:val="005A4C04"/>
    <w:rsid w:val="005A4DB1"/>
    <w:rsid w:val="005A4FDE"/>
    <w:rsid w:val="005A6464"/>
    <w:rsid w:val="005A6E7A"/>
    <w:rsid w:val="005B0592"/>
    <w:rsid w:val="005B0EA1"/>
    <w:rsid w:val="005B39FA"/>
    <w:rsid w:val="005B5956"/>
    <w:rsid w:val="005B6911"/>
    <w:rsid w:val="005B6B53"/>
    <w:rsid w:val="005C205F"/>
    <w:rsid w:val="005C2D89"/>
    <w:rsid w:val="005C4CE4"/>
    <w:rsid w:val="005C6341"/>
    <w:rsid w:val="005D05CF"/>
    <w:rsid w:val="005D3CF7"/>
    <w:rsid w:val="005D4417"/>
    <w:rsid w:val="005D4F99"/>
    <w:rsid w:val="005D52FD"/>
    <w:rsid w:val="005D5512"/>
    <w:rsid w:val="005D5CF6"/>
    <w:rsid w:val="005D77DA"/>
    <w:rsid w:val="005E03AF"/>
    <w:rsid w:val="005E3501"/>
    <w:rsid w:val="005E64D5"/>
    <w:rsid w:val="005E65DB"/>
    <w:rsid w:val="005F1968"/>
    <w:rsid w:val="005F1CDE"/>
    <w:rsid w:val="005F2159"/>
    <w:rsid w:val="005F2C8D"/>
    <w:rsid w:val="005F3082"/>
    <w:rsid w:val="005F3D7B"/>
    <w:rsid w:val="005F4669"/>
    <w:rsid w:val="005F525A"/>
    <w:rsid w:val="005F54F5"/>
    <w:rsid w:val="005F5563"/>
    <w:rsid w:val="005F5A7D"/>
    <w:rsid w:val="005F5F5B"/>
    <w:rsid w:val="005F68FD"/>
    <w:rsid w:val="005F74C0"/>
    <w:rsid w:val="00601161"/>
    <w:rsid w:val="006023A0"/>
    <w:rsid w:val="00602782"/>
    <w:rsid w:val="00604D90"/>
    <w:rsid w:val="00605199"/>
    <w:rsid w:val="00605C16"/>
    <w:rsid w:val="0061057F"/>
    <w:rsid w:val="00610D63"/>
    <w:rsid w:val="00611821"/>
    <w:rsid w:val="00612222"/>
    <w:rsid w:val="006144AD"/>
    <w:rsid w:val="00621D34"/>
    <w:rsid w:val="00624AB9"/>
    <w:rsid w:val="00624C5E"/>
    <w:rsid w:val="00626FD8"/>
    <w:rsid w:val="006316A8"/>
    <w:rsid w:val="006320DB"/>
    <w:rsid w:val="006325C6"/>
    <w:rsid w:val="00633BD0"/>
    <w:rsid w:val="00634260"/>
    <w:rsid w:val="0063441D"/>
    <w:rsid w:val="006346F9"/>
    <w:rsid w:val="00634F2D"/>
    <w:rsid w:val="0063693E"/>
    <w:rsid w:val="00636F50"/>
    <w:rsid w:val="00640E86"/>
    <w:rsid w:val="00641C24"/>
    <w:rsid w:val="006436E5"/>
    <w:rsid w:val="006464CD"/>
    <w:rsid w:val="00650D85"/>
    <w:rsid w:val="006528C9"/>
    <w:rsid w:val="006540ED"/>
    <w:rsid w:val="0065467D"/>
    <w:rsid w:val="00654A4E"/>
    <w:rsid w:val="00655889"/>
    <w:rsid w:val="00657E9F"/>
    <w:rsid w:val="006609D8"/>
    <w:rsid w:val="00660C0C"/>
    <w:rsid w:val="00661EAF"/>
    <w:rsid w:val="00662DAD"/>
    <w:rsid w:val="0066395C"/>
    <w:rsid w:val="00665515"/>
    <w:rsid w:val="006673E8"/>
    <w:rsid w:val="00671645"/>
    <w:rsid w:val="00671CBD"/>
    <w:rsid w:val="00671EC0"/>
    <w:rsid w:val="006759E4"/>
    <w:rsid w:val="00675ACB"/>
    <w:rsid w:val="00676F48"/>
    <w:rsid w:val="0067770B"/>
    <w:rsid w:val="00680A72"/>
    <w:rsid w:val="00684A9E"/>
    <w:rsid w:val="00684B44"/>
    <w:rsid w:val="006855C0"/>
    <w:rsid w:val="006856D4"/>
    <w:rsid w:val="00685E83"/>
    <w:rsid w:val="00686056"/>
    <w:rsid w:val="00686763"/>
    <w:rsid w:val="00690C1E"/>
    <w:rsid w:val="00691C32"/>
    <w:rsid w:val="006944FB"/>
    <w:rsid w:val="00695590"/>
    <w:rsid w:val="00695628"/>
    <w:rsid w:val="00695F18"/>
    <w:rsid w:val="006A27B4"/>
    <w:rsid w:val="006A27FF"/>
    <w:rsid w:val="006A3A79"/>
    <w:rsid w:val="006A473D"/>
    <w:rsid w:val="006A579E"/>
    <w:rsid w:val="006B0513"/>
    <w:rsid w:val="006B06F3"/>
    <w:rsid w:val="006B16E0"/>
    <w:rsid w:val="006B1D99"/>
    <w:rsid w:val="006B24BB"/>
    <w:rsid w:val="006B30D1"/>
    <w:rsid w:val="006B3C11"/>
    <w:rsid w:val="006B4816"/>
    <w:rsid w:val="006B6D9C"/>
    <w:rsid w:val="006B729F"/>
    <w:rsid w:val="006C02E4"/>
    <w:rsid w:val="006C0B23"/>
    <w:rsid w:val="006C1B91"/>
    <w:rsid w:val="006C37CF"/>
    <w:rsid w:val="006C392F"/>
    <w:rsid w:val="006C439F"/>
    <w:rsid w:val="006C4A21"/>
    <w:rsid w:val="006C4B84"/>
    <w:rsid w:val="006C5AD3"/>
    <w:rsid w:val="006C617F"/>
    <w:rsid w:val="006C647F"/>
    <w:rsid w:val="006C6C33"/>
    <w:rsid w:val="006D01E3"/>
    <w:rsid w:val="006D1220"/>
    <w:rsid w:val="006D1F76"/>
    <w:rsid w:val="006D6A17"/>
    <w:rsid w:val="006D77C7"/>
    <w:rsid w:val="006D7902"/>
    <w:rsid w:val="006E0085"/>
    <w:rsid w:val="006E34F5"/>
    <w:rsid w:val="006E6FAC"/>
    <w:rsid w:val="006F0DBC"/>
    <w:rsid w:val="006F65CA"/>
    <w:rsid w:val="006F6F8B"/>
    <w:rsid w:val="006F72B6"/>
    <w:rsid w:val="007013A8"/>
    <w:rsid w:val="00701494"/>
    <w:rsid w:val="00702E31"/>
    <w:rsid w:val="00705766"/>
    <w:rsid w:val="0070591E"/>
    <w:rsid w:val="00705E85"/>
    <w:rsid w:val="007066F2"/>
    <w:rsid w:val="007071A0"/>
    <w:rsid w:val="0071077B"/>
    <w:rsid w:val="00713E1F"/>
    <w:rsid w:val="00714470"/>
    <w:rsid w:val="007144F4"/>
    <w:rsid w:val="00714778"/>
    <w:rsid w:val="0071610A"/>
    <w:rsid w:val="007172D9"/>
    <w:rsid w:val="00717D06"/>
    <w:rsid w:val="00720888"/>
    <w:rsid w:val="0072138D"/>
    <w:rsid w:val="007237AF"/>
    <w:rsid w:val="00724194"/>
    <w:rsid w:val="00725323"/>
    <w:rsid w:val="00725CA5"/>
    <w:rsid w:val="007263D5"/>
    <w:rsid w:val="0072746D"/>
    <w:rsid w:val="007303A8"/>
    <w:rsid w:val="00730CCA"/>
    <w:rsid w:val="007312AA"/>
    <w:rsid w:val="007339D0"/>
    <w:rsid w:val="00734C1B"/>
    <w:rsid w:val="00734EAB"/>
    <w:rsid w:val="00736A98"/>
    <w:rsid w:val="0074207A"/>
    <w:rsid w:val="00743491"/>
    <w:rsid w:val="00744F8E"/>
    <w:rsid w:val="00745DF4"/>
    <w:rsid w:val="007460A4"/>
    <w:rsid w:val="0075094A"/>
    <w:rsid w:val="00750D3B"/>
    <w:rsid w:val="0075159B"/>
    <w:rsid w:val="007516F0"/>
    <w:rsid w:val="00751A2E"/>
    <w:rsid w:val="007525D3"/>
    <w:rsid w:val="00753A99"/>
    <w:rsid w:val="007550AB"/>
    <w:rsid w:val="007553AA"/>
    <w:rsid w:val="0076022E"/>
    <w:rsid w:val="007640E7"/>
    <w:rsid w:val="007653DA"/>
    <w:rsid w:val="0076614E"/>
    <w:rsid w:val="007667B1"/>
    <w:rsid w:val="00772986"/>
    <w:rsid w:val="00773725"/>
    <w:rsid w:val="00774BBB"/>
    <w:rsid w:val="007752A1"/>
    <w:rsid w:val="00777313"/>
    <w:rsid w:val="00777893"/>
    <w:rsid w:val="007815C1"/>
    <w:rsid w:val="00782608"/>
    <w:rsid w:val="007844FD"/>
    <w:rsid w:val="0078478C"/>
    <w:rsid w:val="00785215"/>
    <w:rsid w:val="0078691E"/>
    <w:rsid w:val="00790AF8"/>
    <w:rsid w:val="0079305A"/>
    <w:rsid w:val="007947A4"/>
    <w:rsid w:val="00795F3B"/>
    <w:rsid w:val="00796A12"/>
    <w:rsid w:val="00796B77"/>
    <w:rsid w:val="007A1421"/>
    <w:rsid w:val="007A3B2F"/>
    <w:rsid w:val="007A4FB4"/>
    <w:rsid w:val="007A543C"/>
    <w:rsid w:val="007A6B2B"/>
    <w:rsid w:val="007A7786"/>
    <w:rsid w:val="007A7918"/>
    <w:rsid w:val="007B0AB5"/>
    <w:rsid w:val="007B0CF2"/>
    <w:rsid w:val="007B11EC"/>
    <w:rsid w:val="007B29C4"/>
    <w:rsid w:val="007B2FB1"/>
    <w:rsid w:val="007B343F"/>
    <w:rsid w:val="007B4243"/>
    <w:rsid w:val="007B4261"/>
    <w:rsid w:val="007B4321"/>
    <w:rsid w:val="007C008A"/>
    <w:rsid w:val="007C0A4D"/>
    <w:rsid w:val="007C0C20"/>
    <w:rsid w:val="007C1087"/>
    <w:rsid w:val="007C1289"/>
    <w:rsid w:val="007C60E0"/>
    <w:rsid w:val="007C6EB8"/>
    <w:rsid w:val="007C7944"/>
    <w:rsid w:val="007C7C55"/>
    <w:rsid w:val="007D2207"/>
    <w:rsid w:val="007D58A7"/>
    <w:rsid w:val="007D5ED1"/>
    <w:rsid w:val="007D6B43"/>
    <w:rsid w:val="007D72F6"/>
    <w:rsid w:val="007E03C0"/>
    <w:rsid w:val="007E0DF3"/>
    <w:rsid w:val="007E2034"/>
    <w:rsid w:val="007E2836"/>
    <w:rsid w:val="007E4060"/>
    <w:rsid w:val="007E568A"/>
    <w:rsid w:val="007E62E6"/>
    <w:rsid w:val="007F0AFF"/>
    <w:rsid w:val="007F0D03"/>
    <w:rsid w:val="007F14C1"/>
    <w:rsid w:val="007F1B61"/>
    <w:rsid w:val="007F4828"/>
    <w:rsid w:val="007F57DA"/>
    <w:rsid w:val="008005C8"/>
    <w:rsid w:val="008006BE"/>
    <w:rsid w:val="00800C1E"/>
    <w:rsid w:val="0080397A"/>
    <w:rsid w:val="00803BBF"/>
    <w:rsid w:val="00804059"/>
    <w:rsid w:val="00807054"/>
    <w:rsid w:val="0080728A"/>
    <w:rsid w:val="00813086"/>
    <w:rsid w:val="0081335F"/>
    <w:rsid w:val="00813DBC"/>
    <w:rsid w:val="00813F7A"/>
    <w:rsid w:val="0081481E"/>
    <w:rsid w:val="008159D8"/>
    <w:rsid w:val="00815EBA"/>
    <w:rsid w:val="00816491"/>
    <w:rsid w:val="0082155F"/>
    <w:rsid w:val="00821DD2"/>
    <w:rsid w:val="00821F18"/>
    <w:rsid w:val="00822203"/>
    <w:rsid w:val="00822995"/>
    <w:rsid w:val="00822FC7"/>
    <w:rsid w:val="00825CB7"/>
    <w:rsid w:val="00827A4F"/>
    <w:rsid w:val="00827B37"/>
    <w:rsid w:val="00827CCD"/>
    <w:rsid w:val="008311FE"/>
    <w:rsid w:val="008312BF"/>
    <w:rsid w:val="00833378"/>
    <w:rsid w:val="008376C0"/>
    <w:rsid w:val="0083779A"/>
    <w:rsid w:val="00837F81"/>
    <w:rsid w:val="00840081"/>
    <w:rsid w:val="00840F1B"/>
    <w:rsid w:val="008424E8"/>
    <w:rsid w:val="00842866"/>
    <w:rsid w:val="00845238"/>
    <w:rsid w:val="00846875"/>
    <w:rsid w:val="00847AD7"/>
    <w:rsid w:val="00853C21"/>
    <w:rsid w:val="00854AD0"/>
    <w:rsid w:val="00855368"/>
    <w:rsid w:val="00855A9A"/>
    <w:rsid w:val="00856A0E"/>
    <w:rsid w:val="00857388"/>
    <w:rsid w:val="00860174"/>
    <w:rsid w:val="0086185E"/>
    <w:rsid w:val="008630F5"/>
    <w:rsid w:val="008631CE"/>
    <w:rsid w:val="00863209"/>
    <w:rsid w:val="00863DEC"/>
    <w:rsid w:val="0086409B"/>
    <w:rsid w:val="0086443E"/>
    <w:rsid w:val="0086541B"/>
    <w:rsid w:val="00870271"/>
    <w:rsid w:val="00871B4E"/>
    <w:rsid w:val="00872809"/>
    <w:rsid w:val="00872FD2"/>
    <w:rsid w:val="00873D35"/>
    <w:rsid w:val="0087436F"/>
    <w:rsid w:val="00874675"/>
    <w:rsid w:val="0087651F"/>
    <w:rsid w:val="00876869"/>
    <w:rsid w:val="00876B01"/>
    <w:rsid w:val="008817CC"/>
    <w:rsid w:val="00882E5D"/>
    <w:rsid w:val="00883BB1"/>
    <w:rsid w:val="008841C9"/>
    <w:rsid w:val="008845D6"/>
    <w:rsid w:val="008872F5"/>
    <w:rsid w:val="00887516"/>
    <w:rsid w:val="0088764F"/>
    <w:rsid w:val="00887A0C"/>
    <w:rsid w:val="008918F4"/>
    <w:rsid w:val="00891CB1"/>
    <w:rsid w:val="00894AFA"/>
    <w:rsid w:val="00894F9A"/>
    <w:rsid w:val="00895D5E"/>
    <w:rsid w:val="00896925"/>
    <w:rsid w:val="00896BD0"/>
    <w:rsid w:val="008A1D1E"/>
    <w:rsid w:val="008A23EF"/>
    <w:rsid w:val="008A3416"/>
    <w:rsid w:val="008A3A8C"/>
    <w:rsid w:val="008A3FD3"/>
    <w:rsid w:val="008A4970"/>
    <w:rsid w:val="008A4CAC"/>
    <w:rsid w:val="008A4FF3"/>
    <w:rsid w:val="008B0472"/>
    <w:rsid w:val="008B121C"/>
    <w:rsid w:val="008B26FD"/>
    <w:rsid w:val="008B2D10"/>
    <w:rsid w:val="008B2E86"/>
    <w:rsid w:val="008B6334"/>
    <w:rsid w:val="008B6CA1"/>
    <w:rsid w:val="008B7A37"/>
    <w:rsid w:val="008C06C2"/>
    <w:rsid w:val="008C0CF0"/>
    <w:rsid w:val="008C0EAA"/>
    <w:rsid w:val="008C2CBB"/>
    <w:rsid w:val="008C3676"/>
    <w:rsid w:val="008C41C4"/>
    <w:rsid w:val="008C469B"/>
    <w:rsid w:val="008C5A91"/>
    <w:rsid w:val="008C638F"/>
    <w:rsid w:val="008C6F86"/>
    <w:rsid w:val="008C7B07"/>
    <w:rsid w:val="008D1146"/>
    <w:rsid w:val="008D1403"/>
    <w:rsid w:val="008D1BBA"/>
    <w:rsid w:val="008D1CBD"/>
    <w:rsid w:val="008D2A44"/>
    <w:rsid w:val="008D2E5B"/>
    <w:rsid w:val="008D3AA6"/>
    <w:rsid w:val="008D3D9D"/>
    <w:rsid w:val="008D5CCB"/>
    <w:rsid w:val="008D772A"/>
    <w:rsid w:val="008E2BE9"/>
    <w:rsid w:val="008E3123"/>
    <w:rsid w:val="008E784F"/>
    <w:rsid w:val="008E7B8E"/>
    <w:rsid w:val="008E7ED3"/>
    <w:rsid w:val="008F0F12"/>
    <w:rsid w:val="008F31BA"/>
    <w:rsid w:val="008F3793"/>
    <w:rsid w:val="008F6942"/>
    <w:rsid w:val="00904097"/>
    <w:rsid w:val="009045C9"/>
    <w:rsid w:val="009053F7"/>
    <w:rsid w:val="00905422"/>
    <w:rsid w:val="00905A5C"/>
    <w:rsid w:val="00906283"/>
    <w:rsid w:val="00906505"/>
    <w:rsid w:val="0091035D"/>
    <w:rsid w:val="009108CC"/>
    <w:rsid w:val="00911AE1"/>
    <w:rsid w:val="00916949"/>
    <w:rsid w:val="00923BF5"/>
    <w:rsid w:val="0092418C"/>
    <w:rsid w:val="00925EA9"/>
    <w:rsid w:val="00926C2B"/>
    <w:rsid w:val="009273C8"/>
    <w:rsid w:val="00930258"/>
    <w:rsid w:val="00930A39"/>
    <w:rsid w:val="009350F0"/>
    <w:rsid w:val="0094113A"/>
    <w:rsid w:val="009419A4"/>
    <w:rsid w:val="00942658"/>
    <w:rsid w:val="009427F1"/>
    <w:rsid w:val="0094400C"/>
    <w:rsid w:val="009443AA"/>
    <w:rsid w:val="00944C63"/>
    <w:rsid w:val="00950E5E"/>
    <w:rsid w:val="00951207"/>
    <w:rsid w:val="00952D6E"/>
    <w:rsid w:val="009534DE"/>
    <w:rsid w:val="00953C25"/>
    <w:rsid w:val="009544EB"/>
    <w:rsid w:val="00954DA2"/>
    <w:rsid w:val="009569ED"/>
    <w:rsid w:val="009574E3"/>
    <w:rsid w:val="00957BA0"/>
    <w:rsid w:val="00960D1D"/>
    <w:rsid w:val="00961697"/>
    <w:rsid w:val="009648C5"/>
    <w:rsid w:val="00966540"/>
    <w:rsid w:val="00971EDF"/>
    <w:rsid w:val="0097280D"/>
    <w:rsid w:val="00972D96"/>
    <w:rsid w:val="0097413B"/>
    <w:rsid w:val="009749C6"/>
    <w:rsid w:val="00976FDD"/>
    <w:rsid w:val="00977BEA"/>
    <w:rsid w:val="00980D10"/>
    <w:rsid w:val="00981061"/>
    <w:rsid w:val="0098171B"/>
    <w:rsid w:val="00982C63"/>
    <w:rsid w:val="0098596A"/>
    <w:rsid w:val="0098739F"/>
    <w:rsid w:val="00991230"/>
    <w:rsid w:val="00991538"/>
    <w:rsid w:val="009917EA"/>
    <w:rsid w:val="00993041"/>
    <w:rsid w:val="0099372E"/>
    <w:rsid w:val="00994438"/>
    <w:rsid w:val="0099461B"/>
    <w:rsid w:val="00994C96"/>
    <w:rsid w:val="00995104"/>
    <w:rsid w:val="0099689F"/>
    <w:rsid w:val="009A0464"/>
    <w:rsid w:val="009A0909"/>
    <w:rsid w:val="009A0DE3"/>
    <w:rsid w:val="009A2C42"/>
    <w:rsid w:val="009A302B"/>
    <w:rsid w:val="009A44A5"/>
    <w:rsid w:val="009A5B1A"/>
    <w:rsid w:val="009A7585"/>
    <w:rsid w:val="009A758F"/>
    <w:rsid w:val="009B058D"/>
    <w:rsid w:val="009B139F"/>
    <w:rsid w:val="009B1A70"/>
    <w:rsid w:val="009B2B48"/>
    <w:rsid w:val="009B2D95"/>
    <w:rsid w:val="009B4048"/>
    <w:rsid w:val="009B57C3"/>
    <w:rsid w:val="009B588C"/>
    <w:rsid w:val="009B5EF0"/>
    <w:rsid w:val="009B60B8"/>
    <w:rsid w:val="009B7940"/>
    <w:rsid w:val="009C2AFC"/>
    <w:rsid w:val="009C3447"/>
    <w:rsid w:val="009C403B"/>
    <w:rsid w:val="009C51F2"/>
    <w:rsid w:val="009C5691"/>
    <w:rsid w:val="009C5B69"/>
    <w:rsid w:val="009C67F5"/>
    <w:rsid w:val="009D3564"/>
    <w:rsid w:val="009D5174"/>
    <w:rsid w:val="009D57E3"/>
    <w:rsid w:val="009E006D"/>
    <w:rsid w:val="009E042B"/>
    <w:rsid w:val="009E0A65"/>
    <w:rsid w:val="009E0E00"/>
    <w:rsid w:val="009E24F0"/>
    <w:rsid w:val="009E265C"/>
    <w:rsid w:val="009E3BD6"/>
    <w:rsid w:val="009E3D88"/>
    <w:rsid w:val="009E5122"/>
    <w:rsid w:val="009F1507"/>
    <w:rsid w:val="009F40A1"/>
    <w:rsid w:val="009F420E"/>
    <w:rsid w:val="00A01182"/>
    <w:rsid w:val="00A02087"/>
    <w:rsid w:val="00A04195"/>
    <w:rsid w:val="00A0456E"/>
    <w:rsid w:val="00A05548"/>
    <w:rsid w:val="00A063EE"/>
    <w:rsid w:val="00A11DDF"/>
    <w:rsid w:val="00A161A4"/>
    <w:rsid w:val="00A17957"/>
    <w:rsid w:val="00A20A30"/>
    <w:rsid w:val="00A22C63"/>
    <w:rsid w:val="00A23EE9"/>
    <w:rsid w:val="00A242F0"/>
    <w:rsid w:val="00A268FE"/>
    <w:rsid w:val="00A275D2"/>
    <w:rsid w:val="00A32258"/>
    <w:rsid w:val="00A33333"/>
    <w:rsid w:val="00A33567"/>
    <w:rsid w:val="00A34500"/>
    <w:rsid w:val="00A36C76"/>
    <w:rsid w:val="00A37554"/>
    <w:rsid w:val="00A40396"/>
    <w:rsid w:val="00A428E5"/>
    <w:rsid w:val="00A433FF"/>
    <w:rsid w:val="00A43B3E"/>
    <w:rsid w:val="00A4659B"/>
    <w:rsid w:val="00A47263"/>
    <w:rsid w:val="00A50A1F"/>
    <w:rsid w:val="00A52411"/>
    <w:rsid w:val="00A555F7"/>
    <w:rsid w:val="00A55F8F"/>
    <w:rsid w:val="00A57077"/>
    <w:rsid w:val="00A57241"/>
    <w:rsid w:val="00A57617"/>
    <w:rsid w:val="00A6059A"/>
    <w:rsid w:val="00A60D48"/>
    <w:rsid w:val="00A61755"/>
    <w:rsid w:val="00A622A2"/>
    <w:rsid w:val="00A63114"/>
    <w:rsid w:val="00A64AAC"/>
    <w:rsid w:val="00A64CF0"/>
    <w:rsid w:val="00A659E1"/>
    <w:rsid w:val="00A66F12"/>
    <w:rsid w:val="00A67918"/>
    <w:rsid w:val="00A70055"/>
    <w:rsid w:val="00A70401"/>
    <w:rsid w:val="00A70FC3"/>
    <w:rsid w:val="00A7281A"/>
    <w:rsid w:val="00A73B67"/>
    <w:rsid w:val="00A74D5C"/>
    <w:rsid w:val="00A75C5F"/>
    <w:rsid w:val="00A76BB7"/>
    <w:rsid w:val="00A8060B"/>
    <w:rsid w:val="00A80E0A"/>
    <w:rsid w:val="00A80E26"/>
    <w:rsid w:val="00A82D46"/>
    <w:rsid w:val="00A830B5"/>
    <w:rsid w:val="00A85445"/>
    <w:rsid w:val="00A900CC"/>
    <w:rsid w:val="00A9095F"/>
    <w:rsid w:val="00A90D78"/>
    <w:rsid w:val="00A9425C"/>
    <w:rsid w:val="00A944FA"/>
    <w:rsid w:val="00A947AC"/>
    <w:rsid w:val="00A97CA0"/>
    <w:rsid w:val="00A97EDE"/>
    <w:rsid w:val="00AA0521"/>
    <w:rsid w:val="00AA21DE"/>
    <w:rsid w:val="00AA3442"/>
    <w:rsid w:val="00AA34E3"/>
    <w:rsid w:val="00AA40CD"/>
    <w:rsid w:val="00AA4905"/>
    <w:rsid w:val="00AA6542"/>
    <w:rsid w:val="00AB1D46"/>
    <w:rsid w:val="00AB2538"/>
    <w:rsid w:val="00AB32A9"/>
    <w:rsid w:val="00AB3C32"/>
    <w:rsid w:val="00AB3DD5"/>
    <w:rsid w:val="00AB4C8D"/>
    <w:rsid w:val="00AB7D43"/>
    <w:rsid w:val="00AC02AA"/>
    <w:rsid w:val="00AC1A43"/>
    <w:rsid w:val="00AC1D94"/>
    <w:rsid w:val="00AC2081"/>
    <w:rsid w:val="00AC4A49"/>
    <w:rsid w:val="00AC5C42"/>
    <w:rsid w:val="00AC6D57"/>
    <w:rsid w:val="00AD3290"/>
    <w:rsid w:val="00AE05E4"/>
    <w:rsid w:val="00AE0FC7"/>
    <w:rsid w:val="00AE1162"/>
    <w:rsid w:val="00AE16C3"/>
    <w:rsid w:val="00AE2E4D"/>
    <w:rsid w:val="00AE369B"/>
    <w:rsid w:val="00AE3DF8"/>
    <w:rsid w:val="00AE4BC5"/>
    <w:rsid w:val="00AE6C40"/>
    <w:rsid w:val="00AE710A"/>
    <w:rsid w:val="00AE724D"/>
    <w:rsid w:val="00AF0076"/>
    <w:rsid w:val="00AF1CE5"/>
    <w:rsid w:val="00AF27DD"/>
    <w:rsid w:val="00AF3446"/>
    <w:rsid w:val="00AF585D"/>
    <w:rsid w:val="00AF7A91"/>
    <w:rsid w:val="00B0035E"/>
    <w:rsid w:val="00B00C60"/>
    <w:rsid w:val="00B01AB7"/>
    <w:rsid w:val="00B020E4"/>
    <w:rsid w:val="00B02432"/>
    <w:rsid w:val="00B028A5"/>
    <w:rsid w:val="00B04C34"/>
    <w:rsid w:val="00B055B1"/>
    <w:rsid w:val="00B065A2"/>
    <w:rsid w:val="00B0660D"/>
    <w:rsid w:val="00B06697"/>
    <w:rsid w:val="00B10920"/>
    <w:rsid w:val="00B10A72"/>
    <w:rsid w:val="00B134B9"/>
    <w:rsid w:val="00B13EA2"/>
    <w:rsid w:val="00B14890"/>
    <w:rsid w:val="00B14E48"/>
    <w:rsid w:val="00B1516F"/>
    <w:rsid w:val="00B15231"/>
    <w:rsid w:val="00B160F8"/>
    <w:rsid w:val="00B176C3"/>
    <w:rsid w:val="00B20167"/>
    <w:rsid w:val="00B202AD"/>
    <w:rsid w:val="00B20E03"/>
    <w:rsid w:val="00B22103"/>
    <w:rsid w:val="00B22F4F"/>
    <w:rsid w:val="00B2534C"/>
    <w:rsid w:val="00B253A1"/>
    <w:rsid w:val="00B2599F"/>
    <w:rsid w:val="00B262AB"/>
    <w:rsid w:val="00B26C06"/>
    <w:rsid w:val="00B30DD4"/>
    <w:rsid w:val="00B33CB7"/>
    <w:rsid w:val="00B33D34"/>
    <w:rsid w:val="00B352FA"/>
    <w:rsid w:val="00B36B5C"/>
    <w:rsid w:val="00B36D31"/>
    <w:rsid w:val="00B41E21"/>
    <w:rsid w:val="00B43146"/>
    <w:rsid w:val="00B44208"/>
    <w:rsid w:val="00B44442"/>
    <w:rsid w:val="00B44EDB"/>
    <w:rsid w:val="00B46969"/>
    <w:rsid w:val="00B47A1D"/>
    <w:rsid w:val="00B5019E"/>
    <w:rsid w:val="00B515B7"/>
    <w:rsid w:val="00B53183"/>
    <w:rsid w:val="00B5356B"/>
    <w:rsid w:val="00B539F7"/>
    <w:rsid w:val="00B53B6A"/>
    <w:rsid w:val="00B544D6"/>
    <w:rsid w:val="00B56812"/>
    <w:rsid w:val="00B57491"/>
    <w:rsid w:val="00B57B5A"/>
    <w:rsid w:val="00B617CD"/>
    <w:rsid w:val="00B657CB"/>
    <w:rsid w:val="00B666AD"/>
    <w:rsid w:val="00B667DA"/>
    <w:rsid w:val="00B66A05"/>
    <w:rsid w:val="00B66C5A"/>
    <w:rsid w:val="00B672A8"/>
    <w:rsid w:val="00B7210C"/>
    <w:rsid w:val="00B726CB"/>
    <w:rsid w:val="00B7473F"/>
    <w:rsid w:val="00B76AF5"/>
    <w:rsid w:val="00B76E4D"/>
    <w:rsid w:val="00B775D9"/>
    <w:rsid w:val="00B77EDB"/>
    <w:rsid w:val="00B800FB"/>
    <w:rsid w:val="00B80124"/>
    <w:rsid w:val="00B805E0"/>
    <w:rsid w:val="00B82026"/>
    <w:rsid w:val="00B8513F"/>
    <w:rsid w:val="00B9021B"/>
    <w:rsid w:val="00B91705"/>
    <w:rsid w:val="00B91C47"/>
    <w:rsid w:val="00B92DE1"/>
    <w:rsid w:val="00B93599"/>
    <w:rsid w:val="00B943CD"/>
    <w:rsid w:val="00B955FF"/>
    <w:rsid w:val="00B962CB"/>
    <w:rsid w:val="00B9789C"/>
    <w:rsid w:val="00B97A47"/>
    <w:rsid w:val="00BA04C9"/>
    <w:rsid w:val="00BA2902"/>
    <w:rsid w:val="00BA3BD8"/>
    <w:rsid w:val="00BA3CE4"/>
    <w:rsid w:val="00BB0829"/>
    <w:rsid w:val="00BB0A6C"/>
    <w:rsid w:val="00BB0B97"/>
    <w:rsid w:val="00BB1C84"/>
    <w:rsid w:val="00BB30E7"/>
    <w:rsid w:val="00BB352B"/>
    <w:rsid w:val="00BB393D"/>
    <w:rsid w:val="00BB4A7A"/>
    <w:rsid w:val="00BB6CB3"/>
    <w:rsid w:val="00BC0047"/>
    <w:rsid w:val="00BC0348"/>
    <w:rsid w:val="00BC0E09"/>
    <w:rsid w:val="00BC1978"/>
    <w:rsid w:val="00BC266F"/>
    <w:rsid w:val="00BC3585"/>
    <w:rsid w:val="00BC43FE"/>
    <w:rsid w:val="00BD29F2"/>
    <w:rsid w:val="00BD2C34"/>
    <w:rsid w:val="00BD6BA2"/>
    <w:rsid w:val="00BD7D55"/>
    <w:rsid w:val="00BE06B8"/>
    <w:rsid w:val="00BE0C60"/>
    <w:rsid w:val="00BE2616"/>
    <w:rsid w:val="00BE3A2C"/>
    <w:rsid w:val="00BE3C9C"/>
    <w:rsid w:val="00BE48D2"/>
    <w:rsid w:val="00BE77B1"/>
    <w:rsid w:val="00BE7998"/>
    <w:rsid w:val="00BF3A1D"/>
    <w:rsid w:val="00BF3A20"/>
    <w:rsid w:val="00BF67EE"/>
    <w:rsid w:val="00BF6F8B"/>
    <w:rsid w:val="00BF7F3F"/>
    <w:rsid w:val="00C01B6B"/>
    <w:rsid w:val="00C045D7"/>
    <w:rsid w:val="00C048F6"/>
    <w:rsid w:val="00C04DCF"/>
    <w:rsid w:val="00C0558D"/>
    <w:rsid w:val="00C05AB3"/>
    <w:rsid w:val="00C06177"/>
    <w:rsid w:val="00C075EA"/>
    <w:rsid w:val="00C13046"/>
    <w:rsid w:val="00C14605"/>
    <w:rsid w:val="00C153B0"/>
    <w:rsid w:val="00C158DA"/>
    <w:rsid w:val="00C208C3"/>
    <w:rsid w:val="00C234A9"/>
    <w:rsid w:val="00C23990"/>
    <w:rsid w:val="00C2589D"/>
    <w:rsid w:val="00C25A46"/>
    <w:rsid w:val="00C25EC1"/>
    <w:rsid w:val="00C276AF"/>
    <w:rsid w:val="00C30276"/>
    <w:rsid w:val="00C30625"/>
    <w:rsid w:val="00C3221F"/>
    <w:rsid w:val="00C32525"/>
    <w:rsid w:val="00C32AC1"/>
    <w:rsid w:val="00C32E41"/>
    <w:rsid w:val="00C33F51"/>
    <w:rsid w:val="00C34C43"/>
    <w:rsid w:val="00C34CE7"/>
    <w:rsid w:val="00C357DE"/>
    <w:rsid w:val="00C404B4"/>
    <w:rsid w:val="00C41BEB"/>
    <w:rsid w:val="00C41FB6"/>
    <w:rsid w:val="00C449F1"/>
    <w:rsid w:val="00C44E92"/>
    <w:rsid w:val="00C47550"/>
    <w:rsid w:val="00C50A26"/>
    <w:rsid w:val="00C54295"/>
    <w:rsid w:val="00C544F7"/>
    <w:rsid w:val="00C60217"/>
    <w:rsid w:val="00C6163D"/>
    <w:rsid w:val="00C61AC6"/>
    <w:rsid w:val="00C62D3A"/>
    <w:rsid w:val="00C65763"/>
    <w:rsid w:val="00C702C7"/>
    <w:rsid w:val="00C716C4"/>
    <w:rsid w:val="00C73EF7"/>
    <w:rsid w:val="00C7429C"/>
    <w:rsid w:val="00C74A63"/>
    <w:rsid w:val="00C762EB"/>
    <w:rsid w:val="00C80598"/>
    <w:rsid w:val="00C81CB1"/>
    <w:rsid w:val="00C82674"/>
    <w:rsid w:val="00C8300C"/>
    <w:rsid w:val="00C84045"/>
    <w:rsid w:val="00C844EE"/>
    <w:rsid w:val="00C8703B"/>
    <w:rsid w:val="00C87F99"/>
    <w:rsid w:val="00C9266D"/>
    <w:rsid w:val="00C928F2"/>
    <w:rsid w:val="00C9432A"/>
    <w:rsid w:val="00CA1D00"/>
    <w:rsid w:val="00CA21E5"/>
    <w:rsid w:val="00CA2345"/>
    <w:rsid w:val="00CA32FE"/>
    <w:rsid w:val="00CA40EE"/>
    <w:rsid w:val="00CA4E63"/>
    <w:rsid w:val="00CA5B05"/>
    <w:rsid w:val="00CA69A2"/>
    <w:rsid w:val="00CB0366"/>
    <w:rsid w:val="00CB0632"/>
    <w:rsid w:val="00CB5F8A"/>
    <w:rsid w:val="00CB6B4C"/>
    <w:rsid w:val="00CB7B1A"/>
    <w:rsid w:val="00CC08D4"/>
    <w:rsid w:val="00CC1C20"/>
    <w:rsid w:val="00CC2122"/>
    <w:rsid w:val="00CC2A1A"/>
    <w:rsid w:val="00CC2AAA"/>
    <w:rsid w:val="00CC34A3"/>
    <w:rsid w:val="00CC3BFA"/>
    <w:rsid w:val="00CC5E8F"/>
    <w:rsid w:val="00CC67BC"/>
    <w:rsid w:val="00CC73BC"/>
    <w:rsid w:val="00CC75C4"/>
    <w:rsid w:val="00CC7831"/>
    <w:rsid w:val="00CD3AE2"/>
    <w:rsid w:val="00CE0487"/>
    <w:rsid w:val="00CE1517"/>
    <w:rsid w:val="00CE1D9F"/>
    <w:rsid w:val="00CE3028"/>
    <w:rsid w:val="00CE3FD7"/>
    <w:rsid w:val="00CE7312"/>
    <w:rsid w:val="00CF0727"/>
    <w:rsid w:val="00CF259A"/>
    <w:rsid w:val="00CF2BF2"/>
    <w:rsid w:val="00CF3CA4"/>
    <w:rsid w:val="00CF546E"/>
    <w:rsid w:val="00CF560A"/>
    <w:rsid w:val="00CF73AA"/>
    <w:rsid w:val="00CF7F7F"/>
    <w:rsid w:val="00D0023B"/>
    <w:rsid w:val="00D01239"/>
    <w:rsid w:val="00D02FDA"/>
    <w:rsid w:val="00D11120"/>
    <w:rsid w:val="00D13397"/>
    <w:rsid w:val="00D16095"/>
    <w:rsid w:val="00D21B5F"/>
    <w:rsid w:val="00D236E8"/>
    <w:rsid w:val="00D23F08"/>
    <w:rsid w:val="00D250E5"/>
    <w:rsid w:val="00D251C6"/>
    <w:rsid w:val="00D25E33"/>
    <w:rsid w:val="00D27B73"/>
    <w:rsid w:val="00D307ED"/>
    <w:rsid w:val="00D326FE"/>
    <w:rsid w:val="00D329DF"/>
    <w:rsid w:val="00D33A2B"/>
    <w:rsid w:val="00D35465"/>
    <w:rsid w:val="00D35D23"/>
    <w:rsid w:val="00D36E73"/>
    <w:rsid w:val="00D410C4"/>
    <w:rsid w:val="00D4280C"/>
    <w:rsid w:val="00D42B09"/>
    <w:rsid w:val="00D42DC8"/>
    <w:rsid w:val="00D43BD9"/>
    <w:rsid w:val="00D45746"/>
    <w:rsid w:val="00D472D0"/>
    <w:rsid w:val="00D50A5B"/>
    <w:rsid w:val="00D5297D"/>
    <w:rsid w:val="00D52A6A"/>
    <w:rsid w:val="00D55683"/>
    <w:rsid w:val="00D61599"/>
    <w:rsid w:val="00D61886"/>
    <w:rsid w:val="00D61DFC"/>
    <w:rsid w:val="00D62704"/>
    <w:rsid w:val="00D62DBA"/>
    <w:rsid w:val="00D63E89"/>
    <w:rsid w:val="00D6603F"/>
    <w:rsid w:val="00D6677C"/>
    <w:rsid w:val="00D66B91"/>
    <w:rsid w:val="00D73889"/>
    <w:rsid w:val="00D75260"/>
    <w:rsid w:val="00D75925"/>
    <w:rsid w:val="00D768FD"/>
    <w:rsid w:val="00D76972"/>
    <w:rsid w:val="00D7725A"/>
    <w:rsid w:val="00D7732D"/>
    <w:rsid w:val="00D802C3"/>
    <w:rsid w:val="00D80A5C"/>
    <w:rsid w:val="00D80E1A"/>
    <w:rsid w:val="00D815D0"/>
    <w:rsid w:val="00D82425"/>
    <w:rsid w:val="00D82E12"/>
    <w:rsid w:val="00D842C8"/>
    <w:rsid w:val="00D84F13"/>
    <w:rsid w:val="00D86BB8"/>
    <w:rsid w:val="00D916CE"/>
    <w:rsid w:val="00D92FCD"/>
    <w:rsid w:val="00DA132B"/>
    <w:rsid w:val="00DA1962"/>
    <w:rsid w:val="00DA29BD"/>
    <w:rsid w:val="00DA5A7B"/>
    <w:rsid w:val="00DA5DCD"/>
    <w:rsid w:val="00DA7085"/>
    <w:rsid w:val="00DA7D20"/>
    <w:rsid w:val="00DB0CB1"/>
    <w:rsid w:val="00DB39FE"/>
    <w:rsid w:val="00DB4410"/>
    <w:rsid w:val="00DB5D79"/>
    <w:rsid w:val="00DC17C0"/>
    <w:rsid w:val="00DC2522"/>
    <w:rsid w:val="00DC3F57"/>
    <w:rsid w:val="00DC4A60"/>
    <w:rsid w:val="00DC4D91"/>
    <w:rsid w:val="00DC59F1"/>
    <w:rsid w:val="00DC65D0"/>
    <w:rsid w:val="00DC7AC4"/>
    <w:rsid w:val="00DD14B3"/>
    <w:rsid w:val="00DD5A1B"/>
    <w:rsid w:val="00DD6590"/>
    <w:rsid w:val="00DD715C"/>
    <w:rsid w:val="00DE111C"/>
    <w:rsid w:val="00DE18BC"/>
    <w:rsid w:val="00DE3A92"/>
    <w:rsid w:val="00DE5E02"/>
    <w:rsid w:val="00DE7898"/>
    <w:rsid w:val="00DF1DFC"/>
    <w:rsid w:val="00DF396F"/>
    <w:rsid w:val="00DF3B35"/>
    <w:rsid w:val="00DF41FD"/>
    <w:rsid w:val="00DF4B62"/>
    <w:rsid w:val="00DF6454"/>
    <w:rsid w:val="00DF70E8"/>
    <w:rsid w:val="00E00726"/>
    <w:rsid w:val="00E0265A"/>
    <w:rsid w:val="00E0285E"/>
    <w:rsid w:val="00E03F8C"/>
    <w:rsid w:val="00E0517E"/>
    <w:rsid w:val="00E066EC"/>
    <w:rsid w:val="00E078DE"/>
    <w:rsid w:val="00E10A53"/>
    <w:rsid w:val="00E12A43"/>
    <w:rsid w:val="00E14380"/>
    <w:rsid w:val="00E14799"/>
    <w:rsid w:val="00E15DEF"/>
    <w:rsid w:val="00E15E9E"/>
    <w:rsid w:val="00E16394"/>
    <w:rsid w:val="00E165D1"/>
    <w:rsid w:val="00E17868"/>
    <w:rsid w:val="00E17BFF"/>
    <w:rsid w:val="00E23B3D"/>
    <w:rsid w:val="00E2493C"/>
    <w:rsid w:val="00E26113"/>
    <w:rsid w:val="00E266A4"/>
    <w:rsid w:val="00E271AE"/>
    <w:rsid w:val="00E35306"/>
    <w:rsid w:val="00E35619"/>
    <w:rsid w:val="00E35847"/>
    <w:rsid w:val="00E35D1B"/>
    <w:rsid w:val="00E36C7A"/>
    <w:rsid w:val="00E37C6C"/>
    <w:rsid w:val="00E406E2"/>
    <w:rsid w:val="00E41D21"/>
    <w:rsid w:val="00E4362E"/>
    <w:rsid w:val="00E43AB6"/>
    <w:rsid w:val="00E43B9E"/>
    <w:rsid w:val="00E457C4"/>
    <w:rsid w:val="00E461D9"/>
    <w:rsid w:val="00E51605"/>
    <w:rsid w:val="00E51B83"/>
    <w:rsid w:val="00E52964"/>
    <w:rsid w:val="00E54BEF"/>
    <w:rsid w:val="00E55A41"/>
    <w:rsid w:val="00E56993"/>
    <w:rsid w:val="00E56F4A"/>
    <w:rsid w:val="00E606D2"/>
    <w:rsid w:val="00E6082C"/>
    <w:rsid w:val="00E60DD4"/>
    <w:rsid w:val="00E6123E"/>
    <w:rsid w:val="00E61D81"/>
    <w:rsid w:val="00E625F2"/>
    <w:rsid w:val="00E62625"/>
    <w:rsid w:val="00E64078"/>
    <w:rsid w:val="00E665E4"/>
    <w:rsid w:val="00E67729"/>
    <w:rsid w:val="00E70359"/>
    <w:rsid w:val="00E70874"/>
    <w:rsid w:val="00E70D8F"/>
    <w:rsid w:val="00E7300D"/>
    <w:rsid w:val="00E73CCD"/>
    <w:rsid w:val="00E73D0A"/>
    <w:rsid w:val="00E757D0"/>
    <w:rsid w:val="00E758D3"/>
    <w:rsid w:val="00E77210"/>
    <w:rsid w:val="00E77DC1"/>
    <w:rsid w:val="00E822FE"/>
    <w:rsid w:val="00E82807"/>
    <w:rsid w:val="00E83736"/>
    <w:rsid w:val="00E84F40"/>
    <w:rsid w:val="00E8725A"/>
    <w:rsid w:val="00E87432"/>
    <w:rsid w:val="00E87451"/>
    <w:rsid w:val="00E9014D"/>
    <w:rsid w:val="00E91549"/>
    <w:rsid w:val="00E9198A"/>
    <w:rsid w:val="00E93DF1"/>
    <w:rsid w:val="00E943B8"/>
    <w:rsid w:val="00E94C20"/>
    <w:rsid w:val="00E96336"/>
    <w:rsid w:val="00EA1305"/>
    <w:rsid w:val="00EA3916"/>
    <w:rsid w:val="00EA56E6"/>
    <w:rsid w:val="00EB0AA3"/>
    <w:rsid w:val="00EB172B"/>
    <w:rsid w:val="00EB209E"/>
    <w:rsid w:val="00EB467A"/>
    <w:rsid w:val="00EB5CD1"/>
    <w:rsid w:val="00EB6255"/>
    <w:rsid w:val="00EC0331"/>
    <w:rsid w:val="00EC1D8B"/>
    <w:rsid w:val="00EC1F27"/>
    <w:rsid w:val="00EC6CC9"/>
    <w:rsid w:val="00EC6F5A"/>
    <w:rsid w:val="00EC7D17"/>
    <w:rsid w:val="00ED508D"/>
    <w:rsid w:val="00ED50D9"/>
    <w:rsid w:val="00ED5A75"/>
    <w:rsid w:val="00ED7C26"/>
    <w:rsid w:val="00EE0535"/>
    <w:rsid w:val="00EE05FF"/>
    <w:rsid w:val="00EE08F4"/>
    <w:rsid w:val="00EE16D4"/>
    <w:rsid w:val="00EE1CD8"/>
    <w:rsid w:val="00EE2C87"/>
    <w:rsid w:val="00EE5CDC"/>
    <w:rsid w:val="00EE61A2"/>
    <w:rsid w:val="00EE6DE6"/>
    <w:rsid w:val="00EF0925"/>
    <w:rsid w:val="00EF2CF0"/>
    <w:rsid w:val="00EF4086"/>
    <w:rsid w:val="00EF71AC"/>
    <w:rsid w:val="00F01B72"/>
    <w:rsid w:val="00F024A8"/>
    <w:rsid w:val="00F045B9"/>
    <w:rsid w:val="00F048D1"/>
    <w:rsid w:val="00F106CC"/>
    <w:rsid w:val="00F10CCB"/>
    <w:rsid w:val="00F12904"/>
    <w:rsid w:val="00F12D25"/>
    <w:rsid w:val="00F1516F"/>
    <w:rsid w:val="00F1518C"/>
    <w:rsid w:val="00F153A6"/>
    <w:rsid w:val="00F15F5C"/>
    <w:rsid w:val="00F20845"/>
    <w:rsid w:val="00F22015"/>
    <w:rsid w:val="00F23266"/>
    <w:rsid w:val="00F24A14"/>
    <w:rsid w:val="00F25383"/>
    <w:rsid w:val="00F3081C"/>
    <w:rsid w:val="00F3150F"/>
    <w:rsid w:val="00F3249F"/>
    <w:rsid w:val="00F32F9F"/>
    <w:rsid w:val="00F37276"/>
    <w:rsid w:val="00F37880"/>
    <w:rsid w:val="00F41009"/>
    <w:rsid w:val="00F4301C"/>
    <w:rsid w:val="00F431E3"/>
    <w:rsid w:val="00F43238"/>
    <w:rsid w:val="00F448EC"/>
    <w:rsid w:val="00F44E7C"/>
    <w:rsid w:val="00F46119"/>
    <w:rsid w:val="00F47AD4"/>
    <w:rsid w:val="00F50048"/>
    <w:rsid w:val="00F50545"/>
    <w:rsid w:val="00F506EF"/>
    <w:rsid w:val="00F5140D"/>
    <w:rsid w:val="00F51C6F"/>
    <w:rsid w:val="00F5299F"/>
    <w:rsid w:val="00F53B09"/>
    <w:rsid w:val="00F5528F"/>
    <w:rsid w:val="00F55BB9"/>
    <w:rsid w:val="00F565A3"/>
    <w:rsid w:val="00F56953"/>
    <w:rsid w:val="00F611A5"/>
    <w:rsid w:val="00F64334"/>
    <w:rsid w:val="00F646E9"/>
    <w:rsid w:val="00F648EB"/>
    <w:rsid w:val="00F64D42"/>
    <w:rsid w:val="00F7103E"/>
    <w:rsid w:val="00F71D35"/>
    <w:rsid w:val="00F7435C"/>
    <w:rsid w:val="00F74775"/>
    <w:rsid w:val="00F7744A"/>
    <w:rsid w:val="00F84690"/>
    <w:rsid w:val="00F846E1"/>
    <w:rsid w:val="00F87517"/>
    <w:rsid w:val="00F9119D"/>
    <w:rsid w:val="00F958B9"/>
    <w:rsid w:val="00F973D7"/>
    <w:rsid w:val="00FA1392"/>
    <w:rsid w:val="00FA1B33"/>
    <w:rsid w:val="00FA2818"/>
    <w:rsid w:val="00FA40EA"/>
    <w:rsid w:val="00FA6EC4"/>
    <w:rsid w:val="00FA7C9A"/>
    <w:rsid w:val="00FB1C50"/>
    <w:rsid w:val="00FB25C1"/>
    <w:rsid w:val="00FB33F3"/>
    <w:rsid w:val="00FB579B"/>
    <w:rsid w:val="00FB6C38"/>
    <w:rsid w:val="00FC0514"/>
    <w:rsid w:val="00FC205C"/>
    <w:rsid w:val="00FC2104"/>
    <w:rsid w:val="00FC2B0D"/>
    <w:rsid w:val="00FC3A87"/>
    <w:rsid w:val="00FC3F37"/>
    <w:rsid w:val="00FC42B6"/>
    <w:rsid w:val="00FC5C06"/>
    <w:rsid w:val="00FC68E2"/>
    <w:rsid w:val="00FD2E1D"/>
    <w:rsid w:val="00FD3AC7"/>
    <w:rsid w:val="00FD505C"/>
    <w:rsid w:val="00FD5421"/>
    <w:rsid w:val="00FD5772"/>
    <w:rsid w:val="00FE3386"/>
    <w:rsid w:val="00FE366A"/>
    <w:rsid w:val="00FE4270"/>
    <w:rsid w:val="00FE4366"/>
    <w:rsid w:val="00FE5BE7"/>
    <w:rsid w:val="00FE7E6F"/>
    <w:rsid w:val="00FF0F52"/>
    <w:rsid w:val="00FF147F"/>
    <w:rsid w:val="00FF1A79"/>
    <w:rsid w:val="00FF1E39"/>
    <w:rsid w:val="00FF1E8D"/>
    <w:rsid w:val="00FF4083"/>
    <w:rsid w:val="00FF4664"/>
    <w:rsid w:val="00FF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7464574"/>
  <w15:docId w15:val="{2ECA58AB-C2CD-4087-B67E-ED6C18698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3EB"/>
    <w:pPr>
      <w:spacing w:before="120" w:after="120" w:line="288" w:lineRule="auto"/>
      <w:jc w:val="both"/>
    </w:pPr>
    <w:rPr>
      <w:sz w:val="18"/>
      <w:lang w:val="sk-SK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41009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color w:val="62B5E5" w:themeColor="accent3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B0035E"/>
    <w:pPr>
      <w:keepNext/>
      <w:keepLines/>
      <w:spacing w:before="240" w:after="0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CC08D4"/>
    <w:pPr>
      <w:keepNext/>
      <w:keepLines/>
      <w:spacing w:before="240" w:after="240"/>
      <w:outlineLvl w:val="2"/>
    </w:pPr>
    <w:rPr>
      <w:rFonts w:asciiTheme="majorHAnsi" w:eastAsiaTheme="majorEastAsia" w:hAnsiTheme="majorHAnsi" w:cstheme="majorBidi"/>
      <w:b/>
      <w:bCs/>
      <w:color w:val="75787B" w:themeColor="accent6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255D53"/>
    <w:pPr>
      <w:keepNext/>
      <w:keepLines/>
      <w:tabs>
        <w:tab w:val="left" w:pos="340"/>
      </w:tabs>
      <w:outlineLvl w:val="3"/>
    </w:pPr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1009"/>
    <w:rPr>
      <w:rFonts w:asciiTheme="majorHAnsi" w:eastAsiaTheme="majorEastAsia" w:hAnsiTheme="majorHAnsi" w:cstheme="majorBidi"/>
      <w:b/>
      <w:bCs/>
      <w:color w:val="62B5E5" w:themeColor="accent3"/>
      <w:sz w:val="18"/>
      <w:szCs w:val="28"/>
      <w:lang w:val="sk-SK"/>
    </w:rPr>
  </w:style>
  <w:style w:type="character" w:customStyle="1" w:styleId="Heading2Char">
    <w:name w:val="Heading 2 Char"/>
    <w:basedOn w:val="DefaultParagraphFont"/>
    <w:link w:val="Heading2"/>
    <w:uiPriority w:val="9"/>
    <w:rsid w:val="00B0035E"/>
    <w:rPr>
      <w:rFonts w:asciiTheme="majorHAnsi" w:eastAsiaTheme="majorEastAsia" w:hAnsiTheme="majorHAnsi" w:cstheme="majorBidi"/>
      <w:b/>
      <w:bCs/>
      <w:color w:val="000000" w:themeColor="text1"/>
      <w:sz w:val="18"/>
      <w:szCs w:val="26"/>
      <w:lang w:val="sk-SK"/>
    </w:rPr>
  </w:style>
  <w:style w:type="table" w:styleId="TableGrid">
    <w:name w:val="Table Grid"/>
    <w:basedOn w:val="TableNormal"/>
    <w:rsid w:val="001E016B"/>
    <w:pPr>
      <w:spacing w:after="0" w:line="240" w:lineRule="auto"/>
    </w:pPr>
    <w:tblPr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link w:val="HeaderChar"/>
    <w:uiPriority w:val="99"/>
    <w:rsid w:val="008631CE"/>
    <w:pPr>
      <w:tabs>
        <w:tab w:val="center" w:pos="4513"/>
        <w:tab w:val="right" w:pos="9026"/>
      </w:tabs>
      <w:spacing w:after="0" w:line="240" w:lineRule="auto"/>
    </w:pPr>
    <w:rPr>
      <w:b/>
      <w:sz w:val="1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631CE"/>
    <w:rPr>
      <w:b/>
      <w:sz w:val="14"/>
      <w:lang w:val="en-US"/>
    </w:rPr>
  </w:style>
  <w:style w:type="paragraph" w:styleId="Footer">
    <w:name w:val="footer"/>
    <w:basedOn w:val="Normal"/>
    <w:link w:val="FooterChar"/>
    <w:uiPriority w:val="99"/>
    <w:rsid w:val="001975EF"/>
    <w:pPr>
      <w:tabs>
        <w:tab w:val="right" w:pos="7371"/>
      </w:tabs>
      <w:spacing w:line="200" w:lineRule="atLeas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7550AB"/>
    <w:rPr>
      <w:sz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C702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2C7"/>
    <w:rPr>
      <w:rFonts w:ascii="Tahoma" w:hAnsi="Tahoma" w:cs="Tahoma"/>
      <w:sz w:val="16"/>
      <w:szCs w:val="16"/>
    </w:rPr>
  </w:style>
  <w:style w:type="paragraph" w:customStyle="1" w:styleId="Subject">
    <w:name w:val="Subject"/>
    <w:basedOn w:val="Normal"/>
    <w:semiHidden/>
    <w:qFormat/>
    <w:rsid w:val="00A43B3E"/>
    <w:rPr>
      <w:b/>
    </w:rPr>
  </w:style>
  <w:style w:type="character" w:styleId="PlaceholderText">
    <w:name w:val="Placeholder Text"/>
    <w:basedOn w:val="DefaultParagraphFont"/>
    <w:uiPriority w:val="99"/>
    <w:semiHidden/>
    <w:rsid w:val="001975EF"/>
    <w:rPr>
      <w:color w:val="808080"/>
    </w:rPr>
  </w:style>
  <w:style w:type="paragraph" w:styleId="ListBullet">
    <w:name w:val="List Bullet"/>
    <w:basedOn w:val="Normal"/>
    <w:autoRedefine/>
    <w:uiPriority w:val="99"/>
    <w:qFormat/>
    <w:rsid w:val="004E7BDE"/>
    <w:pPr>
      <w:numPr>
        <w:numId w:val="1"/>
      </w:numPr>
      <w:tabs>
        <w:tab w:val="clear" w:pos="360"/>
      </w:tabs>
      <w:ind w:left="284" w:hanging="284"/>
      <w:contextualSpacing/>
    </w:pPr>
  </w:style>
  <w:style w:type="paragraph" w:styleId="ListBullet2">
    <w:name w:val="List Bullet 2"/>
    <w:basedOn w:val="Normal"/>
    <w:autoRedefine/>
    <w:uiPriority w:val="99"/>
    <w:qFormat/>
    <w:rsid w:val="004E7BDE"/>
    <w:pPr>
      <w:numPr>
        <w:numId w:val="2"/>
      </w:numPr>
      <w:ind w:left="568" w:hanging="284"/>
      <w:contextualSpacing/>
    </w:pPr>
  </w:style>
  <w:style w:type="paragraph" w:styleId="ListNumber">
    <w:name w:val="List Number"/>
    <w:basedOn w:val="Normal"/>
    <w:autoRedefine/>
    <w:uiPriority w:val="99"/>
    <w:qFormat/>
    <w:rsid w:val="004E7BDE"/>
    <w:pPr>
      <w:numPr>
        <w:numId w:val="3"/>
      </w:numPr>
      <w:tabs>
        <w:tab w:val="clear" w:pos="360"/>
      </w:tabs>
      <w:ind w:left="284" w:hanging="284"/>
      <w:contextualSpacing/>
    </w:pPr>
  </w:style>
  <w:style w:type="paragraph" w:styleId="ListNumber2">
    <w:name w:val="List Number 2"/>
    <w:basedOn w:val="Normal"/>
    <w:uiPriority w:val="99"/>
    <w:qFormat/>
    <w:rsid w:val="004E7BDE"/>
    <w:pPr>
      <w:numPr>
        <w:numId w:val="4"/>
      </w:numPr>
      <w:ind w:left="568" w:hanging="284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C08D4"/>
    <w:rPr>
      <w:rFonts w:asciiTheme="majorHAnsi" w:eastAsiaTheme="majorEastAsia" w:hAnsiTheme="majorHAnsi" w:cstheme="majorBidi"/>
      <w:b/>
      <w:bCs/>
      <w:color w:val="75787B" w:themeColor="accent6"/>
      <w:sz w:val="18"/>
      <w:lang w:val="sk-SK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50AB"/>
    <w:rPr>
      <w:rFonts w:asciiTheme="majorHAnsi" w:eastAsiaTheme="majorEastAsia" w:hAnsiTheme="majorHAnsi" w:cstheme="majorBidi"/>
      <w:b/>
      <w:bCs/>
      <w:iCs/>
      <w:color w:val="000000" w:themeColor="text1"/>
      <w:sz w:val="18"/>
      <w:lang w:val="en-US"/>
    </w:rPr>
  </w:style>
  <w:style w:type="paragraph" w:styleId="FootnoteText">
    <w:name w:val="footnote text"/>
    <w:aliases w:val="Text poznámky pod čiarou 007,_Poznámka pod čiarou,Text poznámky pod èiarou 007,Stinking Styles2,Tekst przypisu- dokt,Char Char Char,Char Char Char Char Char Char Char Char Char,Char Char Ch,Car"/>
    <w:basedOn w:val="Normal"/>
    <w:link w:val="FootnoteTextChar"/>
    <w:uiPriority w:val="99"/>
    <w:rsid w:val="00F3081C"/>
    <w:rPr>
      <w:sz w:val="16"/>
      <w:szCs w:val="20"/>
    </w:rPr>
  </w:style>
  <w:style w:type="character" w:customStyle="1" w:styleId="FootnoteTextChar">
    <w:name w:val="Footnote Text Char"/>
    <w:aliases w:val="Text poznámky pod čiarou 007 Char,_Poznámka pod čiarou Char,Text poznámky pod èiarou 007 Char,Stinking Styles2 Char,Tekst przypisu- dokt Char,Char Char Char Char,Char Char Char Char Char Char Char Char Char Char,Char Char Ch Char"/>
    <w:basedOn w:val="DefaultParagraphFont"/>
    <w:link w:val="FootnoteText"/>
    <w:uiPriority w:val="99"/>
    <w:rsid w:val="007550AB"/>
    <w:rPr>
      <w:sz w:val="16"/>
      <w:szCs w:val="20"/>
      <w:lang w:val="en-US"/>
    </w:rPr>
  </w:style>
  <w:style w:type="paragraph" w:customStyle="1" w:styleId="Documenttitle">
    <w:name w:val="Document title"/>
    <w:next w:val="Documentsubtitle"/>
    <w:qFormat/>
    <w:rsid w:val="00A7281A"/>
    <w:pPr>
      <w:spacing w:after="0" w:line="440" w:lineRule="atLeast"/>
    </w:pPr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customStyle="1" w:styleId="Subheading">
    <w:name w:val="Subheading"/>
    <w:basedOn w:val="Normal"/>
    <w:next w:val="Normal"/>
    <w:semiHidden/>
    <w:qFormat/>
    <w:rsid w:val="00D236E8"/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,Ref"/>
    <w:basedOn w:val="DefaultParagraphFont"/>
    <w:uiPriority w:val="99"/>
    <w:rsid w:val="00412EA0"/>
    <w:rPr>
      <w:vertAlign w:val="superscript"/>
    </w:rPr>
  </w:style>
  <w:style w:type="paragraph" w:customStyle="1" w:styleId="Sectionintro">
    <w:name w:val="Section intro"/>
    <w:basedOn w:val="Normal"/>
    <w:next w:val="Normal"/>
    <w:autoRedefine/>
    <w:qFormat/>
    <w:rsid w:val="004E7BDE"/>
    <w:rPr>
      <w:sz w:val="28"/>
    </w:rPr>
  </w:style>
  <w:style w:type="paragraph" w:customStyle="1" w:styleId="Documentdate">
    <w:name w:val="Document date"/>
    <w:qFormat/>
    <w:rsid w:val="007550AB"/>
    <w:pPr>
      <w:spacing w:after="0" w:line="240" w:lineRule="atLeast"/>
    </w:pPr>
    <w:rPr>
      <w:sz w:val="18"/>
      <w:lang w:val="en-US"/>
    </w:rPr>
  </w:style>
  <w:style w:type="paragraph" w:customStyle="1" w:styleId="Sectiontitle">
    <w:name w:val="Section title"/>
    <w:basedOn w:val="Normal"/>
    <w:next w:val="Normal"/>
    <w:link w:val="SectiontitleChar"/>
    <w:qFormat/>
    <w:rsid w:val="00EE61A2"/>
    <w:pPr>
      <w:spacing w:after="480" w:line="720" w:lineRule="atLeast"/>
    </w:pPr>
    <w:rPr>
      <w:sz w:val="60"/>
    </w:rPr>
  </w:style>
  <w:style w:type="paragraph" w:customStyle="1" w:styleId="PulloutBlue">
    <w:name w:val="Pullout Blue"/>
    <w:basedOn w:val="Normal"/>
    <w:next w:val="Normal"/>
    <w:qFormat/>
    <w:rsid w:val="00DD5A1B"/>
    <w:pPr>
      <w:spacing w:line="360" w:lineRule="atLeast"/>
    </w:pPr>
    <w:rPr>
      <w:color w:val="62B5E5" w:themeColor="accent3"/>
      <w:sz w:val="28"/>
    </w:rPr>
  </w:style>
  <w:style w:type="paragraph" w:customStyle="1" w:styleId="Contacttext">
    <w:name w:val="Contact text"/>
    <w:basedOn w:val="Normal"/>
    <w:qFormat/>
    <w:rsid w:val="00D7732D"/>
  </w:style>
  <w:style w:type="paragraph" w:customStyle="1" w:styleId="Contactus">
    <w:name w:val="Contact us"/>
    <w:basedOn w:val="Contacttext"/>
    <w:next w:val="Contacttext"/>
    <w:qFormat/>
    <w:rsid w:val="00D7732D"/>
    <w:pPr>
      <w:spacing w:after="240" w:line="340" w:lineRule="atLeast"/>
    </w:pPr>
    <w:rPr>
      <w:sz w:val="28"/>
    </w:rPr>
  </w:style>
  <w:style w:type="paragraph" w:styleId="Caption">
    <w:name w:val="caption"/>
    <w:basedOn w:val="Normal"/>
    <w:next w:val="Normal"/>
    <w:uiPriority w:val="35"/>
    <w:qFormat/>
    <w:rsid w:val="00B46969"/>
    <w:pPr>
      <w:keepNext/>
    </w:pPr>
    <w:rPr>
      <w:iCs/>
      <w:color w:val="75787B" w:themeColor="accent6"/>
      <w:sz w:val="17"/>
      <w:szCs w:val="18"/>
    </w:rPr>
  </w:style>
  <w:style w:type="character" w:styleId="Hyperlink">
    <w:name w:val="Hyperlink"/>
    <w:basedOn w:val="DefaultParagraphFont"/>
    <w:uiPriority w:val="99"/>
    <w:unhideWhenUsed/>
    <w:rsid w:val="00E94C20"/>
    <w:rPr>
      <w:color w:val="00A3E0" w:themeColor="hyperlink"/>
      <w:u w:val="single"/>
    </w:rPr>
  </w:style>
  <w:style w:type="paragraph" w:customStyle="1" w:styleId="PulloutGreen">
    <w:name w:val="Pullout Green"/>
    <w:basedOn w:val="PulloutBlue"/>
    <w:next w:val="Normal"/>
    <w:autoRedefine/>
    <w:qFormat/>
    <w:rsid w:val="004E7BDE"/>
    <w:pPr>
      <w:spacing w:line="240" w:lineRule="auto"/>
    </w:pPr>
    <w:rPr>
      <w:color w:val="86BC25" w:themeColor="accent1"/>
    </w:rPr>
  </w:style>
  <w:style w:type="paragraph" w:customStyle="1" w:styleId="QuotesourceBlue">
    <w:name w:val="Quote source Blue"/>
    <w:basedOn w:val="Normal"/>
    <w:next w:val="Normal"/>
    <w:qFormat/>
    <w:rsid w:val="000516C4"/>
    <w:pPr>
      <w:spacing w:line="200" w:lineRule="atLeast"/>
      <w:contextualSpacing/>
    </w:pPr>
    <w:rPr>
      <w:b/>
      <w:color w:val="62B5E5" w:themeColor="accent3"/>
      <w:sz w:val="17"/>
    </w:rPr>
  </w:style>
  <w:style w:type="paragraph" w:customStyle="1" w:styleId="QuotesourceGreen">
    <w:name w:val="Quote source Green"/>
    <w:basedOn w:val="QuotesourceBlue"/>
    <w:next w:val="Normal"/>
    <w:qFormat/>
    <w:rsid w:val="007B4261"/>
    <w:rPr>
      <w:color w:val="86BC25" w:themeColor="accent1"/>
    </w:rPr>
  </w:style>
  <w:style w:type="paragraph" w:customStyle="1" w:styleId="Paneltext">
    <w:name w:val="Panel text"/>
    <w:basedOn w:val="Normal"/>
    <w:qFormat/>
    <w:rsid w:val="00AE0FC7"/>
    <w:rPr>
      <w:color w:val="FFFFFF" w:themeColor="background1"/>
      <w:sz w:val="17"/>
    </w:rPr>
  </w:style>
  <w:style w:type="paragraph" w:customStyle="1" w:styleId="Paneltitle">
    <w:name w:val="Panel title"/>
    <w:basedOn w:val="Paneltext"/>
    <w:next w:val="Paneltext"/>
    <w:qFormat/>
    <w:rsid w:val="00D0023B"/>
    <w:pPr>
      <w:spacing w:line="360" w:lineRule="atLeast"/>
    </w:pPr>
    <w:rPr>
      <w:b/>
      <w:sz w:val="28"/>
    </w:rPr>
  </w:style>
  <w:style w:type="paragraph" w:customStyle="1" w:styleId="Formoreinfocalloutwhite8512ptPullOutStyles">
    <w:name w:val="For more info call out (white 8.5/12pt) (Pull Out Styles)"/>
    <w:basedOn w:val="Normal"/>
    <w:uiPriority w:val="99"/>
    <w:rsid w:val="00AE0FC7"/>
    <w:pPr>
      <w:tabs>
        <w:tab w:val="left" w:pos="283"/>
        <w:tab w:val="left" w:pos="567"/>
      </w:tabs>
      <w:suppressAutoHyphens/>
      <w:autoSpaceDE w:val="0"/>
      <w:autoSpaceDN w:val="0"/>
      <w:adjustRightInd w:val="0"/>
      <w:textAlignment w:val="center"/>
    </w:pPr>
    <w:rPr>
      <w:rFonts w:ascii="OpenSans-Bold" w:hAnsi="OpenSans-Bold" w:cs="OpenSans-Bold"/>
      <w:b/>
      <w:bCs/>
      <w:color w:val="FFFFFF"/>
      <w:spacing w:val="-2"/>
      <w:sz w:val="17"/>
      <w:szCs w:val="17"/>
    </w:rPr>
  </w:style>
  <w:style w:type="paragraph" w:customStyle="1" w:styleId="Documentsubtitle">
    <w:name w:val="Document subtitle"/>
    <w:basedOn w:val="Normal"/>
    <w:qFormat/>
    <w:rsid w:val="006528C9"/>
    <w:pPr>
      <w:spacing w:line="440" w:lineRule="atLeast"/>
    </w:pPr>
    <w:rPr>
      <w:sz w:val="36"/>
    </w:rPr>
  </w:style>
  <w:style w:type="paragraph" w:customStyle="1" w:styleId="Contentstitle">
    <w:name w:val="Contents title"/>
    <w:basedOn w:val="Sectiontitle"/>
    <w:next w:val="Normal"/>
    <w:qFormat/>
    <w:rsid w:val="00244010"/>
  </w:style>
  <w:style w:type="paragraph" w:styleId="TOC1">
    <w:name w:val="toc 1"/>
    <w:basedOn w:val="Normal"/>
    <w:next w:val="Normal"/>
    <w:autoRedefine/>
    <w:uiPriority w:val="39"/>
    <w:rsid w:val="00DC7AC4"/>
    <w:pPr>
      <w:spacing w:line="360" w:lineRule="atLeast"/>
      <w:ind w:right="84"/>
    </w:pPr>
    <w:rPr>
      <w:sz w:val="28"/>
    </w:rPr>
  </w:style>
  <w:style w:type="paragraph" w:customStyle="1" w:styleId="Quotetext">
    <w:name w:val="Quote text"/>
    <w:basedOn w:val="PulloutBlue"/>
    <w:autoRedefine/>
    <w:qFormat/>
    <w:rsid w:val="00A70055"/>
    <w:pPr>
      <w:spacing w:line="240" w:lineRule="auto"/>
    </w:pPr>
    <w:rPr>
      <w:color w:val="FFFFFF" w:themeColor="background1"/>
      <w:sz w:val="18"/>
    </w:rPr>
  </w:style>
  <w:style w:type="paragraph" w:customStyle="1" w:styleId="Legaltext">
    <w:name w:val="Legal text"/>
    <w:basedOn w:val="Normal"/>
    <w:qFormat/>
    <w:rsid w:val="00BF6F8B"/>
    <w:pPr>
      <w:spacing w:line="180" w:lineRule="atLeast"/>
      <w:ind w:right="5387"/>
    </w:pPr>
    <w:rPr>
      <w:sz w:val="14"/>
    </w:rPr>
  </w:style>
  <w:style w:type="table" w:customStyle="1" w:styleId="Deloittetable">
    <w:name w:val="Deloitte table"/>
    <w:basedOn w:val="TableNormal"/>
    <w:uiPriority w:val="99"/>
    <w:rsid w:val="003B3379"/>
    <w:pPr>
      <w:spacing w:after="0" w:line="240" w:lineRule="auto"/>
    </w:pPr>
    <w:rPr>
      <w:sz w:val="17"/>
    </w:rPr>
    <w:tblPr>
      <w:tblBorders>
        <w:top w:val="single" w:sz="4" w:space="0" w:color="62B5E5" w:themeColor="accent3"/>
        <w:bottom w:val="single" w:sz="4" w:space="0" w:color="000000" w:themeColor="text1"/>
        <w:insideH w:val="single" w:sz="4" w:space="0" w:color="000000" w:themeColor="text1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tblPr/>
      <w:tcPr>
        <w:tcBorders>
          <w:top w:val="single" w:sz="24" w:space="0" w:color="62B5E5" w:themeColor="accent3"/>
        </w:tcBorders>
      </w:tcPr>
    </w:tblStylePr>
  </w:style>
  <w:style w:type="paragraph" w:customStyle="1" w:styleId="Tabletext">
    <w:name w:val="Table text"/>
    <w:basedOn w:val="Normal"/>
    <w:qFormat/>
    <w:rsid w:val="004D1F57"/>
    <w:pPr>
      <w:spacing w:line="200" w:lineRule="atLeast"/>
    </w:pPr>
    <w:rPr>
      <w:sz w:val="17"/>
    </w:rPr>
  </w:style>
  <w:style w:type="paragraph" w:customStyle="1" w:styleId="Tabletitle">
    <w:name w:val="Table title"/>
    <w:basedOn w:val="Tabletext"/>
    <w:qFormat/>
    <w:rsid w:val="004D1F57"/>
    <w:rPr>
      <w:b/>
      <w:color w:val="62B5E5" w:themeColor="accent3"/>
    </w:rPr>
  </w:style>
  <w:style w:type="paragraph" w:customStyle="1" w:styleId="SourcetextTableorChart">
    <w:name w:val="Source text Table or Chart"/>
    <w:basedOn w:val="Caption"/>
    <w:next w:val="Normal"/>
    <w:qFormat/>
    <w:rsid w:val="003B3379"/>
    <w:rPr>
      <w:sz w:val="14"/>
    </w:rPr>
  </w:style>
  <w:style w:type="paragraph" w:customStyle="1" w:styleId="Tablebullets">
    <w:name w:val="Table bullets"/>
    <w:basedOn w:val="Tabletext"/>
    <w:qFormat/>
    <w:rsid w:val="00DB4410"/>
    <w:pPr>
      <w:framePr w:hSpace="180" w:wrap="around" w:vAnchor="text" w:hAnchor="text" w:y="1"/>
      <w:numPr>
        <w:numId w:val="5"/>
      </w:numPr>
      <w:ind w:left="284" w:hanging="284"/>
      <w:suppressOverlap/>
    </w:pPr>
  </w:style>
  <w:style w:type="paragraph" w:customStyle="1" w:styleId="Tablenumbered">
    <w:name w:val="Table numbered"/>
    <w:basedOn w:val="Tabletext"/>
    <w:qFormat/>
    <w:rsid w:val="00DB4410"/>
    <w:pPr>
      <w:framePr w:hSpace="180" w:wrap="around" w:vAnchor="text" w:hAnchor="text" w:y="1"/>
      <w:numPr>
        <w:numId w:val="6"/>
      </w:numPr>
      <w:ind w:left="284" w:hanging="284"/>
      <w:suppressOverlap/>
    </w:pPr>
  </w:style>
  <w:style w:type="paragraph" w:customStyle="1" w:styleId="Charttitle">
    <w:name w:val="Chart title"/>
    <w:basedOn w:val="Heading2"/>
    <w:qFormat/>
    <w:rsid w:val="009E24F0"/>
    <w:pPr>
      <w:framePr w:hSpace="181" w:wrap="around" w:vAnchor="text" w:hAnchor="text" w:y="1"/>
      <w:suppressOverlap/>
    </w:pPr>
  </w:style>
  <w:style w:type="table" w:customStyle="1" w:styleId="Style1">
    <w:name w:val="Style1"/>
    <w:basedOn w:val="TableNormal"/>
    <w:rsid w:val="008F3793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/>
  </w:style>
  <w:style w:type="paragraph" w:styleId="ListParagraph">
    <w:name w:val="List Paragraph"/>
    <w:aliases w:val="body,Odsek zoznamu2,A-Odrážky1,Odstavec_muj,Nad,_Odstavec se seznamem,Odstavec_muj1,Odstavec_muj2,Odstavec_muj3,Nad1,Odstavec_muj4,Nad2,List Paragraph2,Odstavec_muj5,Odstavec_muj6,Odstavec_muj7,Odstavec_muj8,Odstavec_muj9,List Paragraph1"/>
    <w:basedOn w:val="Normal"/>
    <w:link w:val="ListParagraphChar"/>
    <w:uiPriority w:val="34"/>
    <w:qFormat/>
    <w:rsid w:val="00B0035E"/>
    <w:rPr>
      <w:rFonts w:ascii="Verdana" w:eastAsia="Times New Roman" w:hAnsi="Verdana" w:cs="Times New Roman"/>
      <w:szCs w:val="24"/>
      <w:lang w:eastAsia="sk-SK"/>
    </w:rPr>
  </w:style>
  <w:style w:type="table" w:customStyle="1" w:styleId="Svetlzoznamzvraznenie11">
    <w:name w:val="Svetlý zoznam – zvýraznenie 11"/>
    <w:basedOn w:val="TableNormal"/>
    <w:uiPriority w:val="61"/>
    <w:rsid w:val="00F32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sk-SK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BC2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BC25" w:themeColor="accent1"/>
          <w:left w:val="single" w:sz="8" w:space="0" w:color="86BC25" w:themeColor="accent1"/>
          <w:bottom w:val="single" w:sz="8" w:space="0" w:color="86BC25" w:themeColor="accent1"/>
          <w:right w:val="single" w:sz="8" w:space="0" w:color="86BC2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BC25" w:themeColor="accent1"/>
          <w:left w:val="single" w:sz="8" w:space="0" w:color="86BC25" w:themeColor="accent1"/>
          <w:bottom w:val="single" w:sz="8" w:space="0" w:color="86BC25" w:themeColor="accent1"/>
          <w:right w:val="single" w:sz="8" w:space="0" w:color="86BC25" w:themeColor="accent1"/>
        </w:tcBorders>
      </w:tcPr>
    </w:tblStylePr>
    <w:tblStylePr w:type="band1Horz">
      <w:tblPr/>
      <w:tcPr>
        <w:tcBorders>
          <w:top w:val="single" w:sz="8" w:space="0" w:color="86BC25" w:themeColor="accent1"/>
          <w:left w:val="single" w:sz="8" w:space="0" w:color="86BC25" w:themeColor="accent1"/>
          <w:bottom w:val="single" w:sz="8" w:space="0" w:color="86BC25" w:themeColor="accent1"/>
          <w:right w:val="single" w:sz="8" w:space="0" w:color="86BC25" w:themeColor="accent1"/>
        </w:tcBorders>
      </w:tcPr>
    </w:tblStylePr>
  </w:style>
  <w:style w:type="paragraph" w:customStyle="1" w:styleId="06Normal">
    <w:name w:val="06_Normal"/>
    <w:link w:val="06NormalChar"/>
    <w:qFormat/>
    <w:rsid w:val="00F846E1"/>
    <w:pPr>
      <w:spacing w:before="120" w:after="120" w:line="288" w:lineRule="auto"/>
      <w:jc w:val="both"/>
    </w:pPr>
    <w:rPr>
      <w:rFonts w:ascii="Verdana" w:eastAsia="Times New Roman" w:hAnsi="Verdana" w:cs="Times New Roman"/>
      <w:sz w:val="18"/>
      <w:szCs w:val="20"/>
      <w:lang w:val="sk-SK"/>
    </w:rPr>
  </w:style>
  <w:style w:type="character" w:customStyle="1" w:styleId="06NormalChar">
    <w:name w:val="06_Normal Char"/>
    <w:link w:val="06Normal"/>
    <w:rsid w:val="00F846E1"/>
    <w:rPr>
      <w:rFonts w:ascii="Verdana" w:eastAsia="Times New Roman" w:hAnsi="Verdana" w:cs="Times New Roman"/>
      <w:sz w:val="18"/>
      <w:szCs w:val="20"/>
      <w:lang w:val="sk-SK"/>
    </w:rPr>
  </w:style>
  <w:style w:type="character" w:customStyle="1" w:styleId="ListParagraphChar">
    <w:name w:val="List Paragraph Char"/>
    <w:aliases w:val="body Char,Odsek zoznamu2 Char,A-Odrážky1 Char,Odstavec_muj Char,Nad Char,_Odstavec se seznamem Char,Odstavec_muj1 Char,Odstavec_muj2 Char,Odstavec_muj3 Char,Nad1 Char,Odstavec_muj4 Char,Nad2 Char,List Paragraph2 Char"/>
    <w:basedOn w:val="DefaultParagraphFont"/>
    <w:link w:val="ListParagraph"/>
    <w:uiPriority w:val="34"/>
    <w:qFormat/>
    <w:rsid w:val="00B0035E"/>
    <w:rPr>
      <w:rFonts w:ascii="Verdana" w:eastAsia="Times New Roman" w:hAnsi="Verdana" w:cs="Times New Roman"/>
      <w:sz w:val="18"/>
      <w:szCs w:val="24"/>
      <w:lang w:val="sk-SK" w:eastAsia="sk-SK"/>
    </w:rPr>
  </w:style>
  <w:style w:type="table" w:styleId="ListTable3-Accent1">
    <w:name w:val="List Table 3 Accent 1"/>
    <w:basedOn w:val="TableNormal"/>
    <w:uiPriority w:val="48"/>
    <w:rsid w:val="00F50048"/>
    <w:pPr>
      <w:spacing w:after="0" w:line="240" w:lineRule="auto"/>
    </w:pPr>
    <w:rPr>
      <w:rFonts w:ascii="Verdana" w:eastAsia="Verdana" w:hAnsi="Verdana" w:cs="Times New Roman"/>
      <w:sz w:val="20"/>
      <w:szCs w:val="20"/>
      <w:lang w:val="cs-CZ" w:eastAsia="cs-CZ"/>
    </w:rPr>
    <w:tblPr>
      <w:tblStyleRowBandSize w:val="1"/>
      <w:tblStyleColBandSize w:val="1"/>
      <w:tblBorders>
        <w:top w:val="single" w:sz="4" w:space="0" w:color="86BC25" w:themeColor="accent1"/>
        <w:left w:val="single" w:sz="4" w:space="0" w:color="86BC25" w:themeColor="accent1"/>
        <w:bottom w:val="single" w:sz="4" w:space="0" w:color="86BC25" w:themeColor="accent1"/>
        <w:right w:val="single" w:sz="4" w:space="0" w:color="86BC2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6BC25" w:themeFill="accent1"/>
      </w:tcPr>
    </w:tblStylePr>
    <w:tblStylePr w:type="lastRow">
      <w:rPr>
        <w:b/>
        <w:bCs/>
      </w:rPr>
      <w:tblPr/>
      <w:tcPr>
        <w:tcBorders>
          <w:top w:val="double" w:sz="4" w:space="0" w:color="86BC2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6BC25" w:themeColor="accent1"/>
          <w:right w:val="single" w:sz="4" w:space="0" w:color="86BC25" w:themeColor="accent1"/>
        </w:tcBorders>
      </w:tcPr>
    </w:tblStylePr>
    <w:tblStylePr w:type="band1Horz">
      <w:tblPr/>
      <w:tcPr>
        <w:tcBorders>
          <w:top w:val="single" w:sz="4" w:space="0" w:color="86BC25" w:themeColor="accent1"/>
          <w:bottom w:val="single" w:sz="4" w:space="0" w:color="86BC2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6BC25" w:themeColor="accent1"/>
          <w:left w:val="nil"/>
        </w:tcBorders>
      </w:tcPr>
    </w:tblStylePr>
    <w:tblStylePr w:type="swCell">
      <w:tblPr/>
      <w:tcPr>
        <w:tcBorders>
          <w:top w:val="double" w:sz="4" w:space="0" w:color="86BC25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500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00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0048"/>
    <w:rPr>
      <w:sz w:val="20"/>
      <w:szCs w:val="20"/>
      <w:lang w:val="en-US"/>
    </w:rPr>
  </w:style>
  <w:style w:type="paragraph" w:customStyle="1" w:styleId="Style30">
    <w:name w:val="Style30"/>
    <w:basedOn w:val="Normal"/>
    <w:uiPriority w:val="99"/>
    <w:rsid w:val="00F5004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3"/>
      <w:szCs w:val="24"/>
      <w:lang w:eastAsia="sk-SK"/>
    </w:rPr>
  </w:style>
  <w:style w:type="table" w:styleId="GridTable1Light-Accent1">
    <w:name w:val="Grid Table 1 Light Accent 1"/>
    <w:basedOn w:val="TableNormal"/>
    <w:uiPriority w:val="46"/>
    <w:rsid w:val="00F41009"/>
    <w:pPr>
      <w:spacing w:after="0" w:line="240" w:lineRule="auto"/>
    </w:pPr>
    <w:tblPr>
      <w:tblStyleRowBandSize w:val="1"/>
      <w:tblStyleColBandSize w:val="1"/>
      <w:tblBorders>
        <w:top w:val="single" w:sz="4" w:space="0" w:color="D0EC9F" w:themeColor="accent1" w:themeTint="66"/>
        <w:left w:val="single" w:sz="4" w:space="0" w:color="D0EC9F" w:themeColor="accent1" w:themeTint="66"/>
        <w:bottom w:val="single" w:sz="4" w:space="0" w:color="D0EC9F" w:themeColor="accent1" w:themeTint="66"/>
        <w:right w:val="single" w:sz="4" w:space="0" w:color="D0EC9F" w:themeColor="accent1" w:themeTint="66"/>
        <w:insideH w:val="single" w:sz="4" w:space="0" w:color="D0EC9F" w:themeColor="accent1" w:themeTint="66"/>
        <w:insideV w:val="single" w:sz="4" w:space="0" w:color="D0EC9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9E3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9E3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4">
    <w:name w:val="Plain Table 4"/>
    <w:basedOn w:val="TableNormal"/>
    <w:uiPriority w:val="44"/>
    <w:rsid w:val="00F410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4260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SectiontitleChar">
    <w:name w:val="Section title Char"/>
    <w:basedOn w:val="DefaultParagraphFont"/>
    <w:link w:val="Sectiontitle"/>
    <w:rsid w:val="000A39BD"/>
    <w:rPr>
      <w:sz w:val="6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6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6A1"/>
    <w:rPr>
      <w:b/>
      <w:bCs/>
      <w:sz w:val="20"/>
      <w:szCs w:val="20"/>
      <w:lang w:val="sk-SK"/>
    </w:rPr>
  </w:style>
  <w:style w:type="paragraph" w:styleId="TableofFigures">
    <w:name w:val="table of figures"/>
    <w:basedOn w:val="Normal"/>
    <w:next w:val="Normal"/>
    <w:uiPriority w:val="99"/>
    <w:unhideWhenUsed/>
    <w:rsid w:val="00BB0829"/>
    <w:pPr>
      <w:spacing w:after="0"/>
    </w:pPr>
  </w:style>
  <w:style w:type="paragraph" w:styleId="TOCHeading">
    <w:name w:val="TOC Heading"/>
    <w:basedOn w:val="Heading1"/>
    <w:next w:val="Normal"/>
    <w:uiPriority w:val="39"/>
    <w:unhideWhenUsed/>
    <w:qFormat/>
    <w:rsid w:val="006C392F"/>
    <w:pPr>
      <w:spacing w:after="0" w:line="259" w:lineRule="auto"/>
      <w:jc w:val="left"/>
      <w:outlineLvl w:val="9"/>
    </w:pPr>
    <w:rPr>
      <w:b w:val="0"/>
      <w:bCs w:val="0"/>
      <w:color w:val="638C1B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6C392F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unhideWhenUsed/>
    <w:rsid w:val="00B57491"/>
    <w:pPr>
      <w:spacing w:before="0" w:after="100" w:line="259" w:lineRule="auto"/>
      <w:ind w:left="440"/>
      <w:jc w:val="left"/>
    </w:pPr>
    <w:rPr>
      <w:rFonts w:eastAsiaTheme="minorEastAsia" w:cs="Times New Roman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95F15"/>
    <w:rPr>
      <w:color w:val="53565A" w:themeColor="followedHyperlink"/>
      <w:u w:val="single"/>
    </w:rPr>
  </w:style>
  <w:style w:type="table" w:styleId="ListTable3-Accent6">
    <w:name w:val="List Table 3 Accent 6"/>
    <w:basedOn w:val="TableNormal"/>
    <w:uiPriority w:val="48"/>
    <w:rsid w:val="006E008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5787B" w:themeColor="accent6"/>
        <w:left w:val="single" w:sz="4" w:space="0" w:color="75787B" w:themeColor="accent6"/>
        <w:bottom w:val="single" w:sz="4" w:space="0" w:color="75787B" w:themeColor="accent6"/>
        <w:right w:val="single" w:sz="4" w:space="0" w:color="75787B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5787B" w:themeFill="accent6"/>
      </w:tcPr>
    </w:tblStylePr>
    <w:tblStylePr w:type="lastRow">
      <w:rPr>
        <w:b/>
        <w:bCs/>
      </w:rPr>
      <w:tblPr/>
      <w:tcPr>
        <w:tcBorders>
          <w:top w:val="double" w:sz="4" w:space="0" w:color="75787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5787B" w:themeColor="accent6"/>
          <w:right w:val="single" w:sz="4" w:space="0" w:color="75787B" w:themeColor="accent6"/>
        </w:tcBorders>
      </w:tcPr>
    </w:tblStylePr>
    <w:tblStylePr w:type="band1Horz">
      <w:tblPr/>
      <w:tcPr>
        <w:tcBorders>
          <w:top w:val="single" w:sz="4" w:space="0" w:color="75787B" w:themeColor="accent6"/>
          <w:bottom w:val="single" w:sz="4" w:space="0" w:color="75787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5787B" w:themeColor="accent6"/>
          <w:left w:val="nil"/>
        </w:tcBorders>
      </w:tcPr>
    </w:tblStylePr>
    <w:tblStylePr w:type="swCell">
      <w:tblPr/>
      <w:tcPr>
        <w:tcBorders>
          <w:top w:val="double" w:sz="4" w:space="0" w:color="75787B" w:themeColor="accent6"/>
          <w:right w:val="nil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981061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81061"/>
    <w:rPr>
      <w:sz w:val="20"/>
      <w:szCs w:val="20"/>
      <w:lang w:val="sk-SK"/>
    </w:rPr>
  </w:style>
  <w:style w:type="character" w:styleId="EndnoteReference">
    <w:name w:val="endnote reference"/>
    <w:basedOn w:val="DefaultParagraphFont"/>
    <w:uiPriority w:val="99"/>
    <w:semiHidden/>
    <w:unhideWhenUsed/>
    <w:rsid w:val="009810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840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1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Deloitte colors">
      <a:dk1>
        <a:sysClr val="windowText" lastClr="000000"/>
      </a:dk1>
      <a:lt1>
        <a:sysClr val="window" lastClr="FFFFFF"/>
      </a:lt1>
      <a:dk2>
        <a:srgbClr val="53565A"/>
      </a:dk2>
      <a:lt2>
        <a:srgbClr val="D0D0CE"/>
      </a:lt2>
      <a:accent1>
        <a:srgbClr val="86BC25"/>
      </a:accent1>
      <a:accent2>
        <a:srgbClr val="046A38"/>
      </a:accent2>
      <a:accent3>
        <a:srgbClr val="62B5E5"/>
      </a:accent3>
      <a:accent4>
        <a:srgbClr val="012169"/>
      </a:accent4>
      <a:accent5>
        <a:srgbClr val="0097A9"/>
      </a:accent5>
      <a:accent6>
        <a:srgbClr val="75787B"/>
      </a:accent6>
      <a:hlink>
        <a:srgbClr val="00A3E0"/>
      </a:hlink>
      <a:folHlink>
        <a:srgbClr val="53565A"/>
      </a:folHlink>
    </a:clrScheme>
    <a:fontScheme name="Deloitte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3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lt1"/>
        </a:solidFill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7FA22-ADC5-4EC8-B879-5A6E37EA8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4288</Words>
  <Characters>24445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Proposal_A4_3col</vt:lpstr>
    </vt:vector>
  </TitlesOfParts>
  <Company/>
  <LinksUpToDate>false</LinksUpToDate>
  <CharactersWithSpaces>28676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Proposal_A4_3col</dc:title>
  <dc:subject/>
  <dc:creator>Katerina Slovakova Filipkova</dc:creator>
  <cp:keywords/>
  <dc:description/>
  <cp:lastModifiedBy>Slovakova Filipkova, Katerina</cp:lastModifiedBy>
  <cp:revision>5</cp:revision>
  <cp:lastPrinted>2019-06-27T12:43:00Z</cp:lastPrinted>
  <dcterms:created xsi:type="dcterms:W3CDTF">2019-06-06T06:30:00Z</dcterms:created>
  <dcterms:modified xsi:type="dcterms:W3CDTF">2019-06-27T12:43:00Z</dcterms:modified>
</cp:coreProperties>
</file>