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F915B" w14:textId="77777777" w:rsidR="00F3249F" w:rsidRPr="00DD6590" w:rsidRDefault="00F3249F" w:rsidP="00CC08D4">
      <w:pPr>
        <w:pStyle w:val="Heading1"/>
      </w:pPr>
      <w:bookmarkStart w:id="0" w:name="_Toc9845760"/>
      <w:bookmarkStart w:id="1" w:name="_GoBack"/>
      <w:bookmarkEnd w:id="1"/>
      <w:r w:rsidRPr="00DD6590">
        <w:t>Prioritná os 1 – Železničná infraštruktúra (TEN-T CORE) a obnova mobilných prostriedkov</w:t>
      </w:r>
      <w:bookmarkEnd w:id="0"/>
    </w:p>
    <w:p w14:paraId="21A821F5" w14:textId="1307F05F" w:rsidR="00E9014D" w:rsidRPr="00DD6590" w:rsidRDefault="00E9014D" w:rsidP="00E9014D">
      <w:pPr>
        <w:rPr>
          <w:szCs w:val="18"/>
        </w:rPr>
      </w:pPr>
      <w:r w:rsidRPr="00DD6590">
        <w:rPr>
          <w:szCs w:val="18"/>
        </w:rPr>
        <w:t>Na Slovensku je síce veľmi hustá infr</w:t>
      </w:r>
      <w:r w:rsidR="00D25E33" w:rsidRPr="00DD6590">
        <w:rPr>
          <w:szCs w:val="18"/>
        </w:rPr>
        <w:t xml:space="preserve">aštruktúra </w:t>
      </w:r>
      <w:r w:rsidR="00EB6255" w:rsidRPr="00DD6590">
        <w:rPr>
          <w:szCs w:val="18"/>
        </w:rPr>
        <w:t xml:space="preserve">železničnej </w:t>
      </w:r>
      <w:r w:rsidR="00D25E33" w:rsidRPr="00DD6590">
        <w:rPr>
          <w:szCs w:val="18"/>
        </w:rPr>
        <w:t>siete, a</w:t>
      </w:r>
      <w:r w:rsidRPr="00DD6590">
        <w:rPr>
          <w:szCs w:val="18"/>
        </w:rPr>
        <w:t>však hlavným nedostatkom je technická stránka, ktorá nedosahuje úroveň európskych železníc. Modernizáciou železničnej infraštruktúry sa zabezpečí vyššia kvalita poskytovaných služieb a konkurencieschopnosť železničnej dopravy oproti iným</w:t>
      </w:r>
      <w:r w:rsidR="006D1346">
        <w:rPr>
          <w:szCs w:val="18"/>
        </w:rPr>
        <w:t>,</w:t>
      </w:r>
      <w:r w:rsidRPr="00DD6590">
        <w:rPr>
          <w:szCs w:val="18"/>
        </w:rPr>
        <w:t xml:space="preserve"> menej ekologickým typom dopravy. Cieľom OPII je</w:t>
      </w:r>
      <w:r w:rsidR="006D1346">
        <w:rPr>
          <w:szCs w:val="18"/>
        </w:rPr>
        <w:t xml:space="preserve"> zvýšiť kvalitu nielen na národnej úrovni, ale aj na úrovni</w:t>
      </w:r>
      <w:r w:rsidRPr="00DD6590">
        <w:rPr>
          <w:szCs w:val="18"/>
        </w:rPr>
        <w:t xml:space="preserve"> cezhraničnej dopravy</w:t>
      </w:r>
      <w:r w:rsidR="006D1346">
        <w:rPr>
          <w:szCs w:val="18"/>
        </w:rPr>
        <w:t>,</w:t>
      </w:r>
      <w:r w:rsidRPr="00DD6590">
        <w:rPr>
          <w:szCs w:val="18"/>
        </w:rPr>
        <w:t xml:space="preserve"> na ktorú je zameraný najmä ŠC 1.2. </w:t>
      </w:r>
    </w:p>
    <w:p w14:paraId="4A2B7BEF" w14:textId="4819CCC3" w:rsidR="00F3249F" w:rsidRPr="00DD6590" w:rsidRDefault="00EB6255" w:rsidP="00F3249F">
      <w:pPr>
        <w:rPr>
          <w:szCs w:val="18"/>
        </w:rPr>
      </w:pPr>
      <w:r w:rsidRPr="00DD6590">
        <w:rPr>
          <w:szCs w:val="18"/>
        </w:rPr>
        <w:t> V rámci prioritnej osi 1 boli stanovené</w:t>
      </w:r>
      <w:r w:rsidR="00F3249F" w:rsidRPr="00DD6590">
        <w:rPr>
          <w:szCs w:val="18"/>
        </w:rPr>
        <w:t xml:space="preserve"> tri špecifické ciele:</w:t>
      </w:r>
    </w:p>
    <w:p w14:paraId="013E680E" w14:textId="41BA3901" w:rsidR="00F3249F" w:rsidRPr="00DD6590" w:rsidRDefault="00F3249F" w:rsidP="00AF3446">
      <w:pPr>
        <w:pStyle w:val="ListParagraph"/>
        <w:numPr>
          <w:ilvl w:val="1"/>
          <w:numId w:val="9"/>
        </w:numPr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Odstránenie kľúčových úzkych miest na železničnej infraštruktúre prostredníctvom modernizácie rozvoja hlavných železničných tratí a uzlov dopravne významných z hľadiska medzinárodnej a vnútroštátnej dopravy</w:t>
      </w:r>
    </w:p>
    <w:p w14:paraId="522A8799" w14:textId="6B329D15" w:rsidR="00F3249F" w:rsidRPr="00DD6590" w:rsidRDefault="00F3249F" w:rsidP="00AF3446">
      <w:pPr>
        <w:pStyle w:val="ListParagraph"/>
        <w:numPr>
          <w:ilvl w:val="1"/>
          <w:numId w:val="9"/>
        </w:numPr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Zlepšenie technických podmienok pre prevádzku medzinárodnej železničnej dopravy prostredníctvom implementácie vybraných prvkov TSI na najdôležitejších tratiach pre medzinárodnú dopravu (TEN-T CORE)</w:t>
      </w:r>
    </w:p>
    <w:p w14:paraId="44A0E05C" w14:textId="24AFE58F" w:rsidR="00655889" w:rsidRPr="00DD6590" w:rsidRDefault="00F3249F" w:rsidP="00AF3446">
      <w:pPr>
        <w:pStyle w:val="ListParagraph"/>
        <w:numPr>
          <w:ilvl w:val="1"/>
          <w:numId w:val="9"/>
        </w:numPr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Zvýšenie atraktivity a kvality služieb železničnej verejnej osobnej dopravy prostredníctvo</w:t>
      </w:r>
      <w:r w:rsidR="004A6C1B" w:rsidRPr="00DD6590">
        <w:rPr>
          <w:rFonts w:asciiTheme="minorHAnsi" w:hAnsiTheme="minorHAnsi"/>
          <w:szCs w:val="18"/>
        </w:rPr>
        <w:t>m obnovy mobilných prostriedkov</w:t>
      </w:r>
    </w:p>
    <w:p w14:paraId="6ACBFE50" w14:textId="77777777" w:rsidR="00655889" w:rsidRPr="00DD6590" w:rsidRDefault="00D21B5F" w:rsidP="00655889">
      <w:pPr>
        <w:rPr>
          <w:szCs w:val="18"/>
        </w:rPr>
      </w:pPr>
      <w:r w:rsidRPr="00DD6590">
        <w:rPr>
          <w:szCs w:val="18"/>
        </w:rPr>
        <w:t>N</w:t>
      </w:r>
      <w:r w:rsidR="00655889" w:rsidRPr="00DD6590">
        <w:rPr>
          <w:szCs w:val="18"/>
        </w:rPr>
        <w:t xml:space="preserve">a úrovni PO1 je stanovený </w:t>
      </w:r>
      <w:r w:rsidR="00491526" w:rsidRPr="00DD6590">
        <w:rPr>
          <w:szCs w:val="18"/>
        </w:rPr>
        <w:t>výkonnostný</w:t>
      </w:r>
      <w:r w:rsidR="00655889" w:rsidRPr="00DD6590">
        <w:rPr>
          <w:szCs w:val="18"/>
        </w:rPr>
        <w:t xml:space="preserve"> rámec nasledovne</w:t>
      </w:r>
      <w:r w:rsidR="00DF70E8" w:rsidRPr="00DD6590">
        <w:rPr>
          <w:szCs w:val="18"/>
        </w:rPr>
        <w:t>:</w:t>
      </w:r>
    </w:p>
    <w:p w14:paraId="2EE83B8C" w14:textId="00638707" w:rsidR="00BA3CE4" w:rsidRPr="00DD6590" w:rsidRDefault="00BA3CE4" w:rsidP="00BA3CE4">
      <w:pPr>
        <w:pStyle w:val="Caption"/>
      </w:pPr>
      <w:bookmarkStart w:id="2" w:name="_Toc9845832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D23114">
        <w:rPr>
          <w:noProof/>
        </w:rPr>
        <w:t>1</w:t>
      </w:r>
      <w:r w:rsidRPr="00DD6590">
        <w:fldChar w:fldCharType="end"/>
      </w:r>
      <w:r w:rsidRPr="00DD6590">
        <w:t xml:space="preserve"> Výkonnostný rámec PO1</w:t>
      </w:r>
      <w:bookmarkEnd w:id="2"/>
    </w:p>
    <w:tbl>
      <w:tblPr>
        <w:tblStyle w:val="Svetlzoznamzvraznenie11"/>
        <w:tblW w:w="0" w:type="auto"/>
        <w:tblBorders>
          <w:top w:val="single" w:sz="4" w:space="0" w:color="86BC25" w:themeColor="accent1"/>
          <w:left w:val="single" w:sz="4" w:space="0" w:color="86BC25" w:themeColor="accent1"/>
          <w:bottom w:val="single" w:sz="4" w:space="0" w:color="86BC25" w:themeColor="accent1"/>
          <w:right w:val="single" w:sz="4" w:space="0" w:color="86BC25" w:themeColor="accent1"/>
          <w:insideH w:val="single" w:sz="4" w:space="0" w:color="86BC25" w:themeColor="accent1"/>
          <w:insideV w:val="single" w:sz="4" w:space="0" w:color="86BC25" w:themeColor="accent1"/>
        </w:tblBorders>
        <w:tblLook w:val="04A0" w:firstRow="1" w:lastRow="0" w:firstColumn="1" w:lastColumn="0" w:noHBand="0" w:noVBand="1"/>
      </w:tblPr>
      <w:tblGrid>
        <w:gridCol w:w="1847"/>
        <w:gridCol w:w="2648"/>
        <w:gridCol w:w="1200"/>
        <w:gridCol w:w="1832"/>
        <w:gridCol w:w="1817"/>
      </w:tblGrid>
      <w:tr w:rsidR="00DF70E8" w:rsidRPr="00DD6590" w14:paraId="1423A0FC" w14:textId="77777777" w:rsidTr="000C32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</w:tcPr>
          <w:p w14:paraId="1E4146B3" w14:textId="77777777" w:rsidR="00DF70E8" w:rsidRPr="00DD6590" w:rsidRDefault="00DF70E8" w:rsidP="00AD3290">
            <w:pPr>
              <w:spacing w:before="0" w:after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Typ ukazovateľa</w:t>
            </w:r>
          </w:p>
        </w:tc>
        <w:tc>
          <w:tcPr>
            <w:tcW w:w="2648" w:type="dxa"/>
          </w:tcPr>
          <w:p w14:paraId="4941F687" w14:textId="77777777" w:rsidR="00DF70E8" w:rsidRPr="00DD6590" w:rsidRDefault="00DF70E8" w:rsidP="00AD3290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Definícia ukazovateľa alebo implementačného kroku</w:t>
            </w:r>
          </w:p>
        </w:tc>
        <w:tc>
          <w:tcPr>
            <w:tcW w:w="1200" w:type="dxa"/>
          </w:tcPr>
          <w:p w14:paraId="029B670C" w14:textId="77777777" w:rsidR="00DF70E8" w:rsidRPr="00DD6590" w:rsidRDefault="00DF70E8" w:rsidP="00AD3290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Merná jednotka</w:t>
            </w:r>
          </w:p>
        </w:tc>
        <w:tc>
          <w:tcPr>
            <w:tcW w:w="1832" w:type="dxa"/>
          </w:tcPr>
          <w:p w14:paraId="1ECCEE36" w14:textId="77777777" w:rsidR="00DF70E8" w:rsidRPr="00DD6590" w:rsidRDefault="00DF70E8" w:rsidP="00AD3290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Čiastkový cieľ pre rok 2018</w:t>
            </w:r>
          </w:p>
        </w:tc>
        <w:tc>
          <w:tcPr>
            <w:tcW w:w="1817" w:type="dxa"/>
          </w:tcPr>
          <w:p w14:paraId="36DB3F99" w14:textId="77777777" w:rsidR="00DF70E8" w:rsidRPr="00DD6590" w:rsidRDefault="00DF70E8" w:rsidP="00AD3290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Zámer</w:t>
            </w:r>
            <w:r w:rsidRPr="00DD6590">
              <w:rPr>
                <w:rStyle w:val="FootnoteReference"/>
                <w:rFonts w:asciiTheme="minorHAnsi" w:hAnsiTheme="minorHAnsi"/>
                <w:sz w:val="16"/>
                <w:szCs w:val="16"/>
              </w:rPr>
              <w:footnoteReference w:id="1"/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(2023)</w:t>
            </w:r>
          </w:p>
        </w:tc>
      </w:tr>
      <w:tr w:rsidR="00DF70E8" w:rsidRPr="00DD6590" w14:paraId="003B8CFD" w14:textId="77777777" w:rsidTr="000C32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</w:tcPr>
          <w:p w14:paraId="35E39334" w14:textId="77777777" w:rsidR="00DF70E8" w:rsidRPr="00DD6590" w:rsidRDefault="00DF70E8" w:rsidP="00AD3290">
            <w:pPr>
              <w:spacing w:before="0" w:after="0"/>
              <w:jc w:val="left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Finančný ukazovateľ</w:t>
            </w:r>
          </w:p>
        </w:tc>
        <w:tc>
          <w:tcPr>
            <w:tcW w:w="2648" w:type="dxa"/>
          </w:tcPr>
          <w:p w14:paraId="7692F972" w14:textId="77777777" w:rsidR="00DF70E8" w:rsidRPr="00DD6590" w:rsidRDefault="00DF70E8" w:rsidP="00AD3290">
            <w:pPr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Celková suma oprávnených výdavkov po ich certifikácii certifikačným orgánom a predložení žiadostí o platby Európskej komisii</w:t>
            </w:r>
          </w:p>
        </w:tc>
        <w:tc>
          <w:tcPr>
            <w:tcW w:w="1200" w:type="dxa"/>
          </w:tcPr>
          <w:p w14:paraId="7F787628" w14:textId="77777777" w:rsidR="00DF70E8" w:rsidRPr="00DD6590" w:rsidRDefault="00DF70E8" w:rsidP="00AD3290">
            <w:pPr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1832" w:type="dxa"/>
          </w:tcPr>
          <w:p w14:paraId="4B59E487" w14:textId="77777777" w:rsidR="00DF70E8" w:rsidRPr="00DD6590" w:rsidRDefault="00DF70E8" w:rsidP="00AD3290">
            <w:pPr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166 516 044</w:t>
            </w:r>
          </w:p>
        </w:tc>
        <w:tc>
          <w:tcPr>
            <w:tcW w:w="1817" w:type="dxa"/>
          </w:tcPr>
          <w:p w14:paraId="52A0DC98" w14:textId="77777777" w:rsidR="00DF70E8" w:rsidRPr="00DD6590" w:rsidRDefault="00DF70E8" w:rsidP="00AD3290">
            <w:pPr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853 928 431</w:t>
            </w:r>
          </w:p>
        </w:tc>
      </w:tr>
      <w:tr w:rsidR="00DF70E8" w:rsidRPr="00DD6590" w14:paraId="0C9318A3" w14:textId="77777777" w:rsidTr="000C32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</w:tcPr>
          <w:p w14:paraId="079C6A41" w14:textId="77777777" w:rsidR="00DF70E8" w:rsidRPr="00DD6590" w:rsidRDefault="00DF70E8" w:rsidP="00AD3290">
            <w:pPr>
              <w:spacing w:before="0" w:after="0"/>
              <w:jc w:val="left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Výstupový ukazovateľ</w:t>
            </w:r>
          </w:p>
        </w:tc>
        <w:tc>
          <w:tcPr>
            <w:tcW w:w="2648" w:type="dxa"/>
          </w:tcPr>
          <w:p w14:paraId="16A4F6C4" w14:textId="77777777" w:rsidR="00DF70E8" w:rsidRPr="00DD6590" w:rsidRDefault="00DF70E8" w:rsidP="00AD3290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Celková dĺžka rekonštruovaných alebo zrenovovaných železničných tratí v sieti TEN-T</w:t>
            </w:r>
          </w:p>
        </w:tc>
        <w:tc>
          <w:tcPr>
            <w:tcW w:w="1200" w:type="dxa"/>
          </w:tcPr>
          <w:p w14:paraId="519B7311" w14:textId="77777777" w:rsidR="00DF70E8" w:rsidRPr="00DD6590" w:rsidRDefault="00DF70E8" w:rsidP="00AD3290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832" w:type="dxa"/>
          </w:tcPr>
          <w:p w14:paraId="539A34C5" w14:textId="77777777" w:rsidR="00DF70E8" w:rsidRPr="00DD6590" w:rsidRDefault="00DF70E8" w:rsidP="00AD3290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8,8</w:t>
            </w:r>
          </w:p>
        </w:tc>
        <w:tc>
          <w:tcPr>
            <w:tcW w:w="1817" w:type="dxa"/>
          </w:tcPr>
          <w:p w14:paraId="5DE746C7" w14:textId="77777777" w:rsidR="00DF70E8" w:rsidRPr="00DD6590" w:rsidRDefault="00DF70E8" w:rsidP="00AD3290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34,8</w:t>
            </w:r>
          </w:p>
        </w:tc>
      </w:tr>
    </w:tbl>
    <w:p w14:paraId="0224DE9D" w14:textId="77777777" w:rsidR="00DC7AC4" w:rsidRPr="00DD6590" w:rsidRDefault="00A75C5F" w:rsidP="00B0035E">
      <w:pPr>
        <w:pStyle w:val="Heading2"/>
      </w:pPr>
      <w:bookmarkStart w:id="3" w:name="_Toc9845761"/>
      <w:r w:rsidRPr="00DD6590">
        <w:t>Špecifický cieľ 1.1</w:t>
      </w:r>
      <w:bookmarkEnd w:id="3"/>
      <w:r w:rsidRPr="00DD6590">
        <w:t xml:space="preserve"> </w:t>
      </w:r>
    </w:p>
    <w:p w14:paraId="5B7CE5C1" w14:textId="5332B76B" w:rsidR="00BD7D55" w:rsidRPr="00DD6590" w:rsidRDefault="00A75C5F" w:rsidP="00132576">
      <w:pPr>
        <w:spacing w:before="0" w:after="0"/>
        <w:rPr>
          <w:b/>
        </w:rPr>
      </w:pPr>
      <w:r w:rsidRPr="00DD6590">
        <w:rPr>
          <w:b/>
        </w:rPr>
        <w:t>Odstránenie kľúčových úzkych miest na železničnej infraštruktúre prostredníctvom modernizácie</w:t>
      </w:r>
      <w:r w:rsidR="00EB6255" w:rsidRPr="00DD6590">
        <w:rPr>
          <w:b/>
        </w:rPr>
        <w:t xml:space="preserve"> a</w:t>
      </w:r>
      <w:r w:rsidRPr="00DD6590">
        <w:rPr>
          <w:b/>
        </w:rPr>
        <w:t xml:space="preserve"> rozvoja hlavných železničných tratí a uzlov dopravne významných z hľadiska medzinárodnej a vnútroštátnej dopravy</w:t>
      </w:r>
    </w:p>
    <w:p w14:paraId="61870A36" w14:textId="25BE970D" w:rsidR="004A6C1B" w:rsidRPr="00DD6590" w:rsidRDefault="00512F8F" w:rsidP="004A6C1B">
      <w:pPr>
        <w:rPr>
          <w:szCs w:val="18"/>
        </w:rPr>
      </w:pPr>
      <w:r w:rsidRPr="00DD6590">
        <w:rPr>
          <w:szCs w:val="18"/>
        </w:rPr>
        <w:t>Očakávanými v</w:t>
      </w:r>
      <w:r w:rsidR="004A6C1B" w:rsidRPr="00DD6590">
        <w:rPr>
          <w:szCs w:val="18"/>
        </w:rPr>
        <w:t>ýsledkami implementácie ŠC 1.1 sú:</w:t>
      </w:r>
    </w:p>
    <w:p w14:paraId="149F9615" w14:textId="77777777" w:rsidR="004A6C1B" w:rsidRPr="00DD6590" w:rsidRDefault="004A6C1B" w:rsidP="00AF3446">
      <w:pPr>
        <w:pStyle w:val="ListParagraph"/>
        <w:numPr>
          <w:ilvl w:val="1"/>
          <w:numId w:val="8"/>
        </w:numPr>
        <w:ind w:left="446" w:hanging="360"/>
        <w:contextualSpacing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odstránenie kľúčových úzkych miest na základnej sieti TEN-T (najmä v úseku Žilina – Košice a Žilina – št. hr. SR/ČR),</w:t>
      </w:r>
    </w:p>
    <w:p w14:paraId="494D5CA6" w14:textId="77777777" w:rsidR="004A6C1B" w:rsidRPr="00DD6590" w:rsidRDefault="004A6C1B" w:rsidP="00AF3446">
      <w:pPr>
        <w:pStyle w:val="ListParagraph"/>
        <w:numPr>
          <w:ilvl w:val="1"/>
          <w:numId w:val="8"/>
        </w:numPr>
        <w:ind w:left="446" w:hanging="360"/>
        <w:contextualSpacing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zníženie časových strát a prevádzkových nákladov,</w:t>
      </w:r>
    </w:p>
    <w:p w14:paraId="37E82EE9" w14:textId="77777777" w:rsidR="004A6C1B" w:rsidRPr="00DD6590" w:rsidRDefault="004A6C1B" w:rsidP="00AF3446">
      <w:pPr>
        <w:pStyle w:val="ListParagraph"/>
        <w:numPr>
          <w:ilvl w:val="1"/>
          <w:numId w:val="8"/>
        </w:numPr>
        <w:ind w:left="446" w:hanging="360"/>
        <w:contextualSpacing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zníženie negatívnych vplyvov na životné prostredie (zníženie hlukovej záťaže a emisií CO</w:t>
      </w:r>
      <w:r w:rsidRPr="001B2DF0">
        <w:rPr>
          <w:rFonts w:asciiTheme="minorHAnsi" w:hAnsiTheme="minorHAnsi"/>
          <w:szCs w:val="18"/>
          <w:vertAlign w:val="subscript"/>
        </w:rPr>
        <w:t>2</w:t>
      </w:r>
      <w:r w:rsidRPr="00DD6590">
        <w:rPr>
          <w:rFonts w:asciiTheme="minorHAnsi" w:hAnsiTheme="minorHAnsi"/>
          <w:szCs w:val="18"/>
        </w:rPr>
        <w:t>, NO</w:t>
      </w:r>
      <w:r w:rsidRPr="001B2DF0">
        <w:rPr>
          <w:rFonts w:asciiTheme="minorHAnsi" w:hAnsiTheme="minorHAnsi"/>
          <w:szCs w:val="18"/>
          <w:vertAlign w:val="subscript"/>
        </w:rPr>
        <w:t>2</w:t>
      </w:r>
      <w:r w:rsidRPr="00DD6590">
        <w:rPr>
          <w:rFonts w:asciiTheme="minorHAnsi" w:hAnsiTheme="minorHAnsi"/>
          <w:szCs w:val="18"/>
        </w:rPr>
        <w:t xml:space="preserve"> a PM</w:t>
      </w:r>
      <w:r w:rsidRPr="001B2DF0">
        <w:rPr>
          <w:rFonts w:asciiTheme="minorHAnsi" w:hAnsiTheme="minorHAnsi"/>
          <w:szCs w:val="18"/>
          <w:vertAlign w:val="subscript"/>
        </w:rPr>
        <w:t>10</w:t>
      </w:r>
      <w:r w:rsidRPr="00DD6590">
        <w:rPr>
          <w:rFonts w:asciiTheme="minorHAnsi" w:hAnsiTheme="minorHAnsi"/>
          <w:szCs w:val="18"/>
        </w:rPr>
        <w:t>),</w:t>
      </w:r>
    </w:p>
    <w:p w14:paraId="615C7BFB" w14:textId="77777777" w:rsidR="004A6C1B" w:rsidRPr="00DD6590" w:rsidRDefault="004A6C1B" w:rsidP="00AF3446">
      <w:pPr>
        <w:pStyle w:val="ListParagraph"/>
        <w:numPr>
          <w:ilvl w:val="1"/>
          <w:numId w:val="8"/>
        </w:numPr>
        <w:ind w:left="446" w:hanging="360"/>
        <w:contextualSpacing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vytváranie predpokladov na zvýšenie podielu železničnej osobnej a nákladnej dopravy na deľbe prepravnej práce,</w:t>
      </w:r>
    </w:p>
    <w:p w14:paraId="340D3622" w14:textId="77777777" w:rsidR="004A6C1B" w:rsidRPr="00DD6590" w:rsidRDefault="004A6C1B" w:rsidP="00AF3446">
      <w:pPr>
        <w:pStyle w:val="ListParagraph"/>
        <w:numPr>
          <w:ilvl w:val="1"/>
          <w:numId w:val="8"/>
        </w:numPr>
        <w:ind w:left="446" w:hanging="360"/>
        <w:contextualSpacing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lastRenderedPageBreak/>
        <w:t>vytváranie predpokladov pre zvýšenie konkurencieschopnosti regiónov, zlepšenie mobility obyvateľov a potenciálu rastu zamestnanosti.</w:t>
      </w:r>
    </w:p>
    <w:p w14:paraId="79E28A0B" w14:textId="0493629E" w:rsidR="004A6C1B" w:rsidRPr="00DD6590" w:rsidRDefault="00BD7D55" w:rsidP="004A6C1B">
      <w:pPr>
        <w:ind w:left="90"/>
        <w:rPr>
          <w:szCs w:val="18"/>
        </w:rPr>
      </w:pPr>
      <w:r w:rsidRPr="00DD6590">
        <w:rPr>
          <w:szCs w:val="18"/>
        </w:rPr>
        <w:t>Výsledky proje</w:t>
      </w:r>
      <w:r w:rsidR="00A75C5F" w:rsidRPr="00DD6590">
        <w:rPr>
          <w:szCs w:val="18"/>
        </w:rPr>
        <w:t>ktov</w:t>
      </w:r>
      <w:r w:rsidRPr="00DD6590">
        <w:rPr>
          <w:szCs w:val="18"/>
        </w:rPr>
        <w:t xml:space="preserve"> naplnia jed</w:t>
      </w:r>
      <w:r w:rsidR="00491526" w:rsidRPr="00DD6590">
        <w:rPr>
          <w:szCs w:val="18"/>
        </w:rPr>
        <w:t>no</w:t>
      </w:r>
      <w:r w:rsidRPr="00DD6590">
        <w:rPr>
          <w:szCs w:val="18"/>
        </w:rPr>
        <w:t>tlivé špecifické výsledkové a spoločné výstupové ukazovatele</w:t>
      </w:r>
      <w:r w:rsidR="008B7285">
        <w:rPr>
          <w:szCs w:val="18"/>
        </w:rPr>
        <w:t>.</w:t>
      </w:r>
    </w:p>
    <w:p w14:paraId="02D6C415" w14:textId="36ABF6BF" w:rsidR="00BA3CE4" w:rsidRPr="00DD6590" w:rsidRDefault="00BA3CE4" w:rsidP="00BA3CE4">
      <w:pPr>
        <w:pStyle w:val="Caption"/>
      </w:pPr>
      <w:bookmarkStart w:id="4" w:name="_Toc9845833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D23114">
        <w:rPr>
          <w:noProof/>
        </w:rPr>
        <w:t>2</w:t>
      </w:r>
      <w:r w:rsidRPr="00DD6590">
        <w:fldChar w:fldCharType="end"/>
      </w:r>
      <w:r w:rsidRPr="00DD6590">
        <w:t xml:space="preserve"> </w:t>
      </w:r>
      <w:r w:rsidR="00BB0829" w:rsidRPr="00DD6590">
        <w:t>Výsledkové a výstupové u</w:t>
      </w:r>
      <w:r w:rsidRPr="00DD6590">
        <w:t>kazovatele ŠC 1.1</w:t>
      </w:r>
      <w:bookmarkEnd w:id="4"/>
    </w:p>
    <w:tbl>
      <w:tblPr>
        <w:tblStyle w:val="Svetlzoznamzvraznenie11"/>
        <w:tblW w:w="0" w:type="auto"/>
        <w:jc w:val="center"/>
        <w:tblLook w:val="04A0" w:firstRow="1" w:lastRow="0" w:firstColumn="1" w:lastColumn="0" w:noHBand="0" w:noVBand="1"/>
      </w:tblPr>
      <w:tblGrid>
        <w:gridCol w:w="581"/>
        <w:gridCol w:w="2953"/>
        <w:gridCol w:w="1277"/>
        <w:gridCol w:w="1117"/>
        <w:gridCol w:w="1605"/>
        <w:gridCol w:w="1575"/>
      </w:tblGrid>
      <w:tr w:rsidR="00BD7D55" w:rsidRPr="00DD6590" w14:paraId="2249BD1B" w14:textId="77777777" w:rsidTr="00FA13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042D0551" w14:textId="77777777" w:rsidR="00BD7D55" w:rsidRPr="00DD6590" w:rsidRDefault="001657EF" w:rsidP="00D21B5F">
            <w:pPr>
              <w:spacing w:before="0"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P.č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E31A3EF" w14:textId="77777777" w:rsidR="00BD7D55" w:rsidRPr="00DD6590" w:rsidRDefault="00BD7D55" w:rsidP="00D21B5F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Ukazovateľ 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16AD870" w14:textId="77777777" w:rsidR="00BD7D55" w:rsidRPr="00DD6590" w:rsidRDefault="00BD7D55" w:rsidP="00D21B5F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Typ 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AFE1C53" w14:textId="77777777" w:rsidR="00BD7D55" w:rsidRPr="00DD6590" w:rsidRDefault="00BD7D55" w:rsidP="00D21B5F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Merná jednotka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1917B9C" w14:textId="77777777" w:rsidR="00BD7D55" w:rsidRPr="00DD6590" w:rsidRDefault="00BD7D55" w:rsidP="00D21B5F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Východisková hodnota (2013)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253FF93F" w14:textId="77777777" w:rsidR="00BD7D55" w:rsidRPr="00DD6590" w:rsidRDefault="00BD7D55" w:rsidP="00D21B5F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Cieľová hodnota (2023)</w:t>
            </w:r>
          </w:p>
        </w:tc>
      </w:tr>
      <w:tr w:rsidR="00BD7D55" w:rsidRPr="00DD6590" w14:paraId="4486D7AE" w14:textId="77777777" w:rsidTr="00FA13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01E878C6" w14:textId="77777777" w:rsidR="00BD7D55" w:rsidRPr="00DD6590" w:rsidRDefault="001657EF" w:rsidP="00D21B5F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E6DEDBD" w14:textId="77777777" w:rsidR="00BD7D55" w:rsidRPr="00DD6590" w:rsidRDefault="00BD7D55" w:rsidP="00D21B5F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Úspora času v železničnej doprave na základnej sieti  TEN-T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A465323" w14:textId="77777777" w:rsidR="00BD7D55" w:rsidRPr="00DD6590" w:rsidRDefault="00BD7D55" w:rsidP="00D21B5F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výsledkový 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6F050A4" w14:textId="77777777" w:rsidR="00BD7D55" w:rsidRPr="00DD6590" w:rsidRDefault="00BD7D55" w:rsidP="00D21B5F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C525EC5" w14:textId="77777777" w:rsidR="00BD7D55" w:rsidRPr="00DD6590" w:rsidRDefault="00BD7D55" w:rsidP="00D21B5F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23 697 461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2F0A9870" w14:textId="77777777" w:rsidR="00BD7D55" w:rsidRPr="00DD6590" w:rsidRDefault="00BD7D55" w:rsidP="00D21B5F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18 910 877</w:t>
            </w:r>
          </w:p>
        </w:tc>
      </w:tr>
      <w:tr w:rsidR="00BD7D55" w:rsidRPr="00DD6590" w14:paraId="130D14D7" w14:textId="77777777" w:rsidTr="00FA139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040D03A2" w14:textId="77777777" w:rsidR="00BD7D55" w:rsidRPr="00DD6590" w:rsidRDefault="001657EF" w:rsidP="00D21B5F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2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2511407" w14:textId="77777777" w:rsidR="00BD7D55" w:rsidRPr="00DD6590" w:rsidRDefault="00BD7D55" w:rsidP="00D21B5F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Úspora produkcie emisií PM</w:t>
            </w:r>
            <w:r w:rsidRPr="001B2DF0">
              <w:rPr>
                <w:rFonts w:asciiTheme="minorHAnsi" w:hAnsiTheme="minorHAnsi"/>
                <w:sz w:val="16"/>
                <w:szCs w:val="16"/>
                <w:vertAlign w:val="subscript"/>
              </w:rPr>
              <w:t>10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(vplyvom modernizácie tratí)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B7A1087" w14:textId="77777777" w:rsidR="00BD7D55" w:rsidRPr="00DD6590" w:rsidRDefault="00BD7D55" w:rsidP="00D21B5F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výsledkový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4D90FE5" w14:textId="77777777" w:rsidR="00BD7D55" w:rsidRPr="00DD6590" w:rsidRDefault="00BD7D55" w:rsidP="00D21B5F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tona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643908B" w14:textId="77777777" w:rsidR="00BD7D55" w:rsidRPr="00DD6590" w:rsidRDefault="00BD7D55" w:rsidP="00D21B5F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10,58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490D01DB" w14:textId="77777777" w:rsidR="00BD7D55" w:rsidRPr="00DD6590" w:rsidRDefault="00BD7D55" w:rsidP="00D21B5F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10,15</w:t>
            </w:r>
          </w:p>
        </w:tc>
      </w:tr>
      <w:tr w:rsidR="00BD7D55" w:rsidRPr="00DD6590" w14:paraId="2B645061" w14:textId="77777777" w:rsidTr="00FA13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77E52D41" w14:textId="77777777" w:rsidR="00BD7D55" w:rsidRPr="00DD6590" w:rsidRDefault="001657EF" w:rsidP="00D21B5F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3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E061CD0" w14:textId="77777777" w:rsidR="00BD7D55" w:rsidRPr="001B2DF0" w:rsidRDefault="00BD7D55" w:rsidP="00D21B5F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1B2DF0">
              <w:rPr>
                <w:rFonts w:asciiTheme="minorHAnsi" w:hAnsiTheme="minorHAnsi"/>
                <w:sz w:val="16"/>
                <w:szCs w:val="16"/>
              </w:rPr>
              <w:t>Úspora produkcie emisií  NO</w:t>
            </w:r>
            <w:r w:rsidRPr="001B2DF0">
              <w:rPr>
                <w:rFonts w:asciiTheme="minorHAnsi" w:hAnsiTheme="minorHAnsi"/>
                <w:sz w:val="16"/>
                <w:szCs w:val="16"/>
                <w:vertAlign w:val="subscript"/>
              </w:rPr>
              <w:t>2</w:t>
            </w:r>
            <w:r w:rsidRPr="001B2DF0">
              <w:rPr>
                <w:rFonts w:asciiTheme="minorHAnsi" w:hAnsiTheme="minorHAnsi"/>
                <w:sz w:val="16"/>
                <w:szCs w:val="16"/>
              </w:rPr>
              <w:t xml:space="preserve"> (vplyvom modernizácie tratí)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B8C1754" w14:textId="77777777" w:rsidR="00BD7D55" w:rsidRPr="001B2DF0" w:rsidRDefault="00BD7D55" w:rsidP="00D21B5F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1B2DF0">
              <w:rPr>
                <w:rFonts w:asciiTheme="minorHAnsi" w:hAnsiTheme="minorHAnsi"/>
                <w:sz w:val="16"/>
                <w:szCs w:val="16"/>
              </w:rPr>
              <w:t>výsledkový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867BB19" w14:textId="77777777" w:rsidR="00BD7D55" w:rsidRPr="00DD6590" w:rsidRDefault="00BD7D55" w:rsidP="00D21B5F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tona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E816FCC" w14:textId="77777777" w:rsidR="00BD7D55" w:rsidRPr="00DD6590" w:rsidRDefault="00BD7D55" w:rsidP="00D21B5F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57,09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16AAA40D" w14:textId="77777777" w:rsidR="00BD7D55" w:rsidRPr="00DD6590" w:rsidRDefault="00BD7D55" w:rsidP="00D21B5F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51,28</w:t>
            </w:r>
          </w:p>
        </w:tc>
      </w:tr>
      <w:tr w:rsidR="00BD7D55" w:rsidRPr="00DD6590" w14:paraId="65BEA1D3" w14:textId="77777777" w:rsidTr="00FA139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426C61EB" w14:textId="77777777" w:rsidR="00BD7D55" w:rsidRPr="00DD6590" w:rsidRDefault="001657EF" w:rsidP="00D21B5F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4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2F5558D" w14:textId="08691305" w:rsidR="00BD7D55" w:rsidRPr="00DD6590" w:rsidRDefault="00BD7D55" w:rsidP="00A16962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Celková dĺžka rekonštruovaných alebo</w:t>
            </w:r>
            <w:r w:rsidR="00E356F7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zrenovovaných železničných tratí v sieti TEN-T 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8DFF29E" w14:textId="77777777" w:rsidR="00BD7D55" w:rsidRPr="00DD6590" w:rsidRDefault="00BD7D55" w:rsidP="00D21B5F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výstupový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26B5C8F" w14:textId="77777777" w:rsidR="00BD7D55" w:rsidRPr="00DD6590" w:rsidRDefault="00BD7D55" w:rsidP="00D21B5F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BCAA686" w14:textId="77777777" w:rsidR="00BD7D55" w:rsidRPr="00DD6590" w:rsidRDefault="00BD7D55" w:rsidP="00D21B5F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-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086354F3" w14:textId="77777777" w:rsidR="00BD7D55" w:rsidRPr="00DD6590" w:rsidRDefault="00BD7D55" w:rsidP="00D21B5F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34,8</w:t>
            </w:r>
          </w:p>
        </w:tc>
      </w:tr>
    </w:tbl>
    <w:p w14:paraId="5D531AA8" w14:textId="77777777" w:rsidR="00BD7D55" w:rsidRPr="00DD6590" w:rsidRDefault="00491526" w:rsidP="004A6C1B">
      <w:pPr>
        <w:ind w:left="90"/>
        <w:rPr>
          <w:szCs w:val="18"/>
        </w:rPr>
      </w:pPr>
      <w:r w:rsidRPr="00DD6590">
        <w:rPr>
          <w:szCs w:val="18"/>
        </w:rPr>
        <w:t>Napĺňanie</w:t>
      </w:r>
      <w:r w:rsidR="00A75C5F" w:rsidRPr="00DD6590">
        <w:rPr>
          <w:szCs w:val="18"/>
        </w:rPr>
        <w:t xml:space="preserve"> </w:t>
      </w:r>
      <w:r w:rsidRPr="00DD6590">
        <w:rPr>
          <w:szCs w:val="18"/>
        </w:rPr>
        <w:t>cieľov</w:t>
      </w:r>
      <w:r w:rsidR="00A75C5F" w:rsidRPr="00DD6590">
        <w:rPr>
          <w:szCs w:val="18"/>
        </w:rPr>
        <w:t xml:space="preserve"> sa realizuje prostredníctvom týchto </w:t>
      </w:r>
      <w:r w:rsidR="00BD7D55" w:rsidRPr="00DD6590">
        <w:rPr>
          <w:szCs w:val="18"/>
        </w:rPr>
        <w:t>aktiv</w:t>
      </w:r>
      <w:r w:rsidR="00A75C5F" w:rsidRPr="00DD6590">
        <w:rPr>
          <w:szCs w:val="18"/>
        </w:rPr>
        <w:t>ít</w:t>
      </w:r>
      <w:r w:rsidR="00BD7D55" w:rsidRPr="00DD6590">
        <w:rPr>
          <w:szCs w:val="18"/>
        </w:rPr>
        <w:t>:</w:t>
      </w:r>
    </w:p>
    <w:p w14:paraId="5832744C" w14:textId="14B02DA0" w:rsidR="00BD7D55" w:rsidRPr="00DD6590" w:rsidRDefault="00814D86" w:rsidP="00AF3446">
      <w:pPr>
        <w:pStyle w:val="ListParagraph"/>
        <w:numPr>
          <w:ilvl w:val="0"/>
          <w:numId w:val="10"/>
        </w:numPr>
        <w:ind w:left="547"/>
        <w:contextualSpacing/>
        <w:rPr>
          <w:rFonts w:asciiTheme="minorHAnsi" w:hAnsiTheme="minorHAnsi"/>
          <w:szCs w:val="18"/>
        </w:rPr>
      </w:pPr>
      <w:r>
        <w:rPr>
          <w:rFonts w:asciiTheme="minorHAnsi" w:hAnsiTheme="minorHAnsi"/>
          <w:szCs w:val="18"/>
        </w:rPr>
        <w:t>m</w:t>
      </w:r>
      <w:r w:rsidRPr="00DD6590">
        <w:rPr>
          <w:rFonts w:asciiTheme="minorHAnsi" w:hAnsiTheme="minorHAnsi"/>
          <w:szCs w:val="18"/>
        </w:rPr>
        <w:t xml:space="preserve">odernizácia </w:t>
      </w:r>
      <w:r w:rsidR="00BD7D55" w:rsidRPr="00DD6590">
        <w:rPr>
          <w:rFonts w:asciiTheme="minorHAnsi" w:hAnsiTheme="minorHAnsi"/>
          <w:szCs w:val="18"/>
        </w:rPr>
        <w:t>železničných tratí (zlepšovanie vybraných technických parametrov železničnej dopravnej cesty),</w:t>
      </w:r>
    </w:p>
    <w:p w14:paraId="22A47C93" w14:textId="573D6239" w:rsidR="00BD7D55" w:rsidRPr="00DD6590" w:rsidRDefault="00814D86" w:rsidP="00AF3446">
      <w:pPr>
        <w:pStyle w:val="ListParagraph"/>
        <w:numPr>
          <w:ilvl w:val="0"/>
          <w:numId w:val="10"/>
        </w:numPr>
        <w:ind w:left="547"/>
        <w:contextualSpacing/>
        <w:rPr>
          <w:rFonts w:asciiTheme="minorHAnsi" w:hAnsiTheme="minorHAnsi"/>
          <w:szCs w:val="18"/>
        </w:rPr>
      </w:pPr>
      <w:r>
        <w:rPr>
          <w:rFonts w:asciiTheme="minorHAnsi" w:hAnsiTheme="minorHAnsi"/>
          <w:szCs w:val="18"/>
        </w:rPr>
        <w:t>e</w:t>
      </w:r>
      <w:r w:rsidRPr="00DD6590">
        <w:rPr>
          <w:rFonts w:asciiTheme="minorHAnsi" w:hAnsiTheme="minorHAnsi"/>
          <w:szCs w:val="18"/>
        </w:rPr>
        <w:t xml:space="preserve">lektrifikácia </w:t>
      </w:r>
      <w:r w:rsidR="00BD7D55" w:rsidRPr="00DD6590">
        <w:rPr>
          <w:rFonts w:asciiTheme="minorHAnsi" w:hAnsiTheme="minorHAnsi"/>
          <w:szCs w:val="18"/>
        </w:rPr>
        <w:t>železničných tratí,</w:t>
      </w:r>
    </w:p>
    <w:p w14:paraId="1B4BDBA3" w14:textId="37855819" w:rsidR="00BD7D55" w:rsidRPr="00DD6590" w:rsidRDefault="00814D86" w:rsidP="00AF3446">
      <w:pPr>
        <w:pStyle w:val="ListParagraph"/>
        <w:numPr>
          <w:ilvl w:val="0"/>
          <w:numId w:val="10"/>
        </w:numPr>
        <w:ind w:left="547"/>
        <w:contextualSpacing/>
        <w:rPr>
          <w:rFonts w:asciiTheme="minorHAnsi" w:hAnsiTheme="minorHAnsi"/>
          <w:szCs w:val="18"/>
        </w:rPr>
      </w:pPr>
      <w:r>
        <w:rPr>
          <w:rFonts w:asciiTheme="minorHAnsi" w:hAnsiTheme="minorHAnsi"/>
          <w:szCs w:val="18"/>
        </w:rPr>
        <w:t>v</w:t>
      </w:r>
      <w:r w:rsidRPr="00DD6590">
        <w:rPr>
          <w:rFonts w:asciiTheme="minorHAnsi" w:hAnsiTheme="minorHAnsi"/>
          <w:szCs w:val="18"/>
        </w:rPr>
        <w:t xml:space="preserve">ýstavba </w:t>
      </w:r>
      <w:r w:rsidR="00BD7D55" w:rsidRPr="00DD6590">
        <w:rPr>
          <w:rFonts w:asciiTheme="minorHAnsi" w:hAnsiTheme="minorHAnsi"/>
          <w:szCs w:val="18"/>
        </w:rPr>
        <w:t>nových úsekov železničných tratí (v prípade, ak opodstatnenosť výstavby potvrdí relevantná štúdia realizovateľnosti),</w:t>
      </w:r>
    </w:p>
    <w:p w14:paraId="4835B396" w14:textId="744D3746" w:rsidR="00BD7D55" w:rsidRPr="00DD6590" w:rsidRDefault="00814D86" w:rsidP="00AF3446">
      <w:pPr>
        <w:pStyle w:val="ListParagraph"/>
        <w:numPr>
          <w:ilvl w:val="0"/>
          <w:numId w:val="10"/>
        </w:numPr>
        <w:ind w:left="547"/>
        <w:contextualSpacing/>
        <w:rPr>
          <w:rFonts w:asciiTheme="minorHAnsi" w:hAnsiTheme="minorHAnsi"/>
          <w:szCs w:val="18"/>
        </w:rPr>
      </w:pPr>
      <w:r>
        <w:rPr>
          <w:rFonts w:asciiTheme="minorHAnsi" w:hAnsiTheme="minorHAnsi"/>
          <w:szCs w:val="18"/>
        </w:rPr>
        <w:t>v</w:t>
      </w:r>
      <w:r w:rsidRPr="00DD6590">
        <w:rPr>
          <w:rFonts w:asciiTheme="minorHAnsi" w:hAnsiTheme="minorHAnsi"/>
          <w:szCs w:val="18"/>
        </w:rPr>
        <w:t xml:space="preserve">ýstavba </w:t>
      </w:r>
      <w:r w:rsidR="00BD7D55" w:rsidRPr="00DD6590">
        <w:rPr>
          <w:rFonts w:asciiTheme="minorHAnsi" w:hAnsiTheme="minorHAnsi"/>
          <w:szCs w:val="18"/>
        </w:rPr>
        <w:t xml:space="preserve">terminálov </w:t>
      </w:r>
      <w:proofErr w:type="spellStart"/>
      <w:r w:rsidR="00BD7D55" w:rsidRPr="00DD6590">
        <w:rPr>
          <w:rFonts w:asciiTheme="minorHAnsi" w:hAnsiTheme="minorHAnsi"/>
          <w:szCs w:val="18"/>
        </w:rPr>
        <w:t>intermodálnej</w:t>
      </w:r>
      <w:proofErr w:type="spellEnd"/>
      <w:r w:rsidR="00BD7D55" w:rsidRPr="00DD6590">
        <w:rPr>
          <w:rFonts w:asciiTheme="minorHAnsi" w:hAnsiTheme="minorHAnsi"/>
          <w:szCs w:val="18"/>
        </w:rPr>
        <w:t xml:space="preserve"> prepravy (v prípade, ak budú vytvorené vhodné trhové podmienky),</w:t>
      </w:r>
    </w:p>
    <w:p w14:paraId="4F37643F" w14:textId="605F2F57" w:rsidR="00BD7D55" w:rsidRPr="00DD6590" w:rsidRDefault="00814D86" w:rsidP="00AF3446">
      <w:pPr>
        <w:pStyle w:val="ListParagraph"/>
        <w:numPr>
          <w:ilvl w:val="0"/>
          <w:numId w:val="10"/>
        </w:numPr>
        <w:ind w:left="547"/>
        <w:contextualSpacing/>
        <w:rPr>
          <w:rFonts w:asciiTheme="minorHAnsi" w:hAnsiTheme="minorHAnsi"/>
          <w:szCs w:val="18"/>
        </w:rPr>
      </w:pPr>
      <w:r>
        <w:rPr>
          <w:rFonts w:asciiTheme="minorHAnsi" w:hAnsiTheme="minorHAnsi"/>
          <w:szCs w:val="18"/>
        </w:rPr>
        <w:t>p</w:t>
      </w:r>
      <w:r w:rsidRPr="00DD6590">
        <w:rPr>
          <w:rFonts w:asciiTheme="minorHAnsi" w:hAnsiTheme="minorHAnsi"/>
          <w:szCs w:val="18"/>
        </w:rPr>
        <w:t xml:space="preserve">rojektová </w:t>
      </w:r>
      <w:r w:rsidR="00BD7D55" w:rsidRPr="00DD6590">
        <w:rPr>
          <w:rFonts w:asciiTheme="minorHAnsi" w:hAnsiTheme="minorHAnsi"/>
          <w:szCs w:val="18"/>
        </w:rPr>
        <w:t>príprava.</w:t>
      </w:r>
    </w:p>
    <w:p w14:paraId="1B0DAE2A" w14:textId="77777777" w:rsidR="00DC7AC4" w:rsidRPr="00DD6590" w:rsidRDefault="00A75C5F" w:rsidP="00B0035E">
      <w:pPr>
        <w:pStyle w:val="Heading2"/>
      </w:pPr>
      <w:bookmarkStart w:id="5" w:name="_Toc9845762"/>
      <w:r w:rsidRPr="00DD6590">
        <w:t>Špecifický cieľ 1.2</w:t>
      </w:r>
      <w:bookmarkEnd w:id="5"/>
      <w:r w:rsidRPr="00DD6590">
        <w:t xml:space="preserve"> </w:t>
      </w:r>
    </w:p>
    <w:p w14:paraId="76DF3C99" w14:textId="77777777" w:rsidR="00BD7D55" w:rsidRPr="00DD6590" w:rsidRDefault="00A75C5F" w:rsidP="00132576">
      <w:pPr>
        <w:spacing w:before="0" w:after="0"/>
        <w:rPr>
          <w:b/>
        </w:rPr>
      </w:pPr>
      <w:r w:rsidRPr="00DD6590">
        <w:rPr>
          <w:b/>
        </w:rPr>
        <w:t>Zlepšenie technických podmienok pre prevádzku medzinárodnej železničnej dopravy prostredníctvom implementácie vybraných prvkov TSI na najdôležitejších tratiach pre medzinárodnú dopravu (TEN-T CORE)</w:t>
      </w:r>
    </w:p>
    <w:p w14:paraId="6D24B463" w14:textId="151BCB49" w:rsidR="00267D70" w:rsidRPr="00DD6590" w:rsidRDefault="00512F8F" w:rsidP="00267D70">
      <w:r w:rsidRPr="00DD6590">
        <w:t>Očakávanými v</w:t>
      </w:r>
      <w:r w:rsidR="00267D70" w:rsidRPr="00DD6590">
        <w:t>ýsledkami realizácie ŠC 1.2 sú:</w:t>
      </w:r>
    </w:p>
    <w:p w14:paraId="34292F14" w14:textId="0F83A267" w:rsidR="00A75C5F" w:rsidRPr="00DD6590" w:rsidRDefault="00A75C5F" w:rsidP="00AF3446">
      <w:pPr>
        <w:pStyle w:val="ListParagraph"/>
        <w:numPr>
          <w:ilvl w:val="0"/>
          <w:numId w:val="11"/>
        </w:numPr>
        <w:ind w:left="461" w:hanging="274"/>
        <w:contextualSpacing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 xml:space="preserve">splnenie záväzkov vyplývajúcich z Rozhodnutia Komisie č. 2012/88/EÚ z 25. januára 2012 o technickej špecifikácii </w:t>
      </w:r>
      <w:proofErr w:type="spellStart"/>
      <w:r w:rsidRPr="00DD6590">
        <w:rPr>
          <w:rFonts w:asciiTheme="minorHAnsi" w:hAnsiTheme="minorHAnsi"/>
          <w:szCs w:val="18"/>
        </w:rPr>
        <w:t>interoperability</w:t>
      </w:r>
      <w:proofErr w:type="spellEnd"/>
      <w:r w:rsidRPr="00DD6590">
        <w:rPr>
          <w:rFonts w:asciiTheme="minorHAnsi" w:hAnsiTheme="minorHAnsi"/>
          <w:szCs w:val="18"/>
        </w:rPr>
        <w:t xml:space="preserve"> týkajúcej sa subsystémov riadenia </w:t>
      </w:r>
      <w:r w:rsidR="00E356F7" w:rsidRPr="00DD6590">
        <w:rPr>
          <w:rFonts w:asciiTheme="minorHAnsi" w:hAnsiTheme="minorHAnsi"/>
          <w:sz w:val="16"/>
          <w:szCs w:val="16"/>
        </w:rPr>
        <w:t>–</w:t>
      </w:r>
      <w:r w:rsidRPr="00DD6590">
        <w:rPr>
          <w:rFonts w:asciiTheme="minorHAnsi" w:hAnsiTheme="minorHAnsi"/>
          <w:szCs w:val="18"/>
        </w:rPr>
        <w:t xml:space="preserve"> zabezpečenia a </w:t>
      </w:r>
      <w:proofErr w:type="spellStart"/>
      <w:r w:rsidRPr="00DD6590">
        <w:rPr>
          <w:rFonts w:asciiTheme="minorHAnsi" w:hAnsiTheme="minorHAnsi"/>
          <w:szCs w:val="18"/>
        </w:rPr>
        <w:t>návestenia</w:t>
      </w:r>
      <w:proofErr w:type="spellEnd"/>
      <w:r w:rsidRPr="00DD6590">
        <w:rPr>
          <w:rFonts w:asciiTheme="minorHAnsi" w:hAnsiTheme="minorHAnsi"/>
          <w:szCs w:val="18"/>
        </w:rPr>
        <w:t xml:space="preserve"> </w:t>
      </w:r>
      <w:proofErr w:type="spellStart"/>
      <w:r w:rsidRPr="00DD6590">
        <w:rPr>
          <w:rFonts w:asciiTheme="minorHAnsi" w:hAnsiTheme="minorHAnsi"/>
          <w:szCs w:val="18"/>
        </w:rPr>
        <w:t>transeurópskeho</w:t>
      </w:r>
      <w:proofErr w:type="spellEnd"/>
      <w:r w:rsidRPr="00DD6590">
        <w:rPr>
          <w:rFonts w:asciiTheme="minorHAnsi" w:hAnsiTheme="minorHAnsi"/>
          <w:szCs w:val="18"/>
        </w:rPr>
        <w:t xml:space="preserve"> železničného systému, nariadenia Komisie č. 454/2011/EÚ z 5. mája 2011 o technickej špecifikácii </w:t>
      </w:r>
      <w:proofErr w:type="spellStart"/>
      <w:r w:rsidRPr="00DD6590">
        <w:rPr>
          <w:rFonts w:asciiTheme="minorHAnsi" w:hAnsiTheme="minorHAnsi"/>
          <w:szCs w:val="18"/>
        </w:rPr>
        <w:t>interoperability</w:t>
      </w:r>
      <w:proofErr w:type="spellEnd"/>
      <w:r w:rsidRPr="00DD6590">
        <w:rPr>
          <w:rFonts w:asciiTheme="minorHAnsi" w:hAnsiTheme="minorHAnsi"/>
          <w:szCs w:val="18"/>
        </w:rPr>
        <w:t xml:space="preserve"> týkajúcej sa subsystému „</w:t>
      </w:r>
      <w:proofErr w:type="spellStart"/>
      <w:r w:rsidRPr="00DD6590">
        <w:rPr>
          <w:rFonts w:asciiTheme="minorHAnsi" w:hAnsiTheme="minorHAnsi"/>
          <w:szCs w:val="18"/>
        </w:rPr>
        <w:t>telematické</w:t>
      </w:r>
      <w:proofErr w:type="spellEnd"/>
      <w:r w:rsidRPr="00DD6590">
        <w:rPr>
          <w:rFonts w:asciiTheme="minorHAnsi" w:hAnsiTheme="minorHAnsi"/>
          <w:szCs w:val="18"/>
        </w:rPr>
        <w:t xml:space="preserve"> aplikácie v osobnej doprave“ </w:t>
      </w:r>
      <w:proofErr w:type="spellStart"/>
      <w:r w:rsidRPr="00DD6590">
        <w:rPr>
          <w:rFonts w:asciiTheme="minorHAnsi" w:hAnsiTheme="minorHAnsi"/>
          <w:szCs w:val="18"/>
        </w:rPr>
        <w:t>transeurópskeho</w:t>
      </w:r>
      <w:proofErr w:type="spellEnd"/>
      <w:r w:rsidRPr="00DD6590">
        <w:rPr>
          <w:rFonts w:asciiTheme="minorHAnsi" w:hAnsiTheme="minorHAnsi"/>
          <w:szCs w:val="18"/>
        </w:rPr>
        <w:t xml:space="preserve"> železničného systému a nariadenia č. 62/2006/ES z 23.</w:t>
      </w:r>
      <w:r w:rsidR="00E356F7">
        <w:rPr>
          <w:rFonts w:asciiTheme="minorHAnsi" w:hAnsiTheme="minorHAnsi"/>
          <w:szCs w:val="18"/>
        </w:rPr>
        <w:t> </w:t>
      </w:r>
      <w:r w:rsidRPr="00DD6590">
        <w:rPr>
          <w:rFonts w:asciiTheme="minorHAnsi" w:hAnsiTheme="minorHAnsi"/>
          <w:szCs w:val="18"/>
        </w:rPr>
        <w:t xml:space="preserve">decembra 2005 o technickej špecifikácii </w:t>
      </w:r>
      <w:proofErr w:type="spellStart"/>
      <w:r w:rsidRPr="00DD6590">
        <w:rPr>
          <w:rFonts w:asciiTheme="minorHAnsi" w:hAnsiTheme="minorHAnsi"/>
          <w:szCs w:val="18"/>
        </w:rPr>
        <w:t>interoperability</w:t>
      </w:r>
      <w:proofErr w:type="spellEnd"/>
      <w:r w:rsidRPr="00DD6590">
        <w:rPr>
          <w:rFonts w:asciiTheme="minorHAnsi" w:hAnsiTheme="minorHAnsi"/>
          <w:szCs w:val="18"/>
        </w:rPr>
        <w:t xml:space="preserve"> týkajúcej sa </w:t>
      </w:r>
      <w:proofErr w:type="spellStart"/>
      <w:r w:rsidRPr="00DD6590">
        <w:rPr>
          <w:rFonts w:asciiTheme="minorHAnsi" w:hAnsiTheme="minorHAnsi"/>
          <w:szCs w:val="18"/>
        </w:rPr>
        <w:t>telematických</w:t>
      </w:r>
      <w:proofErr w:type="spellEnd"/>
      <w:r w:rsidRPr="00DD6590">
        <w:rPr>
          <w:rFonts w:asciiTheme="minorHAnsi" w:hAnsiTheme="minorHAnsi"/>
          <w:szCs w:val="18"/>
        </w:rPr>
        <w:t xml:space="preserve"> aplikácií,</w:t>
      </w:r>
    </w:p>
    <w:p w14:paraId="2AFFE882" w14:textId="77777777" w:rsidR="00A75C5F" w:rsidRPr="00DD6590" w:rsidRDefault="00A75C5F" w:rsidP="00AF3446">
      <w:pPr>
        <w:pStyle w:val="ListParagraph"/>
        <w:numPr>
          <w:ilvl w:val="0"/>
          <w:numId w:val="11"/>
        </w:numPr>
        <w:ind w:left="461" w:hanging="274"/>
        <w:contextualSpacing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zvýšenie bezpečnosti železničnej dopravy.</w:t>
      </w:r>
    </w:p>
    <w:p w14:paraId="36879FB0" w14:textId="77777777" w:rsidR="00A75C5F" w:rsidRPr="00DD6590" w:rsidRDefault="00267D70" w:rsidP="00A75C5F">
      <w:pPr>
        <w:contextualSpacing/>
        <w:rPr>
          <w:szCs w:val="18"/>
        </w:rPr>
      </w:pPr>
      <w:r w:rsidRPr="00DD6590">
        <w:rPr>
          <w:szCs w:val="18"/>
        </w:rPr>
        <w:t xml:space="preserve">Špecifický výsledkový </w:t>
      </w:r>
      <w:r w:rsidR="00491526" w:rsidRPr="00DD6590">
        <w:rPr>
          <w:szCs w:val="18"/>
        </w:rPr>
        <w:t>ukazovateľ</w:t>
      </w:r>
      <w:r w:rsidRPr="00DD6590">
        <w:rPr>
          <w:szCs w:val="18"/>
        </w:rPr>
        <w:t xml:space="preserve"> stanovený pre tento ŠC je:</w:t>
      </w:r>
    </w:p>
    <w:p w14:paraId="0C060253" w14:textId="1DA9CD69" w:rsidR="00BA3CE4" w:rsidRPr="00DD6590" w:rsidRDefault="00BA3CE4" w:rsidP="00BA3CE4">
      <w:pPr>
        <w:pStyle w:val="Caption"/>
      </w:pPr>
      <w:bookmarkStart w:id="6" w:name="_Toc9845834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D23114">
        <w:rPr>
          <w:noProof/>
        </w:rPr>
        <w:t>3</w:t>
      </w:r>
      <w:r w:rsidRPr="00DD6590">
        <w:fldChar w:fldCharType="end"/>
      </w:r>
      <w:r w:rsidR="00BB0829" w:rsidRPr="00DD6590">
        <w:t xml:space="preserve"> Výsledkové u</w:t>
      </w:r>
      <w:r w:rsidRPr="00DD6590">
        <w:t>kazovatele ŠC 1.2</w:t>
      </w:r>
      <w:bookmarkEnd w:id="6"/>
    </w:p>
    <w:tbl>
      <w:tblPr>
        <w:tblStyle w:val="Svetlzoznamzvraznenie11"/>
        <w:tblW w:w="0" w:type="auto"/>
        <w:tblBorders>
          <w:top w:val="single" w:sz="4" w:space="0" w:color="86BC25" w:themeColor="accent1"/>
          <w:left w:val="single" w:sz="4" w:space="0" w:color="86BC25" w:themeColor="accent1"/>
          <w:bottom w:val="single" w:sz="4" w:space="0" w:color="86BC25" w:themeColor="accent1"/>
          <w:right w:val="single" w:sz="4" w:space="0" w:color="86BC25" w:themeColor="accent1"/>
          <w:insideH w:val="single" w:sz="4" w:space="0" w:color="86BC25" w:themeColor="accent1"/>
          <w:insideV w:val="single" w:sz="4" w:space="0" w:color="86BC25" w:themeColor="accent1"/>
        </w:tblBorders>
        <w:tblLook w:val="04A0" w:firstRow="1" w:lastRow="0" w:firstColumn="1" w:lastColumn="0" w:noHBand="0" w:noVBand="1"/>
      </w:tblPr>
      <w:tblGrid>
        <w:gridCol w:w="581"/>
        <w:gridCol w:w="2953"/>
        <w:gridCol w:w="1277"/>
        <w:gridCol w:w="1117"/>
        <w:gridCol w:w="1605"/>
        <w:gridCol w:w="1575"/>
      </w:tblGrid>
      <w:tr w:rsidR="00267D70" w:rsidRPr="00DD6590" w14:paraId="24774F0B" w14:textId="77777777" w:rsidTr="00DF70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</w:tcPr>
          <w:p w14:paraId="5D93E665" w14:textId="77777777" w:rsidR="00267D70" w:rsidRPr="00DD6590" w:rsidRDefault="001657EF" w:rsidP="00D21B5F">
            <w:pPr>
              <w:spacing w:before="0"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P.č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2953" w:type="dxa"/>
          </w:tcPr>
          <w:p w14:paraId="0DFA8C08" w14:textId="77777777" w:rsidR="00267D70" w:rsidRPr="00DD6590" w:rsidRDefault="00267D70" w:rsidP="00D21B5F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Ukazovateľ </w:t>
            </w:r>
          </w:p>
        </w:tc>
        <w:tc>
          <w:tcPr>
            <w:tcW w:w="1277" w:type="dxa"/>
          </w:tcPr>
          <w:p w14:paraId="5FDAD27D" w14:textId="77777777" w:rsidR="00267D70" w:rsidRPr="00DD6590" w:rsidRDefault="00267D70" w:rsidP="00D21B5F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Typ </w:t>
            </w:r>
          </w:p>
        </w:tc>
        <w:tc>
          <w:tcPr>
            <w:tcW w:w="1117" w:type="dxa"/>
          </w:tcPr>
          <w:p w14:paraId="68C9FF77" w14:textId="77777777" w:rsidR="00267D70" w:rsidRPr="00DD6590" w:rsidRDefault="00267D70" w:rsidP="00D21B5F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Merná jednotka</w:t>
            </w:r>
          </w:p>
        </w:tc>
        <w:tc>
          <w:tcPr>
            <w:tcW w:w="1605" w:type="dxa"/>
          </w:tcPr>
          <w:p w14:paraId="285A7450" w14:textId="77777777" w:rsidR="00267D70" w:rsidRPr="00DD6590" w:rsidRDefault="00267D70" w:rsidP="00D21B5F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Východisková hodnota (2013)</w:t>
            </w:r>
          </w:p>
        </w:tc>
        <w:tc>
          <w:tcPr>
            <w:tcW w:w="1575" w:type="dxa"/>
          </w:tcPr>
          <w:p w14:paraId="312CF31C" w14:textId="77777777" w:rsidR="00267D70" w:rsidRPr="00DD6590" w:rsidRDefault="00267D70" w:rsidP="00D21B5F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Cieľová hodnota (2023)</w:t>
            </w:r>
          </w:p>
        </w:tc>
      </w:tr>
      <w:tr w:rsidR="00267D70" w:rsidRPr="00DD6590" w14:paraId="1C991CBB" w14:textId="77777777" w:rsidTr="00DF7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020129F" w14:textId="77777777" w:rsidR="00267D70" w:rsidRPr="00DD6590" w:rsidRDefault="001657EF" w:rsidP="00D21B5F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</w:t>
            </w:r>
          </w:p>
        </w:tc>
        <w:tc>
          <w:tcPr>
            <w:tcW w:w="2953" w:type="dxa"/>
            <w:tcBorders>
              <w:top w:val="none" w:sz="0" w:space="0" w:color="auto"/>
              <w:bottom w:val="none" w:sz="0" w:space="0" w:color="auto"/>
            </w:tcBorders>
          </w:tcPr>
          <w:p w14:paraId="39770506" w14:textId="66526697" w:rsidR="00267D70" w:rsidRPr="00DD6590" w:rsidRDefault="00267D70" w:rsidP="004627B0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Celkový objem medzinárodnej prepravy na koridore TEN-T Orient/východné Stredomorie (úsek št. hr. ČR/SR – </w:t>
            </w:r>
            <w:r w:rsidR="004627B0" w:rsidRPr="00DD6590">
              <w:rPr>
                <w:rFonts w:asciiTheme="minorHAnsi" w:hAnsiTheme="minorHAnsi"/>
                <w:sz w:val="16"/>
                <w:szCs w:val="16"/>
              </w:rPr>
              <w:t xml:space="preserve">Kúty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– Bratislava)  </w:t>
            </w:r>
          </w:p>
        </w:tc>
        <w:tc>
          <w:tcPr>
            <w:tcW w:w="1277" w:type="dxa"/>
            <w:tcBorders>
              <w:top w:val="none" w:sz="0" w:space="0" w:color="auto"/>
              <w:bottom w:val="none" w:sz="0" w:space="0" w:color="auto"/>
            </w:tcBorders>
          </w:tcPr>
          <w:p w14:paraId="260897EA" w14:textId="77777777" w:rsidR="00267D70" w:rsidRPr="00DD6590" w:rsidRDefault="00267D70" w:rsidP="00D21B5F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výsledkový</w:t>
            </w:r>
          </w:p>
        </w:tc>
        <w:tc>
          <w:tcPr>
            <w:tcW w:w="1117" w:type="dxa"/>
            <w:tcBorders>
              <w:top w:val="none" w:sz="0" w:space="0" w:color="auto"/>
              <w:bottom w:val="none" w:sz="0" w:space="0" w:color="auto"/>
            </w:tcBorders>
          </w:tcPr>
          <w:p w14:paraId="32B8B297" w14:textId="77777777" w:rsidR="00267D70" w:rsidRPr="00DD6590" w:rsidRDefault="00267D70" w:rsidP="00D21B5F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vlkm</w:t>
            </w:r>
            <w:proofErr w:type="spellEnd"/>
          </w:p>
        </w:tc>
        <w:tc>
          <w:tcPr>
            <w:tcW w:w="1605" w:type="dxa"/>
            <w:tcBorders>
              <w:top w:val="none" w:sz="0" w:space="0" w:color="auto"/>
              <w:bottom w:val="none" w:sz="0" w:space="0" w:color="auto"/>
            </w:tcBorders>
          </w:tcPr>
          <w:p w14:paraId="72A828BD" w14:textId="77777777" w:rsidR="00267D70" w:rsidRPr="00DD6590" w:rsidRDefault="00267D70" w:rsidP="00D21B5F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1 205 396</w:t>
            </w:r>
          </w:p>
        </w:tc>
        <w:tc>
          <w:tcPr>
            <w:tcW w:w="157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82FCB5A" w14:textId="77777777" w:rsidR="00267D70" w:rsidRPr="00DD6590" w:rsidRDefault="00267D70" w:rsidP="00D21B5F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1 307 279</w:t>
            </w:r>
          </w:p>
        </w:tc>
      </w:tr>
    </w:tbl>
    <w:p w14:paraId="38EFEE07" w14:textId="77777777" w:rsidR="00DC7AC4" w:rsidRPr="00DD6590" w:rsidRDefault="00DC7AC4" w:rsidP="00B0035E">
      <w:pPr>
        <w:pStyle w:val="Heading2"/>
      </w:pPr>
      <w:bookmarkStart w:id="7" w:name="_Toc9845763"/>
      <w:r w:rsidRPr="00DD6590">
        <w:lastRenderedPageBreak/>
        <w:t>Špecifický cieľ 1.3</w:t>
      </w:r>
      <w:bookmarkEnd w:id="7"/>
    </w:p>
    <w:p w14:paraId="678B4FF1" w14:textId="77777777" w:rsidR="00E9014D" w:rsidRPr="00DD6590" w:rsidRDefault="00E9014D" w:rsidP="00132576">
      <w:pPr>
        <w:spacing w:before="0" w:after="0"/>
        <w:rPr>
          <w:b/>
        </w:rPr>
      </w:pPr>
      <w:r w:rsidRPr="00DD6590">
        <w:rPr>
          <w:b/>
        </w:rPr>
        <w:t>Zvýšenie atraktivity a kvality služieb železničnej verejnej osobnej dopravy prostredníctvom obnovy mobilných prostriedkov</w:t>
      </w:r>
    </w:p>
    <w:p w14:paraId="6686C2BD" w14:textId="02369C1B" w:rsidR="00E9014D" w:rsidRPr="00DD6590" w:rsidRDefault="00926C2B" w:rsidP="00E9014D">
      <w:r w:rsidRPr="00DD6590">
        <w:t>Očakávanými v</w:t>
      </w:r>
      <w:r w:rsidR="00E9014D" w:rsidRPr="00DD6590">
        <w:t>ýsledkami realizácie ŠC 1.3 sú:</w:t>
      </w:r>
    </w:p>
    <w:p w14:paraId="5AE9C5F8" w14:textId="77777777" w:rsidR="00E9014D" w:rsidRPr="00DD6590" w:rsidRDefault="00E9014D" w:rsidP="00AF3446">
      <w:pPr>
        <w:pStyle w:val="ListParagraph"/>
        <w:numPr>
          <w:ilvl w:val="0"/>
          <w:numId w:val="12"/>
        </w:numPr>
        <w:ind w:left="450" w:hanging="450"/>
        <w:contextualSpacing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zvýšenie atraktivity verejnej osobnej dopravy prostredníctvom obstarania nových prostriedkov zabezpečujúcich verejnú železničnú osobnú dopravu,</w:t>
      </w:r>
    </w:p>
    <w:p w14:paraId="555C97DB" w14:textId="77777777" w:rsidR="00E9014D" w:rsidRPr="00DD6590" w:rsidRDefault="00E9014D" w:rsidP="00AF3446">
      <w:pPr>
        <w:pStyle w:val="ListParagraph"/>
        <w:numPr>
          <w:ilvl w:val="0"/>
          <w:numId w:val="12"/>
        </w:numPr>
        <w:ind w:left="450" w:hanging="450"/>
        <w:contextualSpacing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podpora stabilizácie služieb poskytovaných vo verejnom záujme,</w:t>
      </w:r>
    </w:p>
    <w:p w14:paraId="5C3A8173" w14:textId="32C46ECA" w:rsidR="00E9014D" w:rsidRPr="00DD6590" w:rsidRDefault="00E9014D" w:rsidP="00AF3446">
      <w:pPr>
        <w:pStyle w:val="ListParagraph"/>
        <w:numPr>
          <w:ilvl w:val="0"/>
          <w:numId w:val="12"/>
        </w:numPr>
        <w:ind w:left="450" w:hanging="450"/>
        <w:contextualSpacing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zníženie hlukovej záťaže a emisií CO</w:t>
      </w:r>
      <w:r w:rsidRPr="001B2DF0">
        <w:rPr>
          <w:rFonts w:asciiTheme="minorHAnsi" w:hAnsiTheme="minorHAnsi"/>
          <w:szCs w:val="18"/>
          <w:vertAlign w:val="subscript"/>
        </w:rPr>
        <w:t>2</w:t>
      </w:r>
      <w:r w:rsidRPr="00DD6590">
        <w:rPr>
          <w:rFonts w:asciiTheme="minorHAnsi" w:hAnsiTheme="minorHAnsi"/>
          <w:szCs w:val="18"/>
        </w:rPr>
        <w:t>, NO</w:t>
      </w:r>
      <w:r w:rsidRPr="001B2DF0">
        <w:rPr>
          <w:rFonts w:asciiTheme="minorHAnsi" w:hAnsiTheme="minorHAnsi"/>
          <w:szCs w:val="18"/>
          <w:vertAlign w:val="subscript"/>
        </w:rPr>
        <w:t>2</w:t>
      </w:r>
      <w:r w:rsidRPr="00DD6590">
        <w:rPr>
          <w:rFonts w:asciiTheme="minorHAnsi" w:hAnsiTheme="minorHAnsi"/>
          <w:szCs w:val="18"/>
        </w:rPr>
        <w:t xml:space="preserve"> a PM</w:t>
      </w:r>
      <w:r w:rsidRPr="001B2DF0">
        <w:rPr>
          <w:rFonts w:asciiTheme="minorHAnsi" w:hAnsiTheme="minorHAnsi"/>
          <w:szCs w:val="18"/>
          <w:vertAlign w:val="subscript"/>
        </w:rPr>
        <w:t>10</w:t>
      </w:r>
      <w:r w:rsidRPr="00DD6590">
        <w:rPr>
          <w:rFonts w:asciiTheme="minorHAnsi" w:hAnsiTheme="minorHAnsi"/>
          <w:szCs w:val="18"/>
        </w:rPr>
        <w:t xml:space="preserve"> vyplývajúcej z prevádzky železničnej verejnej osobnej dopravy.</w:t>
      </w:r>
    </w:p>
    <w:p w14:paraId="4B851143" w14:textId="040F64D8" w:rsidR="00E9014D" w:rsidRPr="00DD6590" w:rsidRDefault="00E9014D" w:rsidP="00F3249F">
      <w:pPr>
        <w:rPr>
          <w:szCs w:val="18"/>
        </w:rPr>
      </w:pPr>
      <w:r w:rsidRPr="00DD6590">
        <w:rPr>
          <w:szCs w:val="18"/>
        </w:rPr>
        <w:t xml:space="preserve">Výsledky projektov naplnia </w:t>
      </w:r>
      <w:r w:rsidR="004627B0" w:rsidRPr="00DD6590">
        <w:rPr>
          <w:szCs w:val="18"/>
        </w:rPr>
        <w:t xml:space="preserve">špecifický </w:t>
      </w:r>
      <w:r w:rsidRPr="00DD6590">
        <w:rPr>
          <w:szCs w:val="18"/>
        </w:rPr>
        <w:t>výsledkový ukazovateľ:</w:t>
      </w:r>
    </w:p>
    <w:p w14:paraId="4AF4142D" w14:textId="2F74D49B" w:rsidR="00BA3CE4" w:rsidRPr="00DD6590" w:rsidRDefault="00BA3CE4" w:rsidP="00BA3CE4">
      <w:pPr>
        <w:pStyle w:val="Caption"/>
      </w:pPr>
      <w:bookmarkStart w:id="8" w:name="_Toc9845835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D23114">
        <w:rPr>
          <w:noProof/>
        </w:rPr>
        <w:t>4</w:t>
      </w:r>
      <w:r w:rsidRPr="00DD6590">
        <w:fldChar w:fldCharType="end"/>
      </w:r>
      <w:r w:rsidRPr="00DD6590">
        <w:t xml:space="preserve"> </w:t>
      </w:r>
      <w:r w:rsidR="00BB0829" w:rsidRPr="00DD6590">
        <w:t>Výsledkové u</w:t>
      </w:r>
      <w:r w:rsidRPr="00DD6590">
        <w:t xml:space="preserve">kazovatele </w:t>
      </w:r>
      <w:r w:rsidR="00BB0829" w:rsidRPr="00DD6590">
        <w:t xml:space="preserve">ŠC </w:t>
      </w:r>
      <w:r w:rsidRPr="00DD6590">
        <w:t>1.3</w:t>
      </w:r>
      <w:bookmarkEnd w:id="8"/>
    </w:p>
    <w:tbl>
      <w:tblPr>
        <w:tblStyle w:val="Svetlzoznamzvraznenie11"/>
        <w:tblW w:w="0" w:type="auto"/>
        <w:jc w:val="center"/>
        <w:tblLook w:val="04A0" w:firstRow="1" w:lastRow="0" w:firstColumn="1" w:lastColumn="0" w:noHBand="0" w:noVBand="1"/>
      </w:tblPr>
      <w:tblGrid>
        <w:gridCol w:w="581"/>
        <w:gridCol w:w="2953"/>
        <w:gridCol w:w="1277"/>
        <w:gridCol w:w="1117"/>
        <w:gridCol w:w="1605"/>
        <w:gridCol w:w="1575"/>
      </w:tblGrid>
      <w:tr w:rsidR="00F3249F" w:rsidRPr="00DD6590" w14:paraId="00B5CD1C" w14:textId="77777777" w:rsidTr="004A6C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10B6DE37" w14:textId="77777777" w:rsidR="00F3249F" w:rsidRPr="00DD6590" w:rsidRDefault="001657EF" w:rsidP="00D21B5F">
            <w:pPr>
              <w:spacing w:before="0"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P.č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2778B9E" w14:textId="77777777" w:rsidR="00F3249F" w:rsidRPr="00DD6590" w:rsidRDefault="00F3249F" w:rsidP="00D21B5F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Ukazovateľ 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F34099C" w14:textId="77777777" w:rsidR="00F3249F" w:rsidRPr="00DD6590" w:rsidRDefault="00F3249F" w:rsidP="00D21B5F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Typ 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A617E04" w14:textId="77777777" w:rsidR="00F3249F" w:rsidRPr="00DD6590" w:rsidRDefault="00F3249F" w:rsidP="00D21B5F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Merná jednotka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92C18DA" w14:textId="77777777" w:rsidR="00F3249F" w:rsidRPr="00DD6590" w:rsidRDefault="00F3249F" w:rsidP="00D21B5F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Východisková hodnota (2013)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1BC21BEB" w14:textId="77777777" w:rsidR="00F3249F" w:rsidRPr="00DD6590" w:rsidRDefault="00F3249F" w:rsidP="00D21B5F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Cieľová hodnota (2023)</w:t>
            </w:r>
          </w:p>
        </w:tc>
      </w:tr>
      <w:tr w:rsidR="00F3249F" w:rsidRPr="00DD6590" w14:paraId="69D8FDBC" w14:textId="77777777" w:rsidTr="004A6C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598A4A44" w14:textId="77777777" w:rsidR="00F3249F" w:rsidRPr="00DD6590" w:rsidRDefault="001657EF" w:rsidP="00D21B5F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94FFB28" w14:textId="5D9C6C50" w:rsidR="00F3249F" w:rsidRPr="00DD6590" w:rsidRDefault="00F3249F" w:rsidP="004627B0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Počet </w:t>
            </w:r>
            <w:r w:rsidR="004627B0" w:rsidRPr="00DD6590">
              <w:rPr>
                <w:rFonts w:asciiTheme="minorHAnsi" w:hAnsiTheme="minorHAnsi"/>
                <w:sz w:val="16"/>
                <w:szCs w:val="16"/>
              </w:rPr>
              <w:t xml:space="preserve">prepravených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cestujúcich vo verejnej železničnej osobnej doprave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C62F469" w14:textId="77777777" w:rsidR="00F3249F" w:rsidRPr="00DD6590" w:rsidRDefault="00F3249F" w:rsidP="00D21B5F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výsledkový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B4759E6" w14:textId="77777777" w:rsidR="00F3249F" w:rsidRPr="00DD6590" w:rsidRDefault="00F3249F" w:rsidP="00D21B5F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počet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B50D333" w14:textId="77777777" w:rsidR="00F3249F" w:rsidRPr="00DD6590" w:rsidRDefault="00F3249F" w:rsidP="00D21B5F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44 287 000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66C33519" w14:textId="77777777" w:rsidR="00F3249F" w:rsidRPr="00DD6590" w:rsidRDefault="00F3249F" w:rsidP="00D21B5F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46 942 211</w:t>
            </w:r>
          </w:p>
        </w:tc>
      </w:tr>
    </w:tbl>
    <w:p w14:paraId="448B0697" w14:textId="77777777" w:rsidR="00F3249F" w:rsidRPr="00DD6590" w:rsidRDefault="001657EF" w:rsidP="00F3249F">
      <w:r w:rsidRPr="00DD6590">
        <w:t xml:space="preserve">Špecifické ciele 1.2 a 1.3 sú realizované cez nasledovné aktivity:  </w:t>
      </w:r>
    </w:p>
    <w:p w14:paraId="24889AE9" w14:textId="3CFFCD2F" w:rsidR="001657EF" w:rsidRPr="00DD6590" w:rsidRDefault="00814D86" w:rsidP="00AF3446">
      <w:pPr>
        <w:pStyle w:val="ListParagraph"/>
        <w:numPr>
          <w:ilvl w:val="0"/>
          <w:numId w:val="13"/>
        </w:numPr>
        <w:ind w:left="450" w:hanging="450"/>
        <w:contextualSpacing/>
        <w:rPr>
          <w:rFonts w:asciiTheme="minorHAnsi" w:hAnsiTheme="minorHAnsi"/>
          <w:szCs w:val="18"/>
        </w:rPr>
      </w:pPr>
      <w:r>
        <w:rPr>
          <w:rFonts w:asciiTheme="minorHAnsi" w:hAnsiTheme="minorHAnsi"/>
          <w:szCs w:val="18"/>
        </w:rPr>
        <w:t>i</w:t>
      </w:r>
      <w:r w:rsidRPr="00DD6590">
        <w:rPr>
          <w:rFonts w:asciiTheme="minorHAnsi" w:hAnsiTheme="minorHAnsi"/>
          <w:szCs w:val="18"/>
        </w:rPr>
        <w:t xml:space="preserve">mplementácia </w:t>
      </w:r>
      <w:r w:rsidR="001657EF" w:rsidRPr="00DD6590">
        <w:rPr>
          <w:rFonts w:asciiTheme="minorHAnsi" w:hAnsiTheme="minorHAnsi"/>
          <w:szCs w:val="18"/>
        </w:rPr>
        <w:t>systémov ETCS a GSM-R, TSI TAF/TAP,</w:t>
      </w:r>
    </w:p>
    <w:p w14:paraId="27AB9E22" w14:textId="376739B3" w:rsidR="001657EF" w:rsidRPr="00DD6590" w:rsidRDefault="00814D86" w:rsidP="00AF3446">
      <w:pPr>
        <w:pStyle w:val="ListParagraph"/>
        <w:numPr>
          <w:ilvl w:val="0"/>
          <w:numId w:val="13"/>
        </w:numPr>
        <w:ind w:left="450" w:hanging="450"/>
        <w:contextualSpacing/>
        <w:rPr>
          <w:rFonts w:asciiTheme="minorHAnsi" w:hAnsiTheme="minorHAnsi"/>
          <w:szCs w:val="18"/>
        </w:rPr>
      </w:pPr>
      <w:r>
        <w:rPr>
          <w:rFonts w:asciiTheme="minorHAnsi" w:hAnsiTheme="minorHAnsi"/>
          <w:szCs w:val="18"/>
        </w:rPr>
        <w:t>o</w:t>
      </w:r>
      <w:r w:rsidRPr="00DD6590">
        <w:rPr>
          <w:rFonts w:asciiTheme="minorHAnsi" w:hAnsiTheme="minorHAnsi"/>
          <w:szCs w:val="18"/>
        </w:rPr>
        <w:t xml:space="preserve">bnova </w:t>
      </w:r>
      <w:r w:rsidR="001657EF" w:rsidRPr="00DD6590">
        <w:rPr>
          <w:rFonts w:asciiTheme="minorHAnsi" w:hAnsiTheme="minorHAnsi"/>
          <w:szCs w:val="18"/>
        </w:rPr>
        <w:t>mobilných prostriedkov železničnej verejnej osobnej dopravy,</w:t>
      </w:r>
    </w:p>
    <w:p w14:paraId="7DDE4EBF" w14:textId="6753EED0" w:rsidR="00725CA5" w:rsidRPr="00DD6590" w:rsidRDefault="00814D86" w:rsidP="00AF3446">
      <w:pPr>
        <w:pStyle w:val="ListParagraph"/>
        <w:numPr>
          <w:ilvl w:val="0"/>
          <w:numId w:val="13"/>
        </w:numPr>
        <w:ind w:left="450" w:hanging="450"/>
        <w:contextualSpacing/>
        <w:rPr>
          <w:rFonts w:asciiTheme="minorHAnsi" w:hAnsiTheme="minorHAnsi"/>
          <w:szCs w:val="18"/>
        </w:rPr>
      </w:pPr>
      <w:r>
        <w:rPr>
          <w:rFonts w:asciiTheme="minorHAnsi" w:hAnsiTheme="minorHAnsi"/>
          <w:szCs w:val="18"/>
        </w:rPr>
        <w:t>p</w:t>
      </w:r>
      <w:r w:rsidRPr="00DD6590">
        <w:rPr>
          <w:rFonts w:asciiTheme="minorHAnsi" w:hAnsiTheme="minorHAnsi"/>
          <w:szCs w:val="18"/>
        </w:rPr>
        <w:t xml:space="preserve">rojektová </w:t>
      </w:r>
      <w:r w:rsidR="001657EF" w:rsidRPr="00DD6590">
        <w:rPr>
          <w:rFonts w:asciiTheme="minorHAnsi" w:hAnsiTheme="minorHAnsi"/>
          <w:szCs w:val="18"/>
        </w:rPr>
        <w:t>príprava.</w:t>
      </w:r>
    </w:p>
    <w:p w14:paraId="547FF1C4" w14:textId="77777777" w:rsidR="001657EF" w:rsidRPr="00DD6590" w:rsidRDefault="001657EF" w:rsidP="001657EF">
      <w:pPr>
        <w:contextualSpacing/>
        <w:rPr>
          <w:szCs w:val="18"/>
        </w:rPr>
      </w:pPr>
      <w:r w:rsidRPr="00DD6590">
        <w:rPr>
          <w:szCs w:val="18"/>
        </w:rPr>
        <w:t>Spoločné a špecifické ukazovatele výstupu pre tieto dva ŠC sú stanovené nasledovne:</w:t>
      </w:r>
    </w:p>
    <w:p w14:paraId="4B6ADA1F" w14:textId="2A4AE3C3" w:rsidR="00BA3CE4" w:rsidRPr="00DD6590" w:rsidRDefault="00BA3CE4" w:rsidP="00BA3CE4">
      <w:pPr>
        <w:pStyle w:val="Caption"/>
      </w:pPr>
      <w:bookmarkStart w:id="9" w:name="_Toc9845836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D23114">
        <w:rPr>
          <w:noProof/>
        </w:rPr>
        <w:t>5</w:t>
      </w:r>
      <w:r w:rsidRPr="00DD6590">
        <w:fldChar w:fldCharType="end"/>
      </w:r>
      <w:r w:rsidR="00E16394" w:rsidRPr="00DD6590">
        <w:t xml:space="preserve"> </w:t>
      </w:r>
      <w:r w:rsidR="00FA7C9A" w:rsidRPr="00DD6590">
        <w:t>Špecifické v</w:t>
      </w:r>
      <w:r w:rsidR="004627B0" w:rsidRPr="00DD6590">
        <w:t xml:space="preserve">ýstupové </w:t>
      </w:r>
      <w:r w:rsidR="00E16394" w:rsidRPr="00DD6590">
        <w:t>u</w:t>
      </w:r>
      <w:r w:rsidRPr="00DD6590">
        <w:t xml:space="preserve">kazovatele </w:t>
      </w:r>
      <w:r w:rsidR="00E16394" w:rsidRPr="00DD6590">
        <w:t xml:space="preserve">ŠC </w:t>
      </w:r>
      <w:r w:rsidRPr="00DD6590">
        <w:t>1.2</w:t>
      </w:r>
      <w:r w:rsidR="00E16394" w:rsidRPr="00DD6590">
        <w:t xml:space="preserve"> a 1.3</w:t>
      </w:r>
      <w:bookmarkEnd w:id="9"/>
    </w:p>
    <w:tbl>
      <w:tblPr>
        <w:tblStyle w:val="Svetlzoznamzvraznenie11"/>
        <w:tblW w:w="0" w:type="auto"/>
        <w:jc w:val="center"/>
        <w:tblLook w:val="04A0" w:firstRow="1" w:lastRow="0" w:firstColumn="1" w:lastColumn="0" w:noHBand="0" w:noVBand="1"/>
      </w:tblPr>
      <w:tblGrid>
        <w:gridCol w:w="584"/>
        <w:gridCol w:w="2953"/>
        <w:gridCol w:w="1277"/>
        <w:gridCol w:w="1117"/>
        <w:gridCol w:w="1605"/>
        <w:gridCol w:w="1575"/>
      </w:tblGrid>
      <w:tr w:rsidR="001657EF" w:rsidRPr="00DD6590" w14:paraId="47FF4297" w14:textId="77777777" w:rsidTr="000C32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dxa"/>
            <w:tcBorders>
              <w:right w:val="single" w:sz="4" w:space="0" w:color="86BC25" w:themeColor="accent1"/>
            </w:tcBorders>
            <w:vAlign w:val="center"/>
          </w:tcPr>
          <w:p w14:paraId="5D3EC302" w14:textId="77777777" w:rsidR="001657EF" w:rsidRPr="00DD6590" w:rsidRDefault="001657EF" w:rsidP="00D21B5F">
            <w:pPr>
              <w:spacing w:before="0"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P.č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BCC0535" w14:textId="77777777" w:rsidR="001657EF" w:rsidRPr="00DD6590" w:rsidRDefault="001657EF" w:rsidP="00D21B5F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Ukazovateľ 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CF0A827" w14:textId="77777777" w:rsidR="001657EF" w:rsidRPr="00DD6590" w:rsidRDefault="001657EF" w:rsidP="00D21B5F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Typ 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76FE191" w14:textId="77777777" w:rsidR="001657EF" w:rsidRPr="00DD6590" w:rsidRDefault="001657EF" w:rsidP="00D21B5F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Merná jednotka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A2D6C30" w14:textId="77777777" w:rsidR="001657EF" w:rsidRPr="00DD6590" w:rsidRDefault="001657EF" w:rsidP="00D21B5F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Východisková hodnota (2013)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4B9C5896" w14:textId="77777777" w:rsidR="001657EF" w:rsidRPr="00DD6590" w:rsidRDefault="001657EF" w:rsidP="00D21B5F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Cieľová hodnota (2023)</w:t>
            </w:r>
          </w:p>
        </w:tc>
      </w:tr>
      <w:tr w:rsidR="001657EF" w:rsidRPr="00DD6590" w14:paraId="28DBC58B" w14:textId="77777777" w:rsidTr="000C32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dxa"/>
            <w:tcBorders>
              <w:right w:val="single" w:sz="4" w:space="0" w:color="86BC25" w:themeColor="accent1"/>
            </w:tcBorders>
            <w:vAlign w:val="center"/>
          </w:tcPr>
          <w:p w14:paraId="26AA7B5D" w14:textId="77777777" w:rsidR="001657EF" w:rsidRPr="00DD6590" w:rsidRDefault="001657EF" w:rsidP="00D21B5F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54B76D3" w14:textId="77777777" w:rsidR="001657EF" w:rsidRPr="00DD6590" w:rsidRDefault="001657EF" w:rsidP="00D21B5F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Dĺžka železničných tratí TEN-T CORE so zavedeným systémom ERTMS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B1A66E6" w14:textId="77777777" w:rsidR="001657EF" w:rsidRPr="00DD6590" w:rsidRDefault="001657EF" w:rsidP="00D21B5F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výstupový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EEA7545" w14:textId="77777777" w:rsidR="001657EF" w:rsidRPr="00DD6590" w:rsidRDefault="001657EF" w:rsidP="00D21B5F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3A1D1AD" w14:textId="77777777" w:rsidR="001657EF" w:rsidRPr="00DD6590" w:rsidRDefault="001657EF" w:rsidP="00D21B5F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-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61F5AC31" w14:textId="77777777" w:rsidR="001657EF" w:rsidRPr="00DD6590" w:rsidRDefault="001657EF" w:rsidP="00D21B5F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71</w:t>
            </w:r>
          </w:p>
        </w:tc>
      </w:tr>
      <w:tr w:rsidR="001657EF" w:rsidRPr="00DD6590" w14:paraId="1D138255" w14:textId="77777777" w:rsidTr="000C323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dxa"/>
            <w:tcBorders>
              <w:right w:val="single" w:sz="4" w:space="0" w:color="86BC25" w:themeColor="accent1"/>
            </w:tcBorders>
            <w:vAlign w:val="center"/>
          </w:tcPr>
          <w:p w14:paraId="12363500" w14:textId="77777777" w:rsidR="001657EF" w:rsidRPr="00DD6590" w:rsidRDefault="001657EF" w:rsidP="00D21B5F">
            <w:pPr>
              <w:spacing w:before="0" w:line="240" w:lineRule="auto"/>
              <w:rPr>
                <w:b w:val="0"/>
                <w:sz w:val="16"/>
                <w:szCs w:val="16"/>
              </w:rPr>
            </w:pPr>
            <w:r w:rsidRPr="00DD6590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49BE9C3" w14:textId="77777777" w:rsidR="001657EF" w:rsidRPr="00DD6590" w:rsidRDefault="001657EF" w:rsidP="00D21B5F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Počet obnovených vlakových súprav v železničnej verejnej osobnej doprave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C63B07D" w14:textId="77777777" w:rsidR="001657EF" w:rsidRPr="00DD6590" w:rsidRDefault="001657EF" w:rsidP="00D21B5F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výstupový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7766C4D" w14:textId="77777777" w:rsidR="001657EF" w:rsidRPr="00DD6590" w:rsidRDefault="001657EF" w:rsidP="00D21B5F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počet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52584FC" w14:textId="77777777" w:rsidR="001657EF" w:rsidRPr="00DD6590" w:rsidRDefault="001657EF" w:rsidP="00D21B5F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-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6B6BAE88" w14:textId="77777777" w:rsidR="001657EF" w:rsidRPr="00DD6590" w:rsidRDefault="001657EF" w:rsidP="00D21B5F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35</w:t>
            </w:r>
          </w:p>
        </w:tc>
      </w:tr>
    </w:tbl>
    <w:p w14:paraId="107BB227" w14:textId="77777777" w:rsidR="00725CA5" w:rsidRPr="00DD6590" w:rsidRDefault="000C3230" w:rsidP="003F0749">
      <w:pPr>
        <w:pStyle w:val="Heading1"/>
      </w:pPr>
      <w:bookmarkStart w:id="10" w:name="_Ref7527939"/>
      <w:bookmarkStart w:id="11" w:name="_Toc9845764"/>
      <w:r w:rsidRPr="00DD6590">
        <w:t>Výsledky analýzy Prioritnej osi 1 – Železničná infraštruktúra (TEN-T CORE) a obnova  mobilných prostriedkov</w:t>
      </w:r>
      <w:bookmarkEnd w:id="10"/>
      <w:bookmarkEnd w:id="11"/>
    </w:p>
    <w:p w14:paraId="746E2947" w14:textId="20236637" w:rsidR="00FA1392" w:rsidRPr="00DD6590" w:rsidRDefault="00FA1392" w:rsidP="00FA1392">
      <w:r w:rsidRPr="00DD6590">
        <w:t xml:space="preserve">V hodnotenom období bolo v realizácii </w:t>
      </w:r>
      <w:r w:rsidR="00F4301C" w:rsidRPr="00DD6590">
        <w:t>7</w:t>
      </w:r>
      <w:r w:rsidRPr="00DD6590">
        <w:t xml:space="preserve"> projektov</w:t>
      </w:r>
      <w:r w:rsidR="00F4301C" w:rsidRPr="00DD6590">
        <w:t xml:space="preserve"> vrátane finančných nástrojov</w:t>
      </w:r>
      <w:r w:rsidRPr="00DD6590">
        <w:t>. Z celkovej alokácie prioritnej osi 1 (</w:t>
      </w:r>
      <w:r w:rsidR="004627B0" w:rsidRPr="00DD6590">
        <w:t xml:space="preserve">854 </w:t>
      </w:r>
      <w:r w:rsidR="00B672A8" w:rsidRPr="00DD6590">
        <w:t>mil.  EUR</w:t>
      </w:r>
      <w:r w:rsidRPr="00DD6590">
        <w:t xml:space="preserve">) bolo vyčerpaných </w:t>
      </w:r>
      <w:r w:rsidR="00F4301C" w:rsidRPr="00DD6590">
        <w:t>27,71</w:t>
      </w:r>
      <w:r w:rsidR="00E356F7">
        <w:t xml:space="preserve"> </w:t>
      </w:r>
      <w:r w:rsidRPr="00DD6590">
        <w:t xml:space="preserve">% a zakontrahovaných </w:t>
      </w:r>
      <w:r w:rsidR="00B672A8" w:rsidRPr="00DD6590">
        <w:t>77,31</w:t>
      </w:r>
      <w:r w:rsidR="00E356F7">
        <w:t xml:space="preserve"> </w:t>
      </w:r>
      <w:r w:rsidRPr="00DD6590">
        <w:t>%. Zostávajúca alokácia je vo výške 194 mil. EUR. Prijímateľmi v rámci PO1 sú Železnice Slovenskej republiky (ďalej ako „ŽSR“) a Železničná spoločnosť Slovensko (ďalej ako „ZSSK“).</w:t>
      </w:r>
      <w:r w:rsidR="001A4DEE" w:rsidRPr="00DD6590">
        <w:t xml:space="preserve"> Certifikované výdavky </w:t>
      </w:r>
      <w:r w:rsidR="008159D8" w:rsidRPr="00DD6590">
        <w:t>k 31.</w:t>
      </w:r>
      <w:r w:rsidR="00E356F7">
        <w:t> </w:t>
      </w:r>
      <w:r w:rsidR="008159D8" w:rsidRPr="00DD6590">
        <w:t>12.</w:t>
      </w:r>
      <w:r w:rsidR="00E356F7">
        <w:t> </w:t>
      </w:r>
      <w:r w:rsidR="008159D8" w:rsidRPr="00DD6590">
        <w:t xml:space="preserve">2018 boli </w:t>
      </w:r>
      <w:r w:rsidR="001A4DEE" w:rsidRPr="00DD6590">
        <w:t>vo výške 186 219 073 EUR (EÚ zdroje), čo predstavuje 25</w:t>
      </w:r>
      <w:r w:rsidR="00F4301C" w:rsidRPr="00DD6590">
        <w:t>,66</w:t>
      </w:r>
      <w:r w:rsidR="00E356F7">
        <w:t xml:space="preserve"> </w:t>
      </w:r>
      <w:r w:rsidR="00B91705" w:rsidRPr="00DD6590">
        <w:t>% z alokácie pre PO</w:t>
      </w:r>
      <w:r w:rsidR="001A4DEE" w:rsidRPr="00DD6590">
        <w:t>1.</w:t>
      </w:r>
    </w:p>
    <w:p w14:paraId="413281F4" w14:textId="79002C9B" w:rsidR="00725CA5" w:rsidRPr="00DD6590" w:rsidRDefault="00FA1392" w:rsidP="00FA1392">
      <w:r w:rsidRPr="00DD6590">
        <w:t>Projekty v PO1 sú v realizáci</w:t>
      </w:r>
      <w:r w:rsidR="0074207A" w:rsidRPr="00DD6590">
        <w:t>i</w:t>
      </w:r>
      <w:r w:rsidRPr="00DD6590">
        <w:t>, prípadne tesne pred/po jej ukončení. Z tohto dôvodu nebolo v rámci hodnotenia možné vyhodnotiť skutočné naplnenie výsledkových ukazovateľov. Výsledkové ukazovatele boli preto vyhodnotené na úrovni cieľových hodnôt plánovaných v projektoch.</w:t>
      </w:r>
    </w:p>
    <w:p w14:paraId="79D44384" w14:textId="0E439551" w:rsidR="00822203" w:rsidRPr="00DD6590" w:rsidRDefault="00FA1392" w:rsidP="00725CA5">
      <w:r w:rsidRPr="00DD6590">
        <w:t xml:space="preserve">Analýza prioritnej osi 1 spočívala vo vyhodnotení stavu realizácie projektov v PO1, vyhodnotení plnenia výsledkových a finančných ukazovateľov v rámci špecifických cieľov a vyhodnotení ukazovateľov výstupu. </w:t>
      </w:r>
      <w:r w:rsidR="00491526" w:rsidRPr="00DD6590">
        <w:t>Súčasťou</w:t>
      </w:r>
      <w:r w:rsidRPr="00DD6590">
        <w:t xml:space="preserve"> analýzy bolo posúdenie plánovaných projektov, a to predovšetkým z hľadiska ich </w:t>
      </w:r>
      <w:r w:rsidR="00E356F7">
        <w:t>vplyvu</w:t>
      </w:r>
      <w:r w:rsidR="00E356F7" w:rsidRPr="00DD6590">
        <w:t xml:space="preserve"> </w:t>
      </w:r>
      <w:r w:rsidRPr="00DD6590">
        <w:t>na napĺňani</w:t>
      </w:r>
      <w:r w:rsidR="004627B0" w:rsidRPr="00DD6590">
        <w:t>e</w:t>
      </w:r>
      <w:r w:rsidRPr="00DD6590">
        <w:t xml:space="preserve"> ukazovateľov</w:t>
      </w:r>
      <w:r w:rsidR="00822203" w:rsidRPr="00DD6590">
        <w:t>:</w:t>
      </w:r>
    </w:p>
    <w:p w14:paraId="414EB3AC" w14:textId="3BC3C307" w:rsidR="00822203" w:rsidRPr="00DD6590" w:rsidRDefault="00822203" w:rsidP="003E761D">
      <w:pPr>
        <w:pStyle w:val="ListParagraph"/>
        <w:numPr>
          <w:ilvl w:val="0"/>
          <w:numId w:val="37"/>
        </w:numPr>
        <w:ind w:left="360"/>
        <w:contextualSpacing/>
        <w:rPr>
          <w:szCs w:val="18"/>
        </w:rPr>
      </w:pPr>
      <w:r w:rsidRPr="00DD6590">
        <w:rPr>
          <w:rFonts w:asciiTheme="minorHAnsi" w:hAnsiTheme="minorHAnsi"/>
          <w:color w:val="D0EC9F"/>
          <w:szCs w:val="18"/>
        </w:rPr>
        <w:lastRenderedPageBreak/>
        <w:t xml:space="preserve">zelená farba </w:t>
      </w:r>
      <w:r w:rsidRPr="00DD6590">
        <w:rPr>
          <w:rFonts w:asciiTheme="minorHAnsi" w:hAnsiTheme="minorHAnsi"/>
          <w:szCs w:val="18"/>
        </w:rPr>
        <w:t>– žiadne</w:t>
      </w:r>
      <w:r w:rsidR="00EC7D17" w:rsidRPr="00DD6590">
        <w:rPr>
          <w:rFonts w:asciiTheme="minorHAnsi" w:hAnsiTheme="minorHAnsi"/>
          <w:szCs w:val="18"/>
        </w:rPr>
        <w:t>,</w:t>
      </w:r>
      <w:r w:rsidRPr="00DD6590">
        <w:rPr>
          <w:rFonts w:asciiTheme="minorHAnsi" w:hAnsiTheme="minorHAnsi"/>
          <w:szCs w:val="18"/>
        </w:rPr>
        <w:t xml:space="preserve"> </w:t>
      </w:r>
      <w:r w:rsidR="00EC7D17" w:rsidRPr="00DD6590">
        <w:rPr>
          <w:rFonts w:asciiTheme="minorHAnsi" w:hAnsiTheme="minorHAnsi"/>
          <w:szCs w:val="18"/>
        </w:rPr>
        <w:t xml:space="preserve">resp. nízke </w:t>
      </w:r>
      <w:r w:rsidRPr="00DD6590">
        <w:rPr>
          <w:rFonts w:asciiTheme="minorHAnsi" w:hAnsiTheme="minorHAnsi"/>
          <w:szCs w:val="18"/>
        </w:rPr>
        <w:t>riziko</w:t>
      </w:r>
      <w:r w:rsidR="00EC7D17" w:rsidRPr="00DD6590">
        <w:rPr>
          <w:rFonts w:asciiTheme="minorHAnsi" w:hAnsiTheme="minorHAnsi"/>
          <w:szCs w:val="18"/>
        </w:rPr>
        <w:t xml:space="preserve">, </w:t>
      </w:r>
      <w:r w:rsidRPr="00DD6590">
        <w:rPr>
          <w:rFonts w:asciiTheme="minorHAnsi" w:hAnsiTheme="minorHAnsi"/>
          <w:szCs w:val="18"/>
        </w:rPr>
        <w:t>tzn. projekty sú realizované</w:t>
      </w:r>
      <w:r w:rsidR="003A0AF6" w:rsidRPr="00DD6590">
        <w:rPr>
          <w:rFonts w:asciiTheme="minorHAnsi" w:hAnsiTheme="minorHAnsi"/>
          <w:szCs w:val="18"/>
        </w:rPr>
        <w:t>/ukončené</w:t>
      </w:r>
      <w:r w:rsidRPr="00DD6590">
        <w:rPr>
          <w:rFonts w:asciiTheme="minorHAnsi" w:hAnsiTheme="minorHAnsi"/>
          <w:szCs w:val="18"/>
        </w:rPr>
        <w:t xml:space="preserve"> v súlade s harmonogramom, bez omeškania</w:t>
      </w:r>
      <w:r w:rsidR="003A0AF6" w:rsidRPr="00DD6590">
        <w:rPr>
          <w:rFonts w:asciiTheme="minorHAnsi" w:hAnsiTheme="minorHAnsi"/>
          <w:szCs w:val="18"/>
        </w:rPr>
        <w:t>.</w:t>
      </w:r>
      <w:r w:rsidRPr="00DD6590">
        <w:rPr>
          <w:rFonts w:asciiTheme="minorHAnsi" w:hAnsiTheme="minorHAnsi"/>
          <w:szCs w:val="18"/>
        </w:rPr>
        <w:t xml:space="preserve"> </w:t>
      </w:r>
      <w:r w:rsidR="003A0AF6" w:rsidRPr="00DD6590">
        <w:rPr>
          <w:rFonts w:asciiTheme="minorHAnsi" w:hAnsiTheme="minorHAnsi"/>
          <w:szCs w:val="18"/>
        </w:rPr>
        <w:t>Naplnenie ukazovateľov z realizovaných projektov by malo byť na úrovni min. 85</w:t>
      </w:r>
      <w:r w:rsidR="00E356F7">
        <w:rPr>
          <w:rFonts w:asciiTheme="minorHAnsi" w:hAnsiTheme="minorHAnsi"/>
          <w:szCs w:val="18"/>
        </w:rPr>
        <w:t xml:space="preserve"> </w:t>
      </w:r>
      <w:r w:rsidR="00E356F7" w:rsidRPr="00DD6590">
        <w:rPr>
          <w:rFonts w:asciiTheme="minorHAnsi" w:hAnsiTheme="minorHAnsi"/>
          <w:szCs w:val="18"/>
        </w:rPr>
        <w:t>%</w:t>
      </w:r>
      <w:r w:rsidR="00E356F7">
        <w:rPr>
          <w:rFonts w:asciiTheme="minorHAnsi" w:hAnsiTheme="minorHAnsi"/>
          <w:szCs w:val="18"/>
        </w:rPr>
        <w:t>,</w:t>
      </w:r>
    </w:p>
    <w:p w14:paraId="6BC9B6A6" w14:textId="62581F06" w:rsidR="00822203" w:rsidRPr="00DD6590" w:rsidRDefault="00822203" w:rsidP="003E761D">
      <w:pPr>
        <w:pStyle w:val="ListParagraph"/>
        <w:numPr>
          <w:ilvl w:val="0"/>
          <w:numId w:val="37"/>
        </w:numPr>
        <w:ind w:left="360"/>
        <w:contextualSpacing/>
        <w:rPr>
          <w:szCs w:val="18"/>
        </w:rPr>
      </w:pPr>
      <w:r w:rsidRPr="00DD6590">
        <w:rPr>
          <w:rFonts w:asciiTheme="minorHAnsi" w:hAnsiTheme="minorHAnsi"/>
          <w:color w:val="FFD653"/>
          <w:szCs w:val="18"/>
        </w:rPr>
        <w:t xml:space="preserve">žltá farba </w:t>
      </w:r>
      <w:r w:rsidRPr="00DD6590">
        <w:rPr>
          <w:rFonts w:asciiTheme="minorHAnsi" w:hAnsiTheme="minorHAnsi"/>
          <w:szCs w:val="18"/>
        </w:rPr>
        <w:t>– stredné riziko, tzn. projekty, ktoré nevykazujú závažné riziká</w:t>
      </w:r>
      <w:r w:rsidR="003A0AF6" w:rsidRPr="00DD6590">
        <w:rPr>
          <w:rFonts w:asciiTheme="minorHAnsi" w:hAnsiTheme="minorHAnsi"/>
          <w:szCs w:val="18"/>
        </w:rPr>
        <w:t>,</w:t>
      </w:r>
      <w:r w:rsidRPr="00DD6590">
        <w:rPr>
          <w:rFonts w:asciiTheme="minorHAnsi" w:hAnsiTheme="minorHAnsi"/>
          <w:szCs w:val="18"/>
        </w:rPr>
        <w:t xml:space="preserve"> avšak časová realizácia nie je v súlade s vecným plnením a</w:t>
      </w:r>
      <w:r w:rsidR="003A0AF6" w:rsidRPr="00DD6590">
        <w:rPr>
          <w:rFonts w:asciiTheme="minorHAnsi" w:hAnsiTheme="minorHAnsi"/>
          <w:szCs w:val="18"/>
        </w:rPr>
        <w:t> </w:t>
      </w:r>
      <w:r w:rsidRPr="00DD6590">
        <w:rPr>
          <w:rFonts w:asciiTheme="minorHAnsi" w:hAnsiTheme="minorHAnsi"/>
          <w:szCs w:val="18"/>
        </w:rPr>
        <w:t>čerpaním</w:t>
      </w:r>
      <w:r w:rsidR="003A0AF6" w:rsidRPr="00DD6590">
        <w:rPr>
          <w:rFonts w:asciiTheme="minorHAnsi" w:hAnsiTheme="minorHAnsi"/>
          <w:szCs w:val="18"/>
        </w:rPr>
        <w:t>.</w:t>
      </w:r>
      <w:r w:rsidRPr="00DD6590">
        <w:rPr>
          <w:rFonts w:asciiTheme="minorHAnsi" w:hAnsiTheme="minorHAnsi"/>
          <w:szCs w:val="18"/>
        </w:rPr>
        <w:t xml:space="preserve"> </w:t>
      </w:r>
      <w:r w:rsidR="003A0AF6" w:rsidRPr="00DD6590">
        <w:rPr>
          <w:rFonts w:asciiTheme="minorHAnsi" w:hAnsiTheme="minorHAnsi"/>
          <w:szCs w:val="18"/>
        </w:rPr>
        <w:t>Zazmluvnené projekty nenapĺňajú min. požadovanú hodnotu (85</w:t>
      </w:r>
      <w:r w:rsidR="00E356F7">
        <w:rPr>
          <w:rFonts w:asciiTheme="minorHAnsi" w:hAnsiTheme="minorHAnsi"/>
          <w:szCs w:val="18"/>
        </w:rPr>
        <w:t xml:space="preserve"> </w:t>
      </w:r>
      <w:r w:rsidR="003A0AF6" w:rsidRPr="00DD6590">
        <w:rPr>
          <w:rFonts w:asciiTheme="minorHAnsi" w:hAnsiTheme="minorHAnsi"/>
          <w:szCs w:val="18"/>
        </w:rPr>
        <w:t>%)</w:t>
      </w:r>
      <w:r w:rsidR="00E356F7">
        <w:rPr>
          <w:rFonts w:asciiTheme="minorHAnsi" w:hAnsiTheme="minorHAnsi"/>
          <w:szCs w:val="18"/>
        </w:rPr>
        <w:t>, ale</w:t>
      </w:r>
      <w:r w:rsidR="003A0AF6" w:rsidRPr="00DD6590">
        <w:rPr>
          <w:rFonts w:asciiTheme="minorHAnsi" w:hAnsiTheme="minorHAnsi"/>
          <w:szCs w:val="18"/>
        </w:rPr>
        <w:t xml:space="preserve"> v rámci PO sú plánované projekty, ktoré tento ukazovateľ naplnia</w:t>
      </w:r>
      <w:r w:rsidR="00E356F7">
        <w:rPr>
          <w:rFonts w:asciiTheme="minorHAnsi" w:hAnsiTheme="minorHAnsi"/>
          <w:szCs w:val="18"/>
        </w:rPr>
        <w:t>,</w:t>
      </w:r>
      <w:r w:rsidR="00E356F7" w:rsidRPr="00DD6590">
        <w:rPr>
          <w:rFonts w:asciiTheme="minorHAnsi" w:hAnsiTheme="minorHAnsi"/>
          <w:szCs w:val="18"/>
        </w:rPr>
        <w:t xml:space="preserve"> </w:t>
      </w:r>
    </w:p>
    <w:p w14:paraId="49B03C8A" w14:textId="6502EF69" w:rsidR="00725CA5" w:rsidRPr="00DD6590" w:rsidRDefault="00822203" w:rsidP="003E761D">
      <w:pPr>
        <w:pStyle w:val="ListParagraph"/>
        <w:numPr>
          <w:ilvl w:val="0"/>
          <w:numId w:val="37"/>
        </w:numPr>
        <w:ind w:left="360"/>
        <w:contextualSpacing/>
        <w:rPr>
          <w:szCs w:val="18"/>
        </w:rPr>
      </w:pPr>
      <w:r w:rsidRPr="00DD6590">
        <w:rPr>
          <w:rFonts w:asciiTheme="minorHAnsi" w:hAnsiTheme="minorHAnsi"/>
          <w:color w:val="EF858F"/>
          <w:szCs w:val="18"/>
        </w:rPr>
        <w:t xml:space="preserve">červená farba </w:t>
      </w:r>
      <w:r w:rsidRPr="00DD6590">
        <w:rPr>
          <w:rFonts w:asciiTheme="minorHAnsi" w:hAnsiTheme="minorHAnsi"/>
          <w:szCs w:val="18"/>
        </w:rPr>
        <w:t xml:space="preserve">– vysoké riziko, tzn. projekt nie je realizovaný v súlade s harmonogramom, resp. </w:t>
      </w:r>
      <w:r w:rsidR="00E356F7" w:rsidRPr="00DD6590">
        <w:rPr>
          <w:rFonts w:asciiTheme="minorHAnsi" w:hAnsiTheme="minorHAnsi"/>
          <w:szCs w:val="18"/>
        </w:rPr>
        <w:t xml:space="preserve">počas realizácie projektu </w:t>
      </w:r>
      <w:r w:rsidRPr="00DD6590">
        <w:rPr>
          <w:rFonts w:asciiTheme="minorHAnsi" w:hAnsiTheme="minorHAnsi"/>
          <w:szCs w:val="18"/>
        </w:rPr>
        <w:t xml:space="preserve">došlo k závažným udalostiam, ktoré môžu ohroziť </w:t>
      </w:r>
      <w:r w:rsidR="003A0AF6" w:rsidRPr="00DD6590">
        <w:rPr>
          <w:rFonts w:asciiTheme="minorHAnsi" w:hAnsiTheme="minorHAnsi"/>
          <w:szCs w:val="18"/>
        </w:rPr>
        <w:t xml:space="preserve">úspešné </w:t>
      </w:r>
      <w:r w:rsidRPr="00DD6590">
        <w:rPr>
          <w:rFonts w:asciiTheme="minorHAnsi" w:hAnsiTheme="minorHAnsi"/>
          <w:szCs w:val="18"/>
        </w:rPr>
        <w:t>ukončenie realizácie</w:t>
      </w:r>
      <w:r w:rsidR="00573B02">
        <w:rPr>
          <w:rFonts w:asciiTheme="minorHAnsi" w:hAnsiTheme="minorHAnsi"/>
          <w:szCs w:val="18"/>
        </w:rPr>
        <w:t>,</w:t>
      </w:r>
      <w:r w:rsidR="006436E5" w:rsidRPr="00DD6590">
        <w:rPr>
          <w:rFonts w:asciiTheme="minorHAnsi" w:hAnsiTheme="minorHAnsi"/>
          <w:szCs w:val="18"/>
        </w:rPr>
        <w:t xml:space="preserve"> a</w:t>
      </w:r>
      <w:r w:rsidR="003A0AF6" w:rsidRPr="00DD6590">
        <w:rPr>
          <w:rFonts w:asciiTheme="minorHAnsi" w:hAnsiTheme="minorHAnsi"/>
          <w:szCs w:val="18"/>
        </w:rPr>
        <w:t xml:space="preserve"> </w:t>
      </w:r>
      <w:r w:rsidR="006436E5" w:rsidRPr="00DD6590">
        <w:rPr>
          <w:rFonts w:asciiTheme="minorHAnsi" w:hAnsiTheme="minorHAnsi"/>
          <w:szCs w:val="18"/>
        </w:rPr>
        <w:t>n</w:t>
      </w:r>
      <w:r w:rsidR="003A0AF6" w:rsidRPr="00DD6590">
        <w:rPr>
          <w:rFonts w:asciiTheme="minorHAnsi" w:hAnsiTheme="minorHAnsi"/>
          <w:szCs w:val="18"/>
        </w:rPr>
        <w:t xml:space="preserve">ie je predpoklad naplnenia min. hodnoty ukazovateľa. </w:t>
      </w:r>
    </w:p>
    <w:p w14:paraId="090F5E3E" w14:textId="3679EF48" w:rsidR="00FA1392" w:rsidRPr="00DD6590" w:rsidRDefault="00FA1392" w:rsidP="00B0035E">
      <w:pPr>
        <w:pStyle w:val="Heading2"/>
      </w:pPr>
      <w:bookmarkStart w:id="12" w:name="_Toc9845765"/>
      <w:r w:rsidRPr="00DD6590">
        <w:t>Vyhodnotenie stavu realizácie jednotlivých projektov v PO1</w:t>
      </w:r>
      <w:bookmarkEnd w:id="12"/>
    </w:p>
    <w:p w14:paraId="2D9F176A" w14:textId="460DCE85" w:rsidR="00FA1392" w:rsidRPr="00DD6590" w:rsidRDefault="00FA1392" w:rsidP="00FA1392">
      <w:r w:rsidRPr="00DD6590">
        <w:t>Nasledujúca tabuľka obsahuje vyhodnotenie realizovaných projektov z hľadiska času, financií a plnenia ukazovateľov a návrh opatrení na úrovni jednotlivých projektov. Vyhodnotenie realizácie jednotlivých projektov je farebne rozlíšené.</w:t>
      </w:r>
    </w:p>
    <w:p w14:paraId="0D2F5CB6" w14:textId="18062230" w:rsidR="00FA1392" w:rsidRPr="00DD6590" w:rsidRDefault="00FA1392" w:rsidP="00725CA5">
      <w:pPr>
        <w:sectPr w:rsidR="00FA1392" w:rsidRPr="00DD6590" w:rsidSect="002F33E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530" w:right="1134" w:bottom="1134" w:left="1418" w:header="680" w:footer="567" w:gutter="0"/>
          <w:pgNumType w:start="1"/>
          <w:cols w:space="9"/>
          <w:titlePg/>
          <w:docGrid w:linePitch="360"/>
        </w:sectPr>
      </w:pPr>
      <w:r w:rsidRPr="00DD6590">
        <w:t xml:space="preserve">Len v rámci projektu </w:t>
      </w:r>
      <w:r w:rsidR="00E356F7">
        <w:t>„</w:t>
      </w:r>
      <w:r w:rsidRPr="00DD6590">
        <w:t>ŽSR, Modernizácia trate Púchov – Žilina, pre rýchlosť do 160 km/hod., II. etapa – (úsek Považská Teplá /mimo/ – Žilina /mimo/), 2. fáza (Dolný Hričov - Žilina), realizácia</w:t>
      </w:r>
      <w:r w:rsidR="00E356F7">
        <w:t>“</w:t>
      </w:r>
      <w:r w:rsidRPr="00DD6590">
        <w:t xml:space="preserve"> boli čiastočne naplnené výsledkové ukazovatele projektu</w:t>
      </w:r>
      <w:r w:rsidR="00E356F7">
        <w:t>,</w:t>
      </w:r>
      <w:r w:rsidRPr="00DD6590">
        <w:t xml:space="preserve"> a preto je hodnotenie v tabuľke zamerané hlavne na vyhodnotenie napĺňania ukazovateľov výstupu.</w:t>
      </w:r>
      <w:r w:rsidRPr="00DD6590">
        <w:br w:type="page"/>
      </w:r>
    </w:p>
    <w:p w14:paraId="6D0460B8" w14:textId="4A1FF67C" w:rsidR="000A66A9" w:rsidRPr="00DD6590" w:rsidRDefault="006F7F45" w:rsidP="006F7F45">
      <w:pPr>
        <w:pStyle w:val="Caption"/>
      </w:pPr>
      <w:r>
        <w:lastRenderedPageBreak/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 w:rsidR="00D23114">
        <w:rPr>
          <w:noProof/>
        </w:rPr>
        <w:t>6</w:t>
      </w:r>
      <w:r>
        <w:fldChar w:fldCharType="end"/>
      </w:r>
      <w:r>
        <w:t xml:space="preserve"> </w:t>
      </w:r>
      <w:bookmarkStart w:id="13" w:name="_Toc9845837"/>
      <w:r w:rsidRPr="00DD6590">
        <w:t>Vyhodnotenie realizácie projektov PO1</w:t>
      </w:r>
      <w:bookmarkEnd w:id="13"/>
    </w:p>
    <w:tbl>
      <w:tblPr>
        <w:tblStyle w:val="PlainTable4"/>
        <w:tblpPr w:leftFromText="180" w:rightFromText="180" w:vertAnchor="text" w:tblpY="1"/>
        <w:tblOverlap w:val="never"/>
        <w:tblW w:w="82" w:type="pct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230"/>
      </w:tblGrid>
      <w:tr w:rsidR="000A66A9" w:rsidRPr="00DD6590" w14:paraId="71D0A666" w14:textId="77777777" w:rsidTr="000A66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86BC25" w:themeFill="accent1"/>
          </w:tcPr>
          <w:p w14:paraId="5BFF724C" w14:textId="77777777" w:rsidR="000A66A9" w:rsidRPr="00DD6590" w:rsidRDefault="000A66A9" w:rsidP="00B726CB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tbl>
      <w:tblPr>
        <w:tblStyle w:val="ListTable3-Accent1"/>
        <w:tblpPr w:leftFromText="180" w:rightFromText="180" w:vertAnchor="text" w:tblpY="1"/>
        <w:tblOverlap w:val="never"/>
        <w:tblW w:w="5285" w:type="pct"/>
        <w:tblBorders>
          <w:insideH w:val="single" w:sz="6" w:space="0" w:color="86BC25" w:themeColor="accent1"/>
          <w:insideV w:val="single" w:sz="6" w:space="0" w:color="86BC25" w:themeColor="accent1"/>
        </w:tblBorders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405"/>
        <w:gridCol w:w="1643"/>
        <w:gridCol w:w="1167"/>
        <w:gridCol w:w="1469"/>
        <w:gridCol w:w="933"/>
        <w:gridCol w:w="1232"/>
        <w:gridCol w:w="1294"/>
        <w:gridCol w:w="2102"/>
        <w:gridCol w:w="2546"/>
        <w:gridCol w:w="2013"/>
      </w:tblGrid>
      <w:tr w:rsidR="00DE111C" w:rsidRPr="00DD6590" w14:paraId="72582FAB" w14:textId="77777777" w:rsidTr="00972D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50" w:type="pct"/>
            <w:gridSpan w:val="7"/>
          </w:tcPr>
          <w:p w14:paraId="6C8C7A42" w14:textId="77777777" w:rsidR="00DE111C" w:rsidRPr="00DD6590" w:rsidRDefault="00DE111C" w:rsidP="00D55683">
            <w:pPr>
              <w:spacing w:before="0" w:line="240" w:lineRule="auto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DD6590">
              <w:rPr>
                <w:rFonts w:asciiTheme="minorHAnsi" w:hAnsiTheme="minorHAnsi"/>
                <w:sz w:val="14"/>
                <w:szCs w:val="14"/>
              </w:rPr>
              <w:t>Stav</w:t>
            </w:r>
          </w:p>
        </w:tc>
        <w:tc>
          <w:tcPr>
            <w:tcW w:w="710" w:type="pct"/>
            <w:vMerge w:val="restart"/>
            <w:vAlign w:val="center"/>
          </w:tcPr>
          <w:p w14:paraId="643B22B2" w14:textId="77777777" w:rsidR="00DE111C" w:rsidRPr="00DD6590" w:rsidRDefault="00DE111C" w:rsidP="00D55683">
            <w:pPr>
              <w:spacing w:before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  <w:r w:rsidRPr="00DD6590">
              <w:rPr>
                <w:rFonts w:asciiTheme="minorHAnsi" w:hAnsiTheme="minorHAnsi"/>
                <w:sz w:val="14"/>
                <w:szCs w:val="14"/>
              </w:rPr>
              <w:t>Plnenie ukazovateľov výstupu</w:t>
            </w:r>
            <w:r w:rsidR="00BC1978" w:rsidRPr="00DD6590">
              <w:rPr>
                <w:rFonts w:asciiTheme="minorHAnsi" w:hAnsiTheme="minorHAnsi"/>
                <w:sz w:val="14"/>
                <w:szCs w:val="14"/>
              </w:rPr>
              <w:t xml:space="preserve"> a výsledku</w:t>
            </w:r>
          </w:p>
        </w:tc>
        <w:tc>
          <w:tcPr>
            <w:tcW w:w="860" w:type="pct"/>
            <w:vMerge w:val="restart"/>
            <w:vAlign w:val="center"/>
          </w:tcPr>
          <w:p w14:paraId="4BAEF615" w14:textId="77777777" w:rsidR="00DE111C" w:rsidRPr="00DD6590" w:rsidRDefault="00DE111C" w:rsidP="00D55683">
            <w:pPr>
              <w:spacing w:before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  <w:r w:rsidRPr="00DD6590">
              <w:rPr>
                <w:rFonts w:asciiTheme="minorHAnsi" w:hAnsiTheme="minorHAnsi"/>
                <w:sz w:val="14"/>
                <w:szCs w:val="14"/>
              </w:rPr>
              <w:t>Hlavné zistenia</w:t>
            </w:r>
          </w:p>
        </w:tc>
        <w:tc>
          <w:tcPr>
            <w:tcW w:w="680" w:type="pct"/>
            <w:vMerge w:val="restart"/>
            <w:vAlign w:val="center"/>
          </w:tcPr>
          <w:p w14:paraId="1223614B" w14:textId="77777777" w:rsidR="00DE111C" w:rsidRPr="00DD6590" w:rsidRDefault="00DE111C" w:rsidP="00D55683">
            <w:pPr>
              <w:spacing w:before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  <w:r w:rsidRPr="00DD6590">
              <w:rPr>
                <w:rFonts w:asciiTheme="minorHAnsi" w:hAnsiTheme="minorHAnsi"/>
                <w:sz w:val="14"/>
                <w:szCs w:val="14"/>
              </w:rPr>
              <w:t>Návrh opatrení</w:t>
            </w:r>
          </w:p>
        </w:tc>
      </w:tr>
      <w:tr w:rsidR="00A23EE9" w:rsidRPr="00DD6590" w14:paraId="7DE55C69" w14:textId="77777777" w:rsidTr="004265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7" w:type="pct"/>
          </w:tcPr>
          <w:p w14:paraId="3C29A084" w14:textId="77777777" w:rsidR="00DE111C" w:rsidRPr="00DD6590" w:rsidRDefault="00DE111C" w:rsidP="00D55683">
            <w:pPr>
              <w:spacing w:before="0" w:line="240" w:lineRule="auto"/>
              <w:jc w:val="left"/>
              <w:rPr>
                <w:rFonts w:asciiTheme="minorHAnsi" w:hAnsiTheme="minorHAnsi"/>
                <w:sz w:val="14"/>
                <w:szCs w:val="14"/>
              </w:rPr>
            </w:pPr>
            <w:proofErr w:type="spellStart"/>
            <w:r w:rsidRPr="00DD6590">
              <w:rPr>
                <w:rFonts w:asciiTheme="minorHAnsi" w:hAnsiTheme="minorHAnsi"/>
                <w:sz w:val="14"/>
                <w:szCs w:val="14"/>
              </w:rPr>
              <w:t>P.č</w:t>
            </w:r>
            <w:proofErr w:type="spellEnd"/>
            <w:r w:rsidRPr="00DD6590">
              <w:rPr>
                <w:rFonts w:asciiTheme="minorHAnsi" w:hAnsiTheme="minorHAnsi"/>
                <w:sz w:val="14"/>
                <w:szCs w:val="14"/>
              </w:rPr>
              <w:t>..</w:t>
            </w:r>
          </w:p>
        </w:tc>
        <w:tc>
          <w:tcPr>
            <w:tcW w:w="555" w:type="pct"/>
          </w:tcPr>
          <w:p w14:paraId="23FFC949" w14:textId="77777777" w:rsidR="00DE111C" w:rsidRPr="00DD6590" w:rsidRDefault="00DE111C" w:rsidP="00D55683">
            <w:pPr>
              <w:spacing w:before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  <w:r w:rsidRPr="00DD6590">
              <w:rPr>
                <w:rFonts w:asciiTheme="minorHAnsi" w:hAnsiTheme="minorHAnsi"/>
                <w:sz w:val="14"/>
                <w:szCs w:val="14"/>
              </w:rPr>
              <w:t>Názov projektu</w:t>
            </w:r>
          </w:p>
        </w:tc>
        <w:tc>
          <w:tcPr>
            <w:tcW w:w="394" w:type="pct"/>
          </w:tcPr>
          <w:p w14:paraId="26D9CD7D" w14:textId="77777777" w:rsidR="00DE111C" w:rsidRPr="00DD6590" w:rsidRDefault="00CA32FE" w:rsidP="00CA32FE">
            <w:pPr>
              <w:spacing w:before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  <w:r w:rsidRPr="00DD6590">
              <w:rPr>
                <w:rFonts w:asciiTheme="minorHAnsi" w:hAnsiTheme="minorHAnsi"/>
                <w:sz w:val="14"/>
                <w:szCs w:val="14"/>
              </w:rPr>
              <w:t>Vyhodnot</w:t>
            </w:r>
            <w:r w:rsidR="00DE111C" w:rsidRPr="00DD6590">
              <w:rPr>
                <w:rFonts w:asciiTheme="minorHAnsi" w:hAnsiTheme="minorHAnsi"/>
                <w:sz w:val="14"/>
                <w:szCs w:val="14"/>
              </w:rPr>
              <w:t>enie</w:t>
            </w:r>
          </w:p>
        </w:tc>
        <w:tc>
          <w:tcPr>
            <w:tcW w:w="496" w:type="pct"/>
          </w:tcPr>
          <w:p w14:paraId="0CACF155" w14:textId="77777777" w:rsidR="00DE111C" w:rsidRPr="00DD6590" w:rsidRDefault="00DE111C" w:rsidP="00D55683">
            <w:pPr>
              <w:spacing w:before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  <w:r w:rsidRPr="00DD6590">
              <w:rPr>
                <w:rFonts w:asciiTheme="minorHAnsi" w:hAnsiTheme="minorHAnsi"/>
                <w:sz w:val="14"/>
                <w:szCs w:val="14"/>
              </w:rPr>
              <w:t>EÚ zdroje zazmluvnené</w:t>
            </w:r>
            <w:r w:rsidRPr="00DD6590">
              <w:rPr>
                <w:rStyle w:val="FootnoteReference"/>
                <w:rFonts w:asciiTheme="minorHAnsi" w:hAnsiTheme="minorHAnsi"/>
                <w:sz w:val="14"/>
                <w:szCs w:val="14"/>
              </w:rPr>
              <w:footnoteReference w:id="2"/>
            </w:r>
          </w:p>
        </w:tc>
        <w:tc>
          <w:tcPr>
            <w:tcW w:w="315" w:type="pct"/>
          </w:tcPr>
          <w:p w14:paraId="61B2F0D7" w14:textId="77777777" w:rsidR="00DE111C" w:rsidRPr="00DD6590" w:rsidRDefault="00DE111C" w:rsidP="000A66A9">
            <w:pPr>
              <w:spacing w:before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  <w:r w:rsidRPr="00DD6590">
              <w:rPr>
                <w:rFonts w:asciiTheme="minorHAnsi" w:hAnsiTheme="minorHAnsi"/>
                <w:sz w:val="14"/>
                <w:szCs w:val="14"/>
              </w:rPr>
              <w:t>Finančné čerpanie</w:t>
            </w:r>
            <w:r w:rsidR="000A66A9" w:rsidRPr="00DD6590"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r w:rsidRPr="00DD6590">
              <w:rPr>
                <w:rFonts w:asciiTheme="minorHAnsi" w:hAnsiTheme="minorHAnsi"/>
                <w:sz w:val="14"/>
                <w:szCs w:val="14"/>
              </w:rPr>
              <w:t>(EÚ zdroj)</w:t>
            </w:r>
          </w:p>
        </w:tc>
        <w:tc>
          <w:tcPr>
            <w:tcW w:w="416" w:type="pct"/>
          </w:tcPr>
          <w:p w14:paraId="28CE5354" w14:textId="77777777" w:rsidR="00DE111C" w:rsidRPr="00DD6590" w:rsidRDefault="00DE111C" w:rsidP="00D55683">
            <w:pPr>
              <w:spacing w:before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  <w:r w:rsidRPr="00DD6590">
              <w:rPr>
                <w:rFonts w:asciiTheme="minorHAnsi" w:hAnsiTheme="minorHAnsi"/>
                <w:sz w:val="14"/>
                <w:szCs w:val="14"/>
              </w:rPr>
              <w:t>Časové čerpanie</w:t>
            </w:r>
            <w:r w:rsidRPr="00DD6590">
              <w:rPr>
                <w:rStyle w:val="FootnoteReference"/>
                <w:rFonts w:asciiTheme="minorHAnsi" w:hAnsiTheme="minorHAnsi"/>
                <w:sz w:val="14"/>
                <w:szCs w:val="14"/>
              </w:rPr>
              <w:footnoteReference w:id="3"/>
            </w:r>
          </w:p>
        </w:tc>
        <w:tc>
          <w:tcPr>
            <w:tcW w:w="437" w:type="pct"/>
          </w:tcPr>
          <w:p w14:paraId="0E5F9496" w14:textId="77777777" w:rsidR="00DE111C" w:rsidRPr="00DD6590" w:rsidRDefault="00DE111C" w:rsidP="00D55683">
            <w:pPr>
              <w:spacing w:before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  <w:r w:rsidRPr="00DD6590">
              <w:rPr>
                <w:rFonts w:asciiTheme="minorHAnsi" w:hAnsiTheme="minorHAnsi"/>
                <w:sz w:val="14"/>
                <w:szCs w:val="14"/>
              </w:rPr>
              <w:t>Vecné plnenie</w:t>
            </w:r>
            <w:r w:rsidRPr="00DD6590">
              <w:rPr>
                <w:rStyle w:val="FootnoteReference"/>
                <w:rFonts w:asciiTheme="minorHAnsi" w:hAnsiTheme="minorHAnsi"/>
                <w:sz w:val="14"/>
                <w:szCs w:val="14"/>
              </w:rPr>
              <w:footnoteReference w:id="4"/>
            </w:r>
          </w:p>
        </w:tc>
        <w:tc>
          <w:tcPr>
            <w:tcW w:w="710" w:type="pct"/>
            <w:vMerge/>
          </w:tcPr>
          <w:p w14:paraId="03D3F485" w14:textId="77777777" w:rsidR="00DE111C" w:rsidRPr="00DD6590" w:rsidRDefault="00DE111C" w:rsidP="00D55683">
            <w:pPr>
              <w:spacing w:before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860" w:type="pct"/>
            <w:vMerge/>
          </w:tcPr>
          <w:p w14:paraId="7558445E" w14:textId="77777777" w:rsidR="00DE111C" w:rsidRPr="00DD6590" w:rsidRDefault="00DE111C" w:rsidP="00D55683">
            <w:pPr>
              <w:spacing w:before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680" w:type="pct"/>
            <w:vMerge/>
          </w:tcPr>
          <w:p w14:paraId="5643B0E0" w14:textId="77777777" w:rsidR="00DE111C" w:rsidRPr="00DD6590" w:rsidRDefault="00DE111C" w:rsidP="00D55683">
            <w:pPr>
              <w:spacing w:before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A23EE9" w:rsidRPr="00DD6590" w14:paraId="5C778052" w14:textId="77777777" w:rsidTr="004265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</w:tcPr>
          <w:p w14:paraId="63171C95" w14:textId="77777777" w:rsidR="00F50048" w:rsidRPr="00DD6590" w:rsidRDefault="00F50048" w:rsidP="00F4301C">
            <w:pPr>
              <w:spacing w:before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</w:t>
            </w:r>
          </w:p>
        </w:tc>
        <w:tc>
          <w:tcPr>
            <w:tcW w:w="555" w:type="pct"/>
          </w:tcPr>
          <w:p w14:paraId="08B06476" w14:textId="77777777" w:rsidR="00F50048" w:rsidRPr="00DD6590" w:rsidRDefault="00F50048" w:rsidP="00D5568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ŽSR, Modernizácia železničnej trate Púchov – Žilina, pre traťovú rýchlosť do 160 km/hod. – I. etapa (Púchov – Považská Teplá)</w:t>
            </w:r>
          </w:p>
        </w:tc>
        <w:tc>
          <w:tcPr>
            <w:tcW w:w="394" w:type="pct"/>
            <w:shd w:val="clear" w:color="auto" w:fill="FFD653"/>
          </w:tcPr>
          <w:p w14:paraId="720ABEA8" w14:textId="77777777" w:rsidR="00C2589D" w:rsidRPr="00DD6590" w:rsidRDefault="00C2589D" w:rsidP="00D55683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141314A" w14:textId="77777777" w:rsidR="00C2589D" w:rsidRPr="00DD6590" w:rsidRDefault="00C2589D" w:rsidP="00D55683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D0C99E8" w14:textId="77777777" w:rsidR="00C2589D" w:rsidRPr="00DD6590" w:rsidRDefault="00C2589D" w:rsidP="00D55683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77931B2" w14:textId="77777777" w:rsidR="00C2589D" w:rsidRPr="00DD6590" w:rsidRDefault="00C2589D" w:rsidP="00D55683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F746065" w14:textId="77777777" w:rsidR="00C2589D" w:rsidRPr="00DD6590" w:rsidRDefault="00C2589D" w:rsidP="00D55683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EA2B74A" w14:textId="77777777" w:rsidR="00035845" w:rsidRPr="00DD6590" w:rsidRDefault="00035845" w:rsidP="00D55683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35E7F5A" w14:textId="77777777" w:rsidR="00035845" w:rsidRPr="00DD6590" w:rsidRDefault="00035845" w:rsidP="000358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B488813" w14:textId="77777777" w:rsidR="00035845" w:rsidRPr="00DD6590" w:rsidRDefault="00035845" w:rsidP="000358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898F55A" w14:textId="77777777" w:rsidR="00035845" w:rsidRPr="00DD6590" w:rsidRDefault="00035845" w:rsidP="000358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F095D3B" w14:textId="77777777" w:rsidR="00035845" w:rsidRPr="00DD6590" w:rsidRDefault="00035845" w:rsidP="000358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54A6A9E" w14:textId="77777777" w:rsidR="00F50048" w:rsidRPr="00DD6590" w:rsidRDefault="00F50048" w:rsidP="000358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" w:type="pct"/>
          </w:tcPr>
          <w:p w14:paraId="62E8DC21" w14:textId="31128E7C" w:rsidR="00F50048" w:rsidRPr="00DD6590" w:rsidRDefault="00F50048" w:rsidP="00D55683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297 145 608 </w:t>
            </w:r>
            <w:r w:rsidR="00495546">
              <w:rPr>
                <w:rFonts w:asciiTheme="minorHAnsi" w:hAnsiTheme="minorHAnsi"/>
                <w:sz w:val="16"/>
                <w:szCs w:val="16"/>
              </w:rPr>
              <w:t>EUR</w:t>
            </w:r>
          </w:p>
          <w:p w14:paraId="1A51C8B0" w14:textId="77777777" w:rsidR="00F50048" w:rsidRPr="00DD6590" w:rsidRDefault="00F50048" w:rsidP="00D55683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E8CD497" w14:textId="77777777" w:rsidR="00F50048" w:rsidRPr="00DD6590" w:rsidRDefault="00F50048" w:rsidP="00D55683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BC477BB" w14:textId="77777777" w:rsidR="00F50048" w:rsidRPr="00DD6590" w:rsidRDefault="00F50048" w:rsidP="00D55683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B31F05E" w14:textId="77777777" w:rsidR="00F50048" w:rsidRPr="00DD6590" w:rsidRDefault="00F50048" w:rsidP="00D55683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5" w:type="pct"/>
          </w:tcPr>
          <w:p w14:paraId="15DEF8CE" w14:textId="2AB167C6" w:rsidR="00F50048" w:rsidRPr="00DD6590" w:rsidRDefault="00F50048" w:rsidP="00D55683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40</w:t>
            </w:r>
            <w:r w:rsidR="00171D5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16" w:type="pct"/>
          </w:tcPr>
          <w:p w14:paraId="25FBA239" w14:textId="1A062694" w:rsidR="00F50048" w:rsidRPr="00DD6590" w:rsidRDefault="00F50048" w:rsidP="00D55683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63</w:t>
            </w:r>
            <w:r w:rsidR="00171D5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418B1EB4" w14:textId="77777777" w:rsidR="00857388" w:rsidRPr="00DD6590" w:rsidRDefault="00857388" w:rsidP="00D55683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Predpokladané omeškanie oproti plánu je cca 2 roky</w:t>
            </w:r>
          </w:p>
        </w:tc>
        <w:tc>
          <w:tcPr>
            <w:tcW w:w="437" w:type="pct"/>
          </w:tcPr>
          <w:p w14:paraId="1125A97F" w14:textId="46D9AA6C" w:rsidR="00F50048" w:rsidRPr="00DD6590" w:rsidRDefault="00F50048" w:rsidP="00D55683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50</w:t>
            </w:r>
            <w:r w:rsidR="00171D5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6CE43943" w14:textId="77777777" w:rsidR="00F50048" w:rsidRPr="00DD6590" w:rsidRDefault="00F50048" w:rsidP="00D55683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je vo fáze plnej rozostavanosti, ukončené sú 2 zo 4 ucelených častí stavby</w:t>
            </w:r>
          </w:p>
          <w:p w14:paraId="0A75AE2A" w14:textId="77777777" w:rsidR="00F50048" w:rsidRPr="00DD6590" w:rsidRDefault="00F50048" w:rsidP="00D55683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710" w:type="pct"/>
          </w:tcPr>
          <w:p w14:paraId="5FA7273F" w14:textId="18846500" w:rsidR="00F50048" w:rsidRPr="00DD6590" w:rsidRDefault="00827B37" w:rsidP="00D5568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P0019 </w:t>
            </w:r>
            <w:r w:rsidR="00171D55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Celková dĺžka rekonštruovaných alebo zrenovovaných železničných tratí v sieti TEN-T</w:t>
            </w:r>
            <w:r w:rsidR="004627B0" w:rsidRPr="00DD6590">
              <w:rPr>
                <w:rFonts w:asciiTheme="minorHAnsi" w:hAnsiTheme="minorHAnsi"/>
                <w:sz w:val="16"/>
                <w:szCs w:val="16"/>
              </w:rPr>
              <w:t xml:space="preserve"> (CORE)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: 41</w:t>
            </w:r>
            <w:r w:rsidR="00171D5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2A997940" w14:textId="31BCF9E5" w:rsidR="00F50048" w:rsidRPr="00DD6590" w:rsidRDefault="00827B37" w:rsidP="00D5568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P0365 </w:t>
            </w:r>
            <w:r w:rsidR="00171D55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Počet prvkov zabezpečujúcich bezpečný alebo bezbariérový prístup k výsledkom projektu: 22</w:t>
            </w:r>
            <w:r w:rsidR="00171D55">
              <w:rPr>
                <w:rFonts w:asciiTheme="minorHAnsi" w:hAnsiTheme="minorHAnsi"/>
                <w:sz w:val="16"/>
                <w:szCs w:val="16"/>
              </w:rPr>
              <w:t> 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5CCD4C2A" w14:textId="25467F75" w:rsidR="00F50048" w:rsidRPr="00DD6590" w:rsidRDefault="00827B37" w:rsidP="00D5568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P0061 </w:t>
            </w:r>
            <w:r w:rsidR="00171D55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Hodnota prvkov zabezpečujúcich bezpečný alebo bezbariérový prístup k výsledkom projektu: 12</w:t>
            </w:r>
            <w:r w:rsidR="00171D55">
              <w:rPr>
                <w:rFonts w:asciiTheme="minorHAnsi" w:hAnsiTheme="minorHAnsi"/>
                <w:sz w:val="16"/>
                <w:szCs w:val="16"/>
              </w:rPr>
              <w:t> 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4AEFBEC6" w14:textId="0FEBC3C8" w:rsidR="00F50048" w:rsidRPr="00DD6590" w:rsidRDefault="00827B37" w:rsidP="00BC1978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P001</w:t>
            </w:r>
            <w:r w:rsidR="00ED508D" w:rsidRPr="00DD6590">
              <w:rPr>
                <w:rFonts w:asciiTheme="minorHAnsi" w:hAnsiTheme="minorHAnsi"/>
                <w:sz w:val="16"/>
                <w:szCs w:val="16"/>
              </w:rPr>
              <w:t>2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171D55">
              <w:rPr>
                <w:rFonts w:asciiTheme="minorHAnsi" w:hAnsiTheme="minorHAnsi"/>
                <w:sz w:val="16"/>
                <w:szCs w:val="16"/>
              </w:rPr>
              <w:t>‒</w:t>
            </w:r>
            <w:r w:rsidR="00171D55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Celková dĺžka nových alebo zmodernizovaných nástupíšť (základná sieť TEN-T): 58</w:t>
            </w:r>
            <w:r w:rsidR="00171D55">
              <w:rPr>
                <w:rFonts w:asciiTheme="minorHAnsi" w:hAnsiTheme="minorHAnsi"/>
                <w:sz w:val="16"/>
                <w:szCs w:val="16"/>
              </w:rPr>
              <w:t> 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6A7691C3" w14:textId="27F9246E" w:rsidR="00BC1978" w:rsidRPr="00DD6590" w:rsidRDefault="00BC1978" w:rsidP="00BC1978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P0651</w:t>
            </w:r>
            <w:r w:rsidR="00171D55">
              <w:rPr>
                <w:rFonts w:asciiTheme="minorHAnsi" w:hAnsiTheme="minorHAnsi"/>
                <w:sz w:val="16"/>
                <w:szCs w:val="16"/>
              </w:rPr>
              <w:t xml:space="preserve"> 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času v železničnej doprave (na základnej sieti TEN-T): 0</w:t>
            </w:r>
            <w:r w:rsidR="00171D55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61C2CBE4" w14:textId="78EFAD19" w:rsidR="00BC1978" w:rsidRPr="00DD6590" w:rsidRDefault="00BC1978" w:rsidP="00BC1978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P0647 </w:t>
            </w:r>
            <w:r w:rsidR="00171D55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času v železničnej doprave na základnej sieti TEN-T</w:t>
            </w:r>
            <w:r w:rsidR="004627B0" w:rsidRPr="00DD6590">
              <w:rPr>
                <w:rFonts w:asciiTheme="minorHAnsi" w:hAnsiTheme="minorHAnsi"/>
                <w:sz w:val="16"/>
                <w:szCs w:val="16"/>
              </w:rPr>
              <w:t xml:space="preserve"> (min.)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: 0</w:t>
            </w:r>
            <w:r w:rsidR="00171D55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0914D2CE" w14:textId="221BF413" w:rsidR="00BC1978" w:rsidRPr="00DD6590" w:rsidRDefault="00BC1978" w:rsidP="00BC1978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P0660 </w:t>
            </w:r>
            <w:r w:rsidR="00171D55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produkcie emisií CO</w:t>
            </w:r>
            <w:r w:rsidRPr="00D00238">
              <w:rPr>
                <w:sz w:val="16"/>
                <w:szCs w:val="16"/>
                <w:vertAlign w:val="subscript"/>
              </w:rPr>
              <w:t>2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(vplyvom modernizácie tratí) 0</w:t>
            </w:r>
            <w:r w:rsidR="00171D55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7EE7EEAA" w14:textId="68E2CF96" w:rsidR="00BC1978" w:rsidRPr="00DD6590" w:rsidRDefault="00BC1978" w:rsidP="00BC1978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P0666 </w:t>
            </w:r>
            <w:r w:rsidR="00171D55">
              <w:rPr>
                <w:rFonts w:asciiTheme="minorHAnsi" w:hAnsiTheme="minorHAnsi"/>
                <w:sz w:val="16"/>
                <w:szCs w:val="16"/>
              </w:rPr>
              <w:t>‒</w:t>
            </w:r>
            <w:r w:rsidR="00171D55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Úspora produkcie emisií NO</w:t>
            </w:r>
            <w:r w:rsidRPr="00D00238">
              <w:rPr>
                <w:sz w:val="16"/>
                <w:szCs w:val="16"/>
                <w:vertAlign w:val="subscript"/>
              </w:rPr>
              <w:t>2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(vplyvom modernizácie tratí): 0</w:t>
            </w:r>
            <w:r w:rsidR="00171D55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22BBFB0D" w14:textId="5A8DE035" w:rsidR="00BC1978" w:rsidRPr="00DD6590" w:rsidRDefault="00BC1978" w:rsidP="00BC1978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P0673 </w:t>
            </w:r>
            <w:r w:rsidR="00171D55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produkcie emisií PM</w:t>
            </w:r>
            <w:r w:rsidRPr="00D00238">
              <w:rPr>
                <w:sz w:val="16"/>
                <w:szCs w:val="16"/>
                <w:vertAlign w:val="subscript"/>
              </w:rPr>
              <w:t>10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(vplyvom modernizácie tratí): 0</w:t>
            </w:r>
            <w:r w:rsidR="00171D55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60" w:type="pct"/>
          </w:tcPr>
          <w:p w14:paraId="209AEEFA" w14:textId="77777777" w:rsidR="00F50048" w:rsidRPr="00DD6590" w:rsidRDefault="00F50048" w:rsidP="00D5568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Plnenie ukazovateľov výstupu je rámcovo v súlade s finančným čerpaním. </w:t>
            </w:r>
          </w:p>
          <w:p w14:paraId="72CEAAB5" w14:textId="77777777" w:rsidR="00F50048" w:rsidRPr="00DD6590" w:rsidRDefault="00F50048" w:rsidP="00D5568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Dá sa predpokladať, že projekt naplní cieľové hodnoty nastavených ukazovateľov výstupu.</w:t>
            </w:r>
          </w:p>
          <w:p w14:paraId="7D77E34D" w14:textId="4133D491" w:rsidR="00F50048" w:rsidRPr="00DD6590" w:rsidRDefault="006944FB" w:rsidP="00D5568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R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 xml:space="preserve">ealizácia projektu nesmeruje k ukončeniu podľa harmonogramu. V súčasnosti sa pripravuje zmena harmonogramu 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br/>
              <w:t xml:space="preserve">v súvislosti s problémami pri razení tunela </w:t>
            </w:r>
            <w:proofErr w:type="spellStart"/>
            <w:r w:rsidR="00F50048" w:rsidRPr="00DD6590">
              <w:rPr>
                <w:rFonts w:asciiTheme="minorHAnsi" w:hAnsiTheme="minorHAnsi"/>
                <w:sz w:val="16"/>
                <w:szCs w:val="16"/>
              </w:rPr>
              <w:t>Milochov</w:t>
            </w:r>
            <w:proofErr w:type="spellEnd"/>
            <w:r w:rsidR="00F50048" w:rsidRPr="00DD6590">
              <w:rPr>
                <w:rFonts w:asciiTheme="minorHAnsi" w:hAnsiTheme="minorHAnsi"/>
                <w:sz w:val="16"/>
                <w:szCs w:val="16"/>
              </w:rPr>
              <w:t xml:space="preserve"> s predpokladaným koncom fyzickej realizácie projektu v roku 2020 (predĺženie projektu o 2 roky oproti plánovanému termínu ukončenia). </w:t>
            </w:r>
          </w:p>
          <w:p w14:paraId="7B58036B" w14:textId="5619EE42" w:rsidR="00F50048" w:rsidRPr="00DD6590" w:rsidRDefault="00F50048" w:rsidP="00D5568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Problémy pri razení tunela budú mať pravdepodobne </w:t>
            </w:r>
            <w:r w:rsidR="00171D55">
              <w:rPr>
                <w:rFonts w:asciiTheme="minorHAnsi" w:hAnsiTheme="minorHAnsi"/>
                <w:sz w:val="16"/>
                <w:szCs w:val="16"/>
              </w:rPr>
              <w:t>vplyv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aj na celkový rozpočet projektu. Podľa odhadu projektového manažéra došlo v súčasnosti k navýšeniu rozpočtu stavby o cca 30 mil. EUR. </w:t>
            </w:r>
          </w:p>
          <w:p w14:paraId="7A882936" w14:textId="77777777" w:rsidR="00857388" w:rsidRPr="00DD6590" w:rsidRDefault="00857388" w:rsidP="00D5568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Najzásadnejší faktor podieľajúci sa na časovom sklze spočíva v nevyhnutnej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zmene projektovej dokumentácie a jej uplatnení v spôsobe razenia tunela pre zaistenie bezpečnosti u všetkých pracovníkov podieľajúcich sa na prácach v tunelovej rúre.</w:t>
            </w:r>
          </w:p>
        </w:tc>
        <w:tc>
          <w:tcPr>
            <w:tcW w:w="680" w:type="pct"/>
          </w:tcPr>
          <w:p w14:paraId="54A1FADF" w14:textId="3E03AABC" w:rsidR="00F50048" w:rsidRPr="00DD6590" w:rsidRDefault="00F50048" w:rsidP="00982C6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Dôslednejšia kontrola </w:t>
            </w:r>
            <w:r w:rsidR="00FA7C9A" w:rsidRPr="00DD6590">
              <w:rPr>
                <w:rFonts w:asciiTheme="minorHAnsi" w:hAnsiTheme="minorHAnsi"/>
                <w:sz w:val="16"/>
                <w:szCs w:val="16"/>
              </w:rPr>
              <w:t xml:space="preserve">realizácie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v súlade s upraveným harmonogramom</w:t>
            </w:r>
            <w:r w:rsidR="006436E5" w:rsidRPr="00DD6590">
              <w:rPr>
                <w:rFonts w:asciiTheme="minorHAnsi" w:hAnsiTheme="minorHAnsi"/>
                <w:sz w:val="16"/>
                <w:szCs w:val="16"/>
              </w:rPr>
              <w:t>.</w:t>
            </w:r>
          </w:p>
          <w:p w14:paraId="65221965" w14:textId="79474E52" w:rsidR="00F50048" w:rsidRPr="00DD6590" w:rsidRDefault="00F50048" w:rsidP="00982C6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Nastaviť systém monitorovania a riadenia rizík projektu</w:t>
            </w:r>
            <w:r w:rsidR="006436E5" w:rsidRPr="00DD6590">
              <w:rPr>
                <w:rFonts w:asciiTheme="minorHAnsi" w:hAnsiTheme="minorHAnsi"/>
                <w:sz w:val="16"/>
                <w:szCs w:val="16"/>
              </w:rPr>
              <w:t>.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68353678" w14:textId="2DB9B28F" w:rsidR="00F50048" w:rsidRPr="00DD6590" w:rsidRDefault="00F50048" w:rsidP="006436E5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Dohliadnuť na plnenie ukazovateľov, a to hlavne ukazovateľa Celková dĺžka rekonštruovaných alebo zrenovovaných železničných tratí v sieti TEN-T (kľúčový ukazovateľ programu)</w:t>
            </w:r>
            <w:r w:rsidR="006436E5" w:rsidRPr="00DD6590">
              <w:rPr>
                <w:rFonts w:asciiTheme="minorHAnsi" w:hAnsiTheme="minorHAnsi"/>
                <w:sz w:val="16"/>
                <w:szCs w:val="16"/>
              </w:rPr>
              <w:t>.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A23EE9" w:rsidRPr="00DD6590" w14:paraId="36AD77B6" w14:textId="77777777" w:rsidTr="004265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</w:tcPr>
          <w:p w14:paraId="6F82A4C0" w14:textId="77777777" w:rsidR="00F50048" w:rsidRPr="00DD6590" w:rsidRDefault="00F50048" w:rsidP="00F4301C">
            <w:pPr>
              <w:spacing w:before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2</w:t>
            </w:r>
          </w:p>
        </w:tc>
        <w:tc>
          <w:tcPr>
            <w:tcW w:w="555" w:type="pct"/>
          </w:tcPr>
          <w:p w14:paraId="01F74739" w14:textId="77777777" w:rsidR="00F50048" w:rsidRPr="00DD6590" w:rsidRDefault="00F50048" w:rsidP="00D5568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ŽSR, Modernizácia trate Púchov – Žilina, pre rýchlosť do 160 km/hod., II. etapa – (úsek Považská Teplá /mimo/ – Žilina /mimo/), 2. fáza (Dolný Hričov - Žilina), realizácia</w:t>
            </w:r>
          </w:p>
        </w:tc>
        <w:tc>
          <w:tcPr>
            <w:tcW w:w="394" w:type="pct"/>
            <w:shd w:val="clear" w:color="auto" w:fill="D0EC9F"/>
          </w:tcPr>
          <w:p w14:paraId="067417B9" w14:textId="77777777" w:rsidR="00F50048" w:rsidRPr="00DD6590" w:rsidRDefault="00F50048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" w:type="pct"/>
          </w:tcPr>
          <w:p w14:paraId="2EBEC8A9" w14:textId="2F005109" w:rsidR="00F50048" w:rsidRPr="00DD6590" w:rsidRDefault="00F50048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39 483 891 </w:t>
            </w:r>
            <w:r w:rsidR="00495546">
              <w:rPr>
                <w:rFonts w:asciiTheme="minorHAnsi" w:hAnsiTheme="minorHAnsi"/>
                <w:sz w:val="16"/>
                <w:szCs w:val="16"/>
              </w:rPr>
              <w:t>EUR</w:t>
            </w:r>
          </w:p>
          <w:p w14:paraId="6824CB8E" w14:textId="77777777" w:rsidR="00F50048" w:rsidRPr="00DD6590" w:rsidRDefault="00F50048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6A2052D" w14:textId="77777777" w:rsidR="00F50048" w:rsidRPr="00DD6590" w:rsidRDefault="00F50048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0AD77CC" w14:textId="77777777" w:rsidR="00F50048" w:rsidRPr="00DD6590" w:rsidRDefault="00F50048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9D9AEE4" w14:textId="77777777" w:rsidR="00F50048" w:rsidRPr="00DD6590" w:rsidRDefault="00F50048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F173C51" w14:textId="77777777" w:rsidR="00F50048" w:rsidRPr="00DD6590" w:rsidRDefault="00F50048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971C0F2" w14:textId="77777777" w:rsidR="00F50048" w:rsidRPr="00DD6590" w:rsidRDefault="00F50048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C03F5BC" w14:textId="77777777" w:rsidR="00F50048" w:rsidRPr="00DD6590" w:rsidRDefault="00F50048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5" w:type="pct"/>
          </w:tcPr>
          <w:p w14:paraId="5EF6DD79" w14:textId="23645A01" w:rsidR="00F50048" w:rsidRPr="00DD6590" w:rsidRDefault="00F50048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90,44</w:t>
            </w:r>
            <w:r w:rsidR="00171D5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16" w:type="pct"/>
          </w:tcPr>
          <w:p w14:paraId="3F9B634B" w14:textId="0FB3FE80" w:rsidR="00F50048" w:rsidRPr="00DD6590" w:rsidRDefault="00F50048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</w:t>
            </w:r>
            <w:r w:rsidR="00FE3386"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 w:rsidR="00171D5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37" w:type="pct"/>
          </w:tcPr>
          <w:p w14:paraId="473D0325" w14:textId="0F780289" w:rsidR="00F50048" w:rsidRPr="00DD6590" w:rsidRDefault="00F50048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171D5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0AAE868D" w14:textId="77777777" w:rsidR="00F50048" w:rsidRPr="00DD6590" w:rsidRDefault="00F50048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Stavba dokončená</w:t>
            </w:r>
          </w:p>
        </w:tc>
        <w:tc>
          <w:tcPr>
            <w:tcW w:w="710" w:type="pct"/>
          </w:tcPr>
          <w:p w14:paraId="646C761C" w14:textId="3F23AFAF" w:rsidR="00F50048" w:rsidRPr="00DD6590" w:rsidRDefault="004627B0" w:rsidP="00D5568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P0019 </w:t>
            </w:r>
            <w:r w:rsidR="00171D55">
              <w:rPr>
                <w:rFonts w:asciiTheme="minorHAnsi" w:hAnsiTheme="minorHAnsi"/>
                <w:sz w:val="16"/>
                <w:szCs w:val="16"/>
              </w:rPr>
              <w:t>‒</w:t>
            </w:r>
            <w:r w:rsidR="00ED508D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Celková dĺžka rekonštruovaných alebo zrenovovaných železničných tratí v sieti TEN-T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(CORE)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: 100</w:t>
            </w:r>
            <w:r w:rsidR="00171D55">
              <w:rPr>
                <w:rFonts w:asciiTheme="minorHAnsi" w:hAnsiTheme="minorHAnsi"/>
                <w:sz w:val="16"/>
                <w:szCs w:val="16"/>
              </w:rPr>
              <w:t> 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2FFBF46D" w14:textId="02C440C5" w:rsidR="00F50048" w:rsidRPr="00DD6590" w:rsidRDefault="002C18DA" w:rsidP="00D5568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P0061 </w:t>
            </w:r>
            <w:r w:rsidR="00171D55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Hodnota prvkov zabezpečujúcich bezpečný alebo bezbariérový prístup k výsledkom projektu: 100</w:t>
            </w:r>
            <w:r w:rsidR="00171D55">
              <w:rPr>
                <w:rFonts w:asciiTheme="minorHAnsi" w:hAnsiTheme="minorHAnsi"/>
                <w:sz w:val="16"/>
                <w:szCs w:val="16"/>
              </w:rPr>
              <w:t> 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6FDCD4C8" w14:textId="6ACFD039" w:rsidR="00F50048" w:rsidRPr="00DD6590" w:rsidRDefault="00F12D25" w:rsidP="00D5568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P0365 </w:t>
            </w:r>
            <w:r w:rsidR="00171D55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Počet prvkov zabezpečujúcich bezpečný alebo bezbariérový prístup k výsledkom projektu: 100</w:t>
            </w:r>
            <w:r w:rsidR="00171D55">
              <w:rPr>
                <w:rFonts w:asciiTheme="minorHAnsi" w:hAnsiTheme="minorHAnsi"/>
                <w:sz w:val="16"/>
                <w:szCs w:val="16"/>
              </w:rPr>
              <w:t> 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05DBFF09" w14:textId="356C556E" w:rsidR="00F50048" w:rsidRPr="00DD6590" w:rsidRDefault="004627B0" w:rsidP="00D5568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P0012 </w:t>
            </w:r>
            <w:r w:rsidR="00171D55">
              <w:rPr>
                <w:rFonts w:asciiTheme="minorHAnsi" w:hAnsiTheme="minorHAnsi"/>
                <w:sz w:val="16"/>
                <w:szCs w:val="16"/>
              </w:rPr>
              <w:t>‒</w:t>
            </w:r>
            <w:r w:rsidR="00FA7C9A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Celková 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 xml:space="preserve">dĺžka nových alebo zmodernizovaných </w:t>
            </w:r>
            <w:r w:rsidR="00F12D25" w:rsidRPr="00DD6590">
              <w:rPr>
                <w:rFonts w:asciiTheme="minorHAnsi" w:hAnsiTheme="minorHAnsi"/>
                <w:sz w:val="16"/>
                <w:szCs w:val="16"/>
              </w:rPr>
              <w:t>nástupíšť (základná sieť TEN-T):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 xml:space="preserve"> 100</w:t>
            </w:r>
            <w:r w:rsidR="00171D55">
              <w:rPr>
                <w:rFonts w:asciiTheme="minorHAnsi" w:hAnsiTheme="minorHAnsi"/>
                <w:sz w:val="16"/>
                <w:szCs w:val="16"/>
              </w:rPr>
              <w:t> 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63D3B1D7" w14:textId="19A97D8F" w:rsidR="00F12D25" w:rsidRPr="00DD6590" w:rsidRDefault="00F12D25" w:rsidP="00F12D25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P0651 </w:t>
            </w:r>
            <w:r w:rsidR="00171D55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času v železničnej doprave (na základnej sieti TEN-T): </w:t>
            </w:r>
            <w:r w:rsidR="004627B0" w:rsidRPr="00DD6590">
              <w:rPr>
                <w:rFonts w:asciiTheme="minorHAnsi" w:hAnsiTheme="minorHAnsi"/>
                <w:sz w:val="16"/>
                <w:szCs w:val="16"/>
              </w:rPr>
              <w:t>53,4</w:t>
            </w:r>
            <w:r w:rsidR="00171D55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4B5A8070" w14:textId="271E3E24" w:rsidR="00F12D25" w:rsidRPr="00DD6590" w:rsidRDefault="00F12D25" w:rsidP="00F12D25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P0647</w:t>
            </w:r>
            <w:r w:rsidR="004627B0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171D55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času v železničnej doprave na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základnej sieti TEN-T</w:t>
            </w:r>
            <w:r w:rsidR="004627B0" w:rsidRPr="00DD6590">
              <w:rPr>
                <w:rFonts w:asciiTheme="minorHAnsi" w:hAnsiTheme="minorHAnsi"/>
                <w:sz w:val="16"/>
                <w:szCs w:val="16"/>
              </w:rPr>
              <w:t xml:space="preserve"> (min.)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: </w:t>
            </w:r>
            <w:r w:rsidR="004627B0" w:rsidRPr="00DD6590">
              <w:rPr>
                <w:rFonts w:asciiTheme="minorHAnsi" w:hAnsiTheme="minorHAnsi"/>
                <w:sz w:val="16"/>
                <w:szCs w:val="16"/>
              </w:rPr>
              <w:t>39,4</w:t>
            </w:r>
            <w:r w:rsidR="00171D55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69FE21C6" w14:textId="21D2A19A" w:rsidR="00F12D25" w:rsidRPr="00DD6590" w:rsidRDefault="00F12D25" w:rsidP="00F12D25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P0660 </w:t>
            </w:r>
            <w:r w:rsidR="00171D55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produkcie emisií CO</w:t>
            </w:r>
            <w:r w:rsidRPr="00D00238">
              <w:rPr>
                <w:sz w:val="16"/>
                <w:szCs w:val="16"/>
                <w:vertAlign w:val="subscript"/>
              </w:rPr>
              <w:t>2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(vplyvom modernizácie tratí): 0</w:t>
            </w:r>
            <w:r w:rsidR="00171D55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5562A802" w14:textId="4AB44470" w:rsidR="00F12D25" w:rsidRPr="00DD6590" w:rsidRDefault="00F12D25" w:rsidP="00F12D25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P0666 </w:t>
            </w:r>
            <w:r w:rsidR="00171D55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produkcie emisií NO</w:t>
            </w:r>
            <w:r w:rsidRPr="00D00238">
              <w:rPr>
                <w:sz w:val="16"/>
                <w:szCs w:val="16"/>
                <w:vertAlign w:val="subscript"/>
              </w:rPr>
              <w:t>2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(vplyvom modernizácie tratí): 0</w:t>
            </w:r>
            <w:r w:rsidR="00171D55">
              <w:rPr>
                <w:rFonts w:asciiTheme="minorHAnsi" w:hAnsiTheme="minorHAnsi"/>
                <w:sz w:val="16"/>
                <w:szCs w:val="16"/>
                <w:lang w:val="en-US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44D430F7" w14:textId="3997EA92" w:rsidR="00BC1978" w:rsidRPr="00DD6590" w:rsidRDefault="00F12D25" w:rsidP="004627B0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P0673 </w:t>
            </w:r>
            <w:r w:rsidR="00171D55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Úspora produkcie emisií PM</w:t>
            </w:r>
            <w:r w:rsidRPr="00D00238">
              <w:rPr>
                <w:sz w:val="16"/>
                <w:szCs w:val="16"/>
                <w:vertAlign w:val="subscript"/>
              </w:rPr>
              <w:t>10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(vplyvom modernizácie tratí): </w:t>
            </w:r>
            <w:r w:rsidR="004627B0" w:rsidRPr="00DD6590">
              <w:rPr>
                <w:rFonts w:asciiTheme="minorHAnsi" w:hAnsiTheme="minorHAnsi"/>
                <w:sz w:val="16"/>
                <w:szCs w:val="16"/>
              </w:rPr>
              <w:t>76,9</w:t>
            </w:r>
            <w:r w:rsidR="00171D55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60" w:type="pct"/>
          </w:tcPr>
          <w:p w14:paraId="1B673E36" w14:textId="5EEC8A3B" w:rsidR="00F50048" w:rsidRPr="00DD6590" w:rsidRDefault="00F50048" w:rsidP="00D5568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Pro</w:t>
            </w:r>
            <w:r w:rsidR="00B91705" w:rsidRPr="00DD6590">
              <w:rPr>
                <w:rFonts w:asciiTheme="minorHAnsi" w:hAnsiTheme="minorHAnsi"/>
                <w:sz w:val="16"/>
                <w:szCs w:val="16"/>
              </w:rPr>
              <w:t>jekt ako jediný je v rámci PO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1 ukončený. </w:t>
            </w:r>
          </w:p>
          <w:p w14:paraId="794F2FF3" w14:textId="575A66D8" w:rsidR="00FA7C9A" w:rsidRPr="00DD6590" w:rsidRDefault="004627B0" w:rsidP="00D5568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 prvom roku po ukončení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realizácie projektu boli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 xml:space="preserve"> ukazovatele výsledku projektu naplnené čiastočne</w:t>
            </w:r>
            <w:r w:rsidR="00FA7C9A" w:rsidRPr="00DD6590">
              <w:rPr>
                <w:rFonts w:asciiTheme="minorHAnsi" w:hAnsiTheme="minorHAnsi"/>
                <w:sz w:val="16"/>
                <w:szCs w:val="16"/>
              </w:rPr>
              <w:t>.</w:t>
            </w:r>
          </w:p>
          <w:p w14:paraId="6A4E6959" w14:textId="2166A185" w:rsidR="00F50048" w:rsidRPr="00DD6590" w:rsidRDefault="00F50048" w:rsidP="00D5568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Plnenie ukazovateľov je dotknuté prebiehajúcou rekonštrukciou úseku Púchov – Považská Teplá. Vyhodnotenie naplnenosti ukazovateľov výsledku bude možné až po uvedení tohto úseku do prevádzky. </w:t>
            </w:r>
          </w:p>
          <w:p w14:paraId="5D2C5BEA" w14:textId="0B7061C3" w:rsidR="00F50048" w:rsidRPr="00DD6590" w:rsidRDefault="00F50048" w:rsidP="00F12D25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Konečný rozpočet projektu bol nižší než plánovaný, došlo k celkovej úspore finančných prostriedkov na úrovni takmer 10</w:t>
            </w:r>
            <w:r w:rsidR="00171D55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%.</w:t>
            </w:r>
          </w:p>
        </w:tc>
        <w:tc>
          <w:tcPr>
            <w:tcW w:w="680" w:type="pct"/>
          </w:tcPr>
          <w:p w14:paraId="651A2294" w14:textId="3ACA3F8D" w:rsidR="00F50048" w:rsidRPr="00DD6590" w:rsidRDefault="00F50048" w:rsidP="00982C6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Dôsledný monitoring </w:t>
            </w:r>
            <w:r w:rsidR="007D58A7" w:rsidRPr="00DD6590">
              <w:rPr>
                <w:rFonts w:asciiTheme="minorHAnsi" w:hAnsiTheme="minorHAnsi"/>
                <w:sz w:val="16"/>
                <w:szCs w:val="16"/>
              </w:rPr>
              <w:t>napĺňania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ukazovateľov výsledku v období udržateľnosti projektu</w:t>
            </w:r>
          </w:p>
        </w:tc>
      </w:tr>
      <w:tr w:rsidR="00A23EE9" w:rsidRPr="00DD6590" w14:paraId="3E195152" w14:textId="77777777" w:rsidTr="004265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</w:tcPr>
          <w:p w14:paraId="37D642D5" w14:textId="77777777" w:rsidR="00F50048" w:rsidRPr="00DD6590" w:rsidRDefault="00F50048" w:rsidP="00F4301C">
            <w:pPr>
              <w:spacing w:before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3</w:t>
            </w:r>
          </w:p>
        </w:tc>
        <w:tc>
          <w:tcPr>
            <w:tcW w:w="555" w:type="pct"/>
          </w:tcPr>
          <w:p w14:paraId="31CEA452" w14:textId="77777777" w:rsidR="00F50048" w:rsidRPr="00DD6590" w:rsidRDefault="00F50048" w:rsidP="00D5568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Modernizácia vozového parku ŽKV v rámci OPII – 1. časť</w:t>
            </w:r>
          </w:p>
        </w:tc>
        <w:tc>
          <w:tcPr>
            <w:tcW w:w="394" w:type="pct"/>
            <w:shd w:val="clear" w:color="auto" w:fill="FFD653"/>
          </w:tcPr>
          <w:p w14:paraId="5F82A771" w14:textId="77777777" w:rsidR="00F50048" w:rsidRPr="00DD6590" w:rsidRDefault="00F50048" w:rsidP="00D55683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" w:type="pct"/>
          </w:tcPr>
          <w:p w14:paraId="325E8918" w14:textId="6B5EB848" w:rsidR="00F50048" w:rsidRPr="00DD6590" w:rsidRDefault="00F50048" w:rsidP="00D55683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63 610 029 </w:t>
            </w:r>
            <w:r w:rsidR="00495546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315" w:type="pct"/>
          </w:tcPr>
          <w:p w14:paraId="6FBE3EE6" w14:textId="653FE56F" w:rsidR="00F50048" w:rsidRPr="00DD6590" w:rsidRDefault="00F50048" w:rsidP="00D55683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13</w:t>
            </w:r>
            <w:r w:rsidR="00171D5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16" w:type="pct"/>
          </w:tcPr>
          <w:p w14:paraId="707FEDF2" w14:textId="5DC62991" w:rsidR="00F50048" w:rsidRPr="00DD6590" w:rsidRDefault="00F50048" w:rsidP="00D55683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37</w:t>
            </w:r>
            <w:r w:rsidR="00171D5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37" w:type="pct"/>
          </w:tcPr>
          <w:p w14:paraId="76D8486F" w14:textId="5840EFF5" w:rsidR="00F50048" w:rsidRPr="00DD6590" w:rsidRDefault="00F50048" w:rsidP="00D55683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 w:rsidR="00171D5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625FBD56" w14:textId="63C354C9" w:rsidR="00F50048" w:rsidRPr="00DD6590" w:rsidRDefault="00F50048" w:rsidP="00A16962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Zmluva o NFP podpísaná, </w:t>
            </w:r>
            <w:r w:rsidR="00FE3386" w:rsidRPr="00DD6590">
              <w:rPr>
                <w:rFonts w:asciiTheme="minorHAnsi" w:hAnsiTheme="minorHAnsi"/>
                <w:sz w:val="16"/>
                <w:szCs w:val="16"/>
              </w:rPr>
              <w:t xml:space="preserve"> projekt je v realizácii, prebieha fáza dodávania  dieselových motorových jednotiek</w:t>
            </w:r>
          </w:p>
        </w:tc>
        <w:tc>
          <w:tcPr>
            <w:tcW w:w="710" w:type="pct"/>
          </w:tcPr>
          <w:p w14:paraId="0DEF858E" w14:textId="34D03534" w:rsidR="000172FC" w:rsidRPr="00DD6590" w:rsidRDefault="000172FC" w:rsidP="000172FC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P0237 </w:t>
            </w:r>
            <w:r w:rsidR="00171D55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Počet obnovených vlakových súprav v železničnej verejnej osobnej doprave: 0</w:t>
            </w:r>
            <w:r w:rsidR="00171D55">
              <w:rPr>
                <w:rFonts w:asciiTheme="minorHAnsi" w:hAnsiTheme="minorHAnsi"/>
                <w:sz w:val="16"/>
                <w:szCs w:val="16"/>
              </w:rPr>
              <w:t> 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 xml:space="preserve">% 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br/>
              <w:t>(z celkového počtu 21)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38E34EFC" w14:textId="38B2289B" w:rsidR="000172FC" w:rsidRPr="00DD6590" w:rsidRDefault="000172FC" w:rsidP="000172FC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P0350 </w:t>
            </w:r>
            <w:r w:rsidR="00171D55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prepravených cestujúcich vo verejnej železničnej osobnej doprave: 0</w:t>
            </w:r>
            <w:r w:rsidR="00171D55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860" w:type="pct"/>
            <w:vMerge w:val="restart"/>
          </w:tcPr>
          <w:p w14:paraId="0359EE72" w14:textId="4C54B762" w:rsidR="00F50048" w:rsidRPr="00DD6590" w:rsidRDefault="004E3A07" w:rsidP="00D5568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Do konca roka 2018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 xml:space="preserve"> neboli </w:t>
            </w:r>
            <w:r w:rsidR="008A3416" w:rsidRPr="00DD6590">
              <w:rPr>
                <w:rFonts w:asciiTheme="minorHAnsi" w:hAnsiTheme="minorHAnsi"/>
                <w:sz w:val="16"/>
                <w:szCs w:val="16"/>
              </w:rPr>
              <w:t xml:space="preserve">dodané 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 xml:space="preserve">žiadne vlakové súpravy. </w:t>
            </w:r>
            <w:r w:rsidR="006944FB" w:rsidRPr="00DD6590">
              <w:rPr>
                <w:rFonts w:asciiTheme="minorHAnsi" w:hAnsiTheme="minorHAnsi"/>
                <w:sz w:val="16"/>
                <w:szCs w:val="16"/>
              </w:rPr>
              <w:t>S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 xml:space="preserve">úpravy </w:t>
            </w:r>
            <w:r w:rsidR="006944FB" w:rsidRPr="00DD6590">
              <w:rPr>
                <w:rFonts w:asciiTheme="minorHAnsi" w:hAnsiTheme="minorHAnsi"/>
                <w:sz w:val="16"/>
                <w:szCs w:val="16"/>
              </w:rPr>
              <w:t xml:space="preserve">sú 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v procese výroby</w:t>
            </w:r>
            <w:r w:rsidR="006944FB" w:rsidRPr="00DD6590">
              <w:rPr>
                <w:rFonts w:asciiTheme="minorHAnsi" w:hAnsiTheme="minorHAnsi"/>
                <w:sz w:val="16"/>
                <w:szCs w:val="16"/>
              </w:rPr>
              <w:t xml:space="preserve"> a d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 xml:space="preserve">odanie prvých </w:t>
            </w:r>
            <w:r w:rsidR="00894AFA" w:rsidRPr="00DD6590">
              <w:rPr>
                <w:rFonts w:asciiTheme="minorHAnsi" w:hAnsiTheme="minorHAnsi"/>
                <w:sz w:val="16"/>
                <w:szCs w:val="16"/>
              </w:rPr>
              <w:t xml:space="preserve">dieselových 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súprav sa očakáva v apríli 2019 a</w:t>
            </w:r>
            <w:r w:rsidR="00171D55">
              <w:rPr>
                <w:rFonts w:asciiTheme="minorHAnsi" w:hAnsiTheme="minorHAnsi"/>
                <w:sz w:val="16"/>
                <w:szCs w:val="16"/>
              </w:rPr>
              <w:t> v priebehu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 xml:space="preserve"> roka</w:t>
            </w:r>
            <w:r w:rsidR="0074207A" w:rsidRPr="00DD6590">
              <w:rPr>
                <w:rFonts w:asciiTheme="minorHAnsi" w:hAnsiTheme="minorHAnsi"/>
                <w:sz w:val="16"/>
                <w:szCs w:val="16"/>
              </w:rPr>
              <w:t xml:space="preserve"> 2019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 xml:space="preserve">. Stav vecného plnenia vyžaduje dôslednú kontrolu s cieľom zaistiť naplnenie ukazovateľov v stanovenom harmonograme projektu. </w:t>
            </w:r>
          </w:p>
          <w:p w14:paraId="10B74F47" w14:textId="0A2934EF" w:rsidR="00894AFA" w:rsidRPr="00DD6590" w:rsidRDefault="00894AFA" w:rsidP="00D5568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Dodanie elektrických jednotiek by malo byť v súlade s harmonogramom v júli 2020.</w:t>
            </w:r>
          </w:p>
          <w:p w14:paraId="2C1D372C" w14:textId="36D3786D" w:rsidR="00F50048" w:rsidRPr="00DD6590" w:rsidRDefault="00F50048" w:rsidP="00894AFA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Projekty </w:t>
            </w:r>
            <w:r w:rsidR="004E3A07" w:rsidRPr="00DD6590">
              <w:rPr>
                <w:rFonts w:asciiTheme="minorHAnsi" w:hAnsiTheme="minorHAnsi"/>
                <w:sz w:val="16"/>
                <w:szCs w:val="16"/>
              </w:rPr>
              <w:t>do konca roka 2018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nereportovali plnenie </w:t>
            </w:r>
            <w:r w:rsidR="00894AFA" w:rsidRPr="00DD6590">
              <w:rPr>
                <w:rFonts w:asciiTheme="minorHAnsi" w:hAnsiTheme="minorHAnsi"/>
                <w:sz w:val="16"/>
                <w:szCs w:val="16"/>
              </w:rPr>
              <w:t xml:space="preserve">ukazovateľa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výstupu. </w:t>
            </w:r>
          </w:p>
        </w:tc>
        <w:tc>
          <w:tcPr>
            <w:tcW w:w="680" w:type="pct"/>
            <w:vMerge w:val="restart"/>
          </w:tcPr>
          <w:p w14:paraId="77DA6FD1" w14:textId="17B5A137" w:rsidR="00F50048" w:rsidRPr="00DD6590" w:rsidRDefault="00F50048" w:rsidP="004627B0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Vzhľadom </w:t>
            </w:r>
            <w:r w:rsidR="00B662EA">
              <w:rPr>
                <w:rFonts w:asciiTheme="minorHAnsi" w:hAnsiTheme="minorHAnsi"/>
                <w:sz w:val="16"/>
                <w:szCs w:val="16"/>
              </w:rPr>
              <w:t>na</w:t>
            </w:r>
            <w:r w:rsidR="00B662EA" w:rsidRPr="00DD6590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stav vecného plnenia a stav plnenia ukazovateľov výstupu projektu odporúčame dôslednú kontrolu realizácie projektu a čerpania finančných prostriedkov </w:t>
            </w:r>
          </w:p>
          <w:p w14:paraId="1200A727" w14:textId="77777777" w:rsidR="00F50048" w:rsidRPr="00DD6590" w:rsidRDefault="00F50048" w:rsidP="00D55683">
            <w:pPr>
              <w:pStyle w:val="ListParagraph"/>
              <w:spacing w:before="0" w:line="240" w:lineRule="auto"/>
              <w:ind w:left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3EE9" w:rsidRPr="00DD6590" w14:paraId="59C4D3F1" w14:textId="77777777" w:rsidTr="004265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</w:tcPr>
          <w:p w14:paraId="6C517B92" w14:textId="77777777" w:rsidR="00F50048" w:rsidRPr="00DD6590" w:rsidRDefault="00F50048" w:rsidP="00F4301C">
            <w:pPr>
              <w:spacing w:before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4</w:t>
            </w:r>
          </w:p>
        </w:tc>
        <w:tc>
          <w:tcPr>
            <w:tcW w:w="555" w:type="pct"/>
          </w:tcPr>
          <w:p w14:paraId="0CFE8681" w14:textId="77777777" w:rsidR="00F50048" w:rsidRPr="00DD6590" w:rsidRDefault="00F50048" w:rsidP="00D5568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Modernizácia vozového parku ŽKV v rámci OPII – 2. časť</w:t>
            </w:r>
          </w:p>
        </w:tc>
        <w:tc>
          <w:tcPr>
            <w:tcW w:w="394" w:type="pct"/>
            <w:shd w:val="clear" w:color="auto" w:fill="FFD653"/>
          </w:tcPr>
          <w:p w14:paraId="1B7ABD16" w14:textId="77777777" w:rsidR="00F50048" w:rsidRPr="00DD6590" w:rsidRDefault="00F50048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" w:type="pct"/>
          </w:tcPr>
          <w:p w14:paraId="4EB4ADA3" w14:textId="3FF7E1CE" w:rsidR="00F50048" w:rsidRPr="00DD6590" w:rsidRDefault="00F50048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134 598 799 </w:t>
            </w:r>
            <w:r w:rsidR="00495546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315" w:type="pct"/>
          </w:tcPr>
          <w:p w14:paraId="04762C59" w14:textId="52B2095B" w:rsidR="00F50048" w:rsidRPr="00DD6590" w:rsidRDefault="00F50048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</w:t>
            </w:r>
            <w:r w:rsidR="00171D5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16" w:type="pct"/>
          </w:tcPr>
          <w:p w14:paraId="448FF58C" w14:textId="30910AC7" w:rsidR="00F50048" w:rsidRPr="00DD6590" w:rsidRDefault="00F50048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15</w:t>
            </w:r>
            <w:r w:rsidR="00171D5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37" w:type="pct"/>
          </w:tcPr>
          <w:p w14:paraId="61CBE3EF" w14:textId="7B969957" w:rsidR="00F50048" w:rsidRPr="00DD6590" w:rsidRDefault="00FE3386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 w:rsidR="00171D5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 xml:space="preserve">% </w:t>
            </w:r>
          </w:p>
          <w:p w14:paraId="65F42D20" w14:textId="7EC3A474" w:rsidR="00F50048" w:rsidRPr="00DD6590" w:rsidRDefault="00F50048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Zmluva o NFP podpísaná, </w:t>
            </w:r>
            <w:r w:rsidR="00FE3386" w:rsidRPr="00DD6590">
              <w:rPr>
                <w:rFonts w:asciiTheme="minorHAnsi" w:hAnsiTheme="minorHAnsi"/>
                <w:sz w:val="16"/>
                <w:szCs w:val="16"/>
              </w:rPr>
              <w:t xml:space="preserve"> projekt je v realizácii, prebieha fáza výroby</w:t>
            </w:r>
            <w:r w:rsidR="008A3416" w:rsidRPr="00DD6590">
              <w:rPr>
                <w:rFonts w:asciiTheme="minorHAnsi" w:hAnsiTheme="minorHAnsi"/>
                <w:sz w:val="16"/>
                <w:szCs w:val="16"/>
              </w:rPr>
              <w:t xml:space="preserve"> elektrických</w:t>
            </w:r>
            <w:r w:rsidR="00FE3386" w:rsidRPr="00DD6590">
              <w:rPr>
                <w:rFonts w:asciiTheme="minorHAnsi" w:hAnsiTheme="minorHAnsi"/>
                <w:sz w:val="16"/>
                <w:szCs w:val="16"/>
              </w:rPr>
              <w:t xml:space="preserve"> motorových jednotiek</w:t>
            </w:r>
          </w:p>
        </w:tc>
        <w:tc>
          <w:tcPr>
            <w:tcW w:w="710" w:type="pct"/>
          </w:tcPr>
          <w:p w14:paraId="637414A4" w14:textId="4E465512" w:rsidR="00F50048" w:rsidRPr="00DD6590" w:rsidRDefault="000172FC" w:rsidP="00D5568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P0237 </w:t>
            </w:r>
            <w:r w:rsidR="00171D55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Počet obnovených vlakových súprav v železničnej verejnej osobnej doprave: 0</w:t>
            </w:r>
            <w:r w:rsidR="00171D55">
              <w:rPr>
                <w:rFonts w:asciiTheme="minorHAnsi" w:hAnsiTheme="minorHAnsi"/>
                <w:sz w:val="16"/>
                <w:szCs w:val="16"/>
              </w:rPr>
              <w:t> 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% (z celkového počtu 25)</w:t>
            </w:r>
          </w:p>
          <w:p w14:paraId="7748C69E" w14:textId="70E2E005" w:rsidR="000172FC" w:rsidRPr="00DD6590" w:rsidRDefault="000172FC" w:rsidP="00D5568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P0350 </w:t>
            </w:r>
            <w:r w:rsidR="00171D55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Počet prepravených cestujúcich vo verejnej železničnej osobnej doprave: 0%</w:t>
            </w:r>
          </w:p>
        </w:tc>
        <w:tc>
          <w:tcPr>
            <w:tcW w:w="860" w:type="pct"/>
            <w:vMerge/>
          </w:tcPr>
          <w:p w14:paraId="3DF8A2F2" w14:textId="77777777" w:rsidR="00F50048" w:rsidRPr="00DD6590" w:rsidRDefault="00F50048" w:rsidP="00D5568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0" w:type="pct"/>
            <w:vMerge/>
          </w:tcPr>
          <w:p w14:paraId="068FE806" w14:textId="77777777" w:rsidR="00F50048" w:rsidRPr="00DD6590" w:rsidRDefault="00F50048" w:rsidP="00D5568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3EE9" w:rsidRPr="00DD6590" w14:paraId="010D4D28" w14:textId="77777777" w:rsidTr="004265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</w:tcPr>
          <w:p w14:paraId="6F03B35E" w14:textId="77777777" w:rsidR="00F50048" w:rsidRPr="00DD6590" w:rsidRDefault="00F50048" w:rsidP="00F4301C">
            <w:pPr>
              <w:spacing w:before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5</w:t>
            </w:r>
          </w:p>
        </w:tc>
        <w:tc>
          <w:tcPr>
            <w:tcW w:w="555" w:type="pct"/>
          </w:tcPr>
          <w:p w14:paraId="7C050FC9" w14:textId="77777777" w:rsidR="00F50048" w:rsidRPr="00DD6590" w:rsidRDefault="00F50048" w:rsidP="00D5568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ŽSR, dopravný uzol Bratislava – štúdia realizovateľnosti</w:t>
            </w:r>
          </w:p>
        </w:tc>
        <w:tc>
          <w:tcPr>
            <w:tcW w:w="394" w:type="pct"/>
            <w:shd w:val="clear" w:color="auto" w:fill="FFD653"/>
          </w:tcPr>
          <w:p w14:paraId="693B8EEC" w14:textId="77777777" w:rsidR="00F50048" w:rsidRPr="00DD6590" w:rsidRDefault="00F50048" w:rsidP="00D55683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CE6EC25" w14:textId="77777777" w:rsidR="00F50048" w:rsidRPr="00DD6590" w:rsidRDefault="00F50048" w:rsidP="00D55683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1FE1D4F" w14:textId="77777777" w:rsidR="00F50048" w:rsidRPr="00DD6590" w:rsidRDefault="00F50048" w:rsidP="00D55683">
            <w:pPr>
              <w:tabs>
                <w:tab w:val="left" w:pos="768"/>
              </w:tabs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ab/>
            </w:r>
          </w:p>
        </w:tc>
        <w:tc>
          <w:tcPr>
            <w:tcW w:w="496" w:type="pct"/>
          </w:tcPr>
          <w:p w14:paraId="7CB73FAE" w14:textId="79178342" w:rsidR="00F50048" w:rsidRPr="00DD6590" w:rsidRDefault="00F50048" w:rsidP="00D55683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1 104 048 </w:t>
            </w:r>
            <w:r w:rsidR="00495546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315" w:type="pct"/>
          </w:tcPr>
          <w:p w14:paraId="1D12EA34" w14:textId="790BA0CA" w:rsidR="00F50048" w:rsidRPr="00DD6590" w:rsidRDefault="00F50048" w:rsidP="00D55683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35</w:t>
            </w:r>
            <w:r w:rsidR="00171D5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16" w:type="pct"/>
          </w:tcPr>
          <w:p w14:paraId="79AF8742" w14:textId="7B7DC705" w:rsidR="00F50048" w:rsidRPr="00DD6590" w:rsidRDefault="00F50048" w:rsidP="00D55683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66</w:t>
            </w:r>
            <w:r w:rsidR="00171D5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37" w:type="pct"/>
          </w:tcPr>
          <w:p w14:paraId="5DE4DBEC" w14:textId="652ED12E" w:rsidR="00633BD0" w:rsidRPr="00DD6590" w:rsidRDefault="00633BD0" w:rsidP="00D55683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90</w:t>
            </w:r>
            <w:r w:rsidR="00171D5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% </w:t>
            </w:r>
          </w:p>
          <w:p w14:paraId="2FD5CAC5" w14:textId="77777777" w:rsidR="00F50048" w:rsidRPr="00DD6590" w:rsidRDefault="00633BD0" w:rsidP="00D55683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V januári 2019 bola schválená správa zo 4. etapy projektu, prebieha 5.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etapa – finalizácia štúdie</w:t>
            </w:r>
          </w:p>
        </w:tc>
        <w:tc>
          <w:tcPr>
            <w:tcW w:w="710" w:type="pct"/>
          </w:tcPr>
          <w:p w14:paraId="37D0BFD5" w14:textId="19510653" w:rsidR="00F50048" w:rsidRPr="00DD6590" w:rsidRDefault="000172FC" w:rsidP="00D5568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P0366 </w:t>
            </w:r>
            <w:r w:rsidR="00171D55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 xml:space="preserve">Počet realizovaných dokumentácií, analýz, štúdií a správ v súvislosti s prípravou, implementáciou, monitorovaním a 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hodnotením projektu: 0</w:t>
            </w:r>
            <w:r w:rsidR="00171D55">
              <w:rPr>
                <w:rFonts w:asciiTheme="minorHAnsi" w:hAnsiTheme="minorHAnsi"/>
                <w:sz w:val="16"/>
                <w:szCs w:val="16"/>
              </w:rPr>
              <w:t> 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% (z celkového počtu 1)</w:t>
            </w:r>
          </w:p>
        </w:tc>
        <w:tc>
          <w:tcPr>
            <w:tcW w:w="860" w:type="pct"/>
          </w:tcPr>
          <w:p w14:paraId="5E5C272B" w14:textId="7B11E7D4" w:rsidR="00F50048" w:rsidRPr="00DD6590" w:rsidRDefault="00F50048" w:rsidP="00D5568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Projekt </w:t>
            </w:r>
            <w:r w:rsidR="004E3A07" w:rsidRPr="00DD6590">
              <w:rPr>
                <w:rFonts w:asciiTheme="minorHAnsi" w:hAnsiTheme="minorHAnsi"/>
                <w:sz w:val="16"/>
                <w:szCs w:val="16"/>
              </w:rPr>
              <w:t>do konca roka 2018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vykazoval plnenie ukazovateľa výstupu na úrovni 0 spracovaných dokumentácií. Predpokladaný termín predloženia štúdie je </w:t>
            </w:r>
            <w:r w:rsidR="008A3416" w:rsidRPr="00DD6590">
              <w:rPr>
                <w:rFonts w:asciiTheme="minorHAnsi" w:hAnsiTheme="minorHAnsi"/>
                <w:sz w:val="16"/>
                <w:szCs w:val="16"/>
              </w:rPr>
              <w:t xml:space="preserve">jún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2019.</w:t>
            </w:r>
          </w:p>
          <w:p w14:paraId="10577FD4" w14:textId="0149BC55" w:rsidR="00633BD0" w:rsidRPr="00DD6590" w:rsidRDefault="006944FB" w:rsidP="00D5568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P</w:t>
            </w:r>
            <w:r w:rsidR="00633BD0" w:rsidRPr="00DD6590">
              <w:rPr>
                <w:rFonts w:asciiTheme="minorHAnsi" w:hAnsiTheme="minorHAnsi"/>
                <w:sz w:val="16"/>
                <w:szCs w:val="16"/>
              </w:rPr>
              <w:t xml:space="preserve">ráce na projekte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sú </w:t>
            </w:r>
            <w:r w:rsidR="00633BD0" w:rsidRPr="00DD6590">
              <w:rPr>
                <w:rFonts w:asciiTheme="minorHAnsi" w:hAnsiTheme="minorHAnsi"/>
                <w:sz w:val="16"/>
                <w:szCs w:val="16"/>
              </w:rPr>
              <w:t xml:space="preserve">náročné hlavne z nasledovných dôvodov: </w:t>
            </w:r>
          </w:p>
          <w:p w14:paraId="07CFAE61" w14:textId="5D0669A3" w:rsidR="00633BD0" w:rsidRPr="00DD6590" w:rsidRDefault="00633BD0" w:rsidP="003E761D">
            <w:pPr>
              <w:pStyle w:val="ListParagraph"/>
              <w:numPr>
                <w:ilvl w:val="0"/>
                <w:numId w:val="35"/>
              </w:numPr>
              <w:spacing w:before="0" w:line="240" w:lineRule="auto"/>
              <w:ind w:left="244" w:hanging="9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Verdana" w:hAnsiTheme="minorHAnsi"/>
                <w:sz w:val="16"/>
                <w:szCs w:val="16"/>
                <w:lang w:eastAsia="cs-CZ"/>
              </w:rPr>
            </w:pPr>
            <w:r w:rsidRPr="00DD6590">
              <w:rPr>
                <w:rFonts w:asciiTheme="minorHAnsi" w:eastAsia="Verdana" w:hAnsiTheme="minorHAnsi"/>
                <w:sz w:val="16"/>
                <w:szCs w:val="16"/>
                <w:lang w:eastAsia="cs-CZ"/>
              </w:rPr>
              <w:t>Veľké množstvo zainteresovaných orgánov a organizácií podieľajúcich sa na tvorbe vstupných údajov pre štúdiu</w:t>
            </w:r>
            <w:r w:rsidR="00A16962">
              <w:rPr>
                <w:rFonts w:asciiTheme="minorHAnsi" w:eastAsia="Verdana" w:hAnsiTheme="minorHAnsi"/>
                <w:sz w:val="16"/>
                <w:szCs w:val="16"/>
                <w:lang w:eastAsia="cs-CZ"/>
              </w:rPr>
              <w:t>,</w:t>
            </w:r>
            <w:r w:rsidRPr="00DD6590">
              <w:rPr>
                <w:rFonts w:asciiTheme="minorHAnsi" w:eastAsia="Verdana" w:hAnsiTheme="minorHAnsi"/>
                <w:sz w:val="16"/>
                <w:szCs w:val="16"/>
                <w:lang w:eastAsia="cs-CZ"/>
              </w:rPr>
              <w:t xml:space="preserve"> ako i vstupujúcich do procesu vyjadrovania sa k jednotlivým výstupovým fázam, nutnosť zapracovávania množstva pripomienok všetkých zainteresovaných a v neposlednom rade pripomienky </w:t>
            </w:r>
            <w:proofErr w:type="spellStart"/>
            <w:r w:rsidRPr="00DD6590">
              <w:rPr>
                <w:rFonts w:asciiTheme="minorHAnsi" w:eastAsia="Verdana" w:hAnsiTheme="minorHAnsi"/>
                <w:sz w:val="16"/>
                <w:szCs w:val="16"/>
                <w:lang w:eastAsia="cs-CZ"/>
              </w:rPr>
              <w:t>Jaspers</w:t>
            </w:r>
            <w:proofErr w:type="spellEnd"/>
            <w:r w:rsidRPr="00DD6590">
              <w:rPr>
                <w:rFonts w:asciiTheme="minorHAnsi" w:eastAsia="Verdana" w:hAnsiTheme="minorHAnsi"/>
                <w:sz w:val="16"/>
                <w:szCs w:val="16"/>
                <w:lang w:eastAsia="cs-CZ"/>
              </w:rPr>
              <w:t xml:space="preserve"> ako poradného orgánu EÚ </w:t>
            </w:r>
          </w:p>
          <w:p w14:paraId="456161DB" w14:textId="77777777" w:rsidR="00633BD0" w:rsidRPr="00DD6590" w:rsidRDefault="00633BD0" w:rsidP="003E761D">
            <w:pPr>
              <w:pStyle w:val="ListParagraph"/>
              <w:numPr>
                <w:ilvl w:val="0"/>
                <w:numId w:val="35"/>
              </w:numPr>
              <w:spacing w:before="0" w:line="240" w:lineRule="auto"/>
              <w:ind w:left="244" w:hanging="9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Verdana" w:hAnsiTheme="minorHAnsi"/>
                <w:sz w:val="16"/>
                <w:szCs w:val="16"/>
                <w:lang w:eastAsia="cs-CZ"/>
              </w:rPr>
            </w:pPr>
            <w:r w:rsidRPr="00DD6590">
              <w:rPr>
                <w:rFonts w:asciiTheme="minorHAnsi" w:eastAsia="Verdana" w:hAnsiTheme="minorHAnsi"/>
                <w:sz w:val="16"/>
                <w:szCs w:val="16"/>
                <w:lang w:eastAsia="cs-CZ"/>
              </w:rPr>
              <w:t>Nutnosť koordinácie so strategickými dokumentmi mesta, samospráv mestských častí</w:t>
            </w:r>
          </w:p>
          <w:p w14:paraId="43F3E540" w14:textId="77777777" w:rsidR="00633BD0" w:rsidRPr="00DD6590" w:rsidRDefault="00633BD0" w:rsidP="003E761D">
            <w:pPr>
              <w:pStyle w:val="ListParagraph"/>
              <w:numPr>
                <w:ilvl w:val="0"/>
                <w:numId w:val="35"/>
              </w:numPr>
              <w:spacing w:before="0" w:line="240" w:lineRule="auto"/>
              <w:ind w:left="244" w:hanging="9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Verdana" w:hAnsiTheme="minorHAnsi"/>
                <w:sz w:val="16"/>
                <w:szCs w:val="16"/>
                <w:lang w:eastAsia="cs-CZ"/>
              </w:rPr>
            </w:pPr>
            <w:r w:rsidRPr="00DD6590">
              <w:rPr>
                <w:rFonts w:asciiTheme="minorHAnsi" w:eastAsia="Verdana" w:hAnsiTheme="minorHAnsi"/>
                <w:sz w:val="16"/>
                <w:szCs w:val="16"/>
                <w:lang w:eastAsia="cs-CZ"/>
              </w:rPr>
              <w:t xml:space="preserve">Vstupovanie do fázy realizácie projektu novovzniknutých inštitúcií ako je </w:t>
            </w:r>
            <w:r w:rsidR="00EA1305" w:rsidRPr="00DD6590">
              <w:rPr>
                <w:rFonts w:asciiTheme="minorHAnsi" w:eastAsia="Verdana" w:hAnsiTheme="minorHAnsi"/>
                <w:sz w:val="16"/>
                <w:szCs w:val="16"/>
                <w:lang w:eastAsia="cs-CZ"/>
              </w:rPr>
              <w:t>Útvar hodnoty za peniaze MF SR</w:t>
            </w:r>
          </w:p>
          <w:p w14:paraId="7EAEA828" w14:textId="4ECEC182" w:rsidR="00633BD0" w:rsidRPr="00DD6590" w:rsidRDefault="00633BD0" w:rsidP="008A3416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V súčasnosti realizátor projektu nepredpokladá závažné riziká, ktoré by mohli narušiť ukončenie projektu </w:t>
            </w:r>
            <w:r w:rsidR="008A3416" w:rsidRPr="00DD6590">
              <w:rPr>
                <w:rFonts w:asciiTheme="minorHAnsi" w:hAnsiTheme="minorHAnsi"/>
                <w:sz w:val="16"/>
                <w:szCs w:val="16"/>
              </w:rPr>
              <w:t xml:space="preserve">v priebehu júna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2019.</w:t>
            </w:r>
          </w:p>
        </w:tc>
        <w:tc>
          <w:tcPr>
            <w:tcW w:w="680" w:type="pct"/>
          </w:tcPr>
          <w:p w14:paraId="0D75F38E" w14:textId="6CE26FF7" w:rsidR="00F50048" w:rsidRPr="00DD6590" w:rsidRDefault="00F50048" w:rsidP="00982C6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Zaistiť dohľad nad plnením </w:t>
            </w:r>
            <w:r w:rsidR="008A3416" w:rsidRPr="00DD6590">
              <w:rPr>
                <w:rFonts w:asciiTheme="minorHAnsi" w:hAnsiTheme="minorHAnsi"/>
                <w:sz w:val="16"/>
                <w:szCs w:val="16"/>
              </w:rPr>
              <w:t xml:space="preserve">ukazovateľa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výstupu projektu</w:t>
            </w:r>
          </w:p>
        </w:tc>
      </w:tr>
      <w:tr w:rsidR="00A23EE9" w:rsidRPr="00DD6590" w14:paraId="28002841" w14:textId="77777777" w:rsidTr="004265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</w:tcPr>
          <w:p w14:paraId="76559E57" w14:textId="77777777" w:rsidR="00F50048" w:rsidRPr="00DD6590" w:rsidRDefault="00F50048" w:rsidP="00F4301C">
            <w:pPr>
              <w:spacing w:before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6</w:t>
            </w:r>
          </w:p>
        </w:tc>
        <w:tc>
          <w:tcPr>
            <w:tcW w:w="555" w:type="pct"/>
          </w:tcPr>
          <w:p w14:paraId="4DA87341" w14:textId="77777777" w:rsidR="00F50048" w:rsidRPr="00DD6590" w:rsidRDefault="00F50048" w:rsidP="00D5568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ŽSR, dostavba zriaďovacej stanice Žilina Teplička a nadväzujúcej železničnej infraštruktúry v uzle Žilina - projektová dokumentácia DSP, DRS a DVZ</w:t>
            </w:r>
          </w:p>
        </w:tc>
        <w:tc>
          <w:tcPr>
            <w:tcW w:w="394" w:type="pct"/>
            <w:shd w:val="clear" w:color="auto" w:fill="D0EC9F"/>
          </w:tcPr>
          <w:p w14:paraId="525A6F89" w14:textId="77777777" w:rsidR="00F50048" w:rsidRPr="00DD6590" w:rsidRDefault="00F50048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" w:type="pct"/>
          </w:tcPr>
          <w:p w14:paraId="7275BC53" w14:textId="1E6CB824" w:rsidR="00F50048" w:rsidRPr="00DD6590" w:rsidRDefault="00F50048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3 431 443 </w:t>
            </w:r>
            <w:r w:rsidR="00495546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315" w:type="pct"/>
          </w:tcPr>
          <w:p w14:paraId="29C6A906" w14:textId="1604D0BC" w:rsidR="00F50048" w:rsidRPr="00DD6590" w:rsidRDefault="00F50048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83</w:t>
            </w:r>
            <w:r w:rsidR="00171D5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16" w:type="pct"/>
          </w:tcPr>
          <w:p w14:paraId="454F222C" w14:textId="669D5AFA" w:rsidR="00F50048" w:rsidRPr="00DD6590" w:rsidRDefault="00F50048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90</w:t>
            </w:r>
            <w:r w:rsidR="00171D5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437" w:type="pct"/>
          </w:tcPr>
          <w:p w14:paraId="07DEC768" w14:textId="77777777" w:rsidR="00F50048" w:rsidRPr="00DD6590" w:rsidRDefault="00EA1305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80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 xml:space="preserve"> %</w:t>
            </w:r>
          </w:p>
          <w:p w14:paraId="089496F5" w14:textId="77777777" w:rsidR="00F50048" w:rsidRPr="00DD6590" w:rsidRDefault="00F50048" w:rsidP="00035845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Dokončené je vypracovanie</w:t>
            </w:r>
            <w:r w:rsidR="00035845" w:rsidRPr="00DD6590">
              <w:rPr>
                <w:rFonts w:asciiTheme="minorHAnsi" w:hAnsiTheme="minorHAnsi"/>
                <w:sz w:val="16"/>
                <w:szCs w:val="16"/>
              </w:rPr>
              <w:t xml:space="preserve"> celej projektovej dokumentácie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. K jednotlivým stupňom dokumentácie náleží aj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inžinierska činnosť. Celá časť ohľadom DVZ je ukončená. V rámci DRS a DSP ešte nie je ukončená inžinierska činnosť.</w:t>
            </w:r>
            <w:r w:rsidRPr="00DD6590">
              <w:rPr>
                <w:rStyle w:val="FootnoteReference"/>
                <w:rFonts w:asciiTheme="minorHAnsi" w:hAnsiTheme="minorHAnsi"/>
                <w:sz w:val="16"/>
                <w:szCs w:val="16"/>
              </w:rPr>
              <w:footnoteReference w:id="5"/>
            </w:r>
          </w:p>
        </w:tc>
        <w:tc>
          <w:tcPr>
            <w:tcW w:w="710" w:type="pct"/>
          </w:tcPr>
          <w:p w14:paraId="476FF4FE" w14:textId="74BA86AE" w:rsidR="00F50048" w:rsidRPr="00DD6590" w:rsidRDefault="000172FC" w:rsidP="00D5568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P0366 </w:t>
            </w:r>
            <w:r w:rsidR="00171D55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Počet realizovaných dokumentácií, analýz, štúdií a správ v súvislosti s prípravou, implementáciou, monitorovaním a hodnotením projektu:</w:t>
            </w:r>
            <w:r w:rsidR="00171D5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33</w:t>
            </w:r>
            <w:r w:rsidR="00171D55">
              <w:rPr>
                <w:rFonts w:asciiTheme="minorHAnsi" w:hAnsiTheme="minorHAnsi"/>
                <w:sz w:val="16"/>
                <w:szCs w:val="16"/>
              </w:rPr>
              <w:t> 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% (z celkového počtu</w:t>
            </w:r>
            <w:r w:rsidR="00171D55">
              <w:rPr>
                <w:rFonts w:asciiTheme="minorHAnsi" w:hAnsiTheme="minorHAnsi"/>
                <w:sz w:val="16"/>
                <w:szCs w:val="16"/>
              </w:rPr>
              <w:t> </w:t>
            </w:r>
            <w:r w:rsidR="00F50048" w:rsidRPr="00DD6590">
              <w:rPr>
                <w:rFonts w:asciiTheme="minorHAnsi" w:hAnsiTheme="minorHAnsi"/>
                <w:sz w:val="16"/>
                <w:szCs w:val="16"/>
              </w:rPr>
              <w:t>3)</w:t>
            </w:r>
          </w:p>
        </w:tc>
        <w:tc>
          <w:tcPr>
            <w:tcW w:w="860" w:type="pct"/>
          </w:tcPr>
          <w:p w14:paraId="2D1692C2" w14:textId="77777777" w:rsidR="00F50048" w:rsidRPr="00DD6590" w:rsidRDefault="00F50048" w:rsidP="00D5568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v rámci hodnoteného obdobia vykazoval plnenie ukazovateľa v hodnote 1.</w:t>
            </w:r>
          </w:p>
          <w:p w14:paraId="31262FDE" w14:textId="3D068EB5" w:rsidR="00F50048" w:rsidRPr="00DD6590" w:rsidRDefault="00F50048" w:rsidP="008A3416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Riziko ohľadom dodržania harmonogramu bolo identifikované už na začiatku projektu a stále pretrváva, keďže rozsah inžinierskej činnosti </w:t>
            </w:r>
            <w:r w:rsidR="00EA1305" w:rsidRPr="00DD6590">
              <w:rPr>
                <w:rFonts w:asciiTheme="minorHAnsi" w:hAnsiTheme="minorHAnsi"/>
                <w:sz w:val="16"/>
                <w:szCs w:val="16"/>
              </w:rPr>
              <w:t xml:space="preserve">je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spojený so získaním stavebných povolení a ich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právoplatnosťou. V rámci projektu došlo k omeškaniu spôsobenému </w:t>
            </w:r>
            <w:r w:rsidR="00EA1305" w:rsidRPr="00DD6590">
              <w:rPr>
                <w:rFonts w:asciiTheme="minorHAnsi" w:hAnsiTheme="minorHAnsi"/>
                <w:sz w:val="16"/>
                <w:szCs w:val="16"/>
              </w:rPr>
              <w:t xml:space="preserve">zdĺhavým procesom vyjednávania a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získa</w:t>
            </w:r>
            <w:r w:rsidR="00EA1305" w:rsidRPr="00DD6590">
              <w:rPr>
                <w:rFonts w:asciiTheme="minorHAnsi" w:hAnsiTheme="minorHAnsi"/>
                <w:sz w:val="16"/>
                <w:szCs w:val="16"/>
              </w:rPr>
              <w:t>vania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stavebných povolení.  Podľa posledných </w:t>
            </w:r>
            <w:r w:rsidR="008A3416" w:rsidRPr="00DD6590">
              <w:rPr>
                <w:rFonts w:asciiTheme="minorHAnsi" w:hAnsiTheme="minorHAnsi"/>
                <w:sz w:val="16"/>
                <w:szCs w:val="16"/>
              </w:rPr>
              <w:t xml:space="preserve">informácií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z monitorovacej správy prijímateľa a</w:t>
            </w:r>
            <w:r w:rsidR="00A16962">
              <w:rPr>
                <w:rFonts w:asciiTheme="minorHAnsi" w:hAnsiTheme="minorHAnsi"/>
                <w:sz w:val="16"/>
                <w:szCs w:val="16"/>
              </w:rPr>
              <w:t xml:space="preserve"> informácií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poskytnutých projektovým manažérom by v prípade, že nedôjde k ďalšiemu zdržaniu, mal byť termín ukončenia projektu dodržaný. </w:t>
            </w:r>
          </w:p>
        </w:tc>
        <w:tc>
          <w:tcPr>
            <w:tcW w:w="680" w:type="pct"/>
          </w:tcPr>
          <w:p w14:paraId="210716BE" w14:textId="77777777" w:rsidR="00F50048" w:rsidRPr="00DD6590" w:rsidRDefault="00F50048" w:rsidP="00982C6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Vzhľadom k rizikám projektu  odporúčame dôsledne monitorovať realizáciu projektu, a to hlavne v rámci aktivity - získavanie stavebných povolení.</w:t>
            </w:r>
          </w:p>
        </w:tc>
      </w:tr>
      <w:tr w:rsidR="00972D96" w:rsidRPr="00DD6590" w14:paraId="79AA47B3" w14:textId="77777777" w:rsidTr="004265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</w:tcPr>
          <w:p w14:paraId="2915060E" w14:textId="77777777" w:rsidR="00972D96" w:rsidRPr="00DD6590" w:rsidRDefault="00972D96" w:rsidP="00972D96">
            <w:pPr>
              <w:spacing w:before="0" w:line="240" w:lineRule="auto"/>
              <w:jc w:val="center"/>
              <w:rPr>
                <w:b w:val="0"/>
                <w:sz w:val="16"/>
                <w:szCs w:val="16"/>
              </w:rPr>
            </w:pPr>
            <w:r w:rsidRPr="00DD6590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555" w:type="pct"/>
          </w:tcPr>
          <w:p w14:paraId="269602A8" w14:textId="77777777" w:rsidR="00972D96" w:rsidRPr="00DD6590" w:rsidRDefault="00972D96" w:rsidP="00972D96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Finančný nástroj pre implementáciu projektov Prioritnej osi 1 OPII</w:t>
            </w:r>
          </w:p>
        </w:tc>
        <w:tc>
          <w:tcPr>
            <w:tcW w:w="394" w:type="pct"/>
            <w:shd w:val="clear" w:color="auto" w:fill="D0EC9F"/>
          </w:tcPr>
          <w:p w14:paraId="63F0AA04" w14:textId="77777777" w:rsidR="00972D96" w:rsidRPr="00DD6590" w:rsidRDefault="00972D96" w:rsidP="00972D96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96" w:type="pct"/>
          </w:tcPr>
          <w:p w14:paraId="22B74421" w14:textId="5A3F48AC" w:rsidR="00972D96" w:rsidRPr="00DD6590" w:rsidRDefault="00972D96" w:rsidP="00972D96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21 775 175,05 </w:t>
            </w:r>
            <w:r w:rsidR="00495546">
              <w:rPr>
                <w:sz w:val="16"/>
                <w:szCs w:val="16"/>
              </w:rPr>
              <w:t>EUR</w:t>
            </w:r>
          </w:p>
        </w:tc>
        <w:tc>
          <w:tcPr>
            <w:tcW w:w="315" w:type="pct"/>
          </w:tcPr>
          <w:p w14:paraId="6BBD764F" w14:textId="2481992A" w:rsidR="00972D96" w:rsidRPr="00DD6590" w:rsidRDefault="006A27FF" w:rsidP="00972D96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</w:t>
            </w:r>
            <w:r w:rsidR="00171D55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416" w:type="pct"/>
          </w:tcPr>
          <w:p w14:paraId="5E70AA1C" w14:textId="448CD010" w:rsidR="00972D96" w:rsidRPr="00DD6590" w:rsidRDefault="00980D10" w:rsidP="00972D96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</w:t>
            </w:r>
            <w:r w:rsidR="00171D55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437" w:type="pct"/>
          </w:tcPr>
          <w:p w14:paraId="233AE64A" w14:textId="3EE0CF71" w:rsidR="00972D96" w:rsidRPr="00DD6590" w:rsidRDefault="00980D10" w:rsidP="00972D96">
            <w:pPr>
              <w:spacing w:before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</w:t>
            </w:r>
            <w:r w:rsidR="00171D55">
              <w:rPr>
                <w:sz w:val="16"/>
                <w:szCs w:val="16"/>
              </w:rPr>
              <w:t xml:space="preserve"> </w:t>
            </w:r>
            <w:r w:rsidR="006A27FF" w:rsidRPr="00DD6590">
              <w:rPr>
                <w:sz w:val="16"/>
                <w:szCs w:val="16"/>
              </w:rPr>
              <w:t>%</w:t>
            </w:r>
          </w:p>
        </w:tc>
        <w:tc>
          <w:tcPr>
            <w:tcW w:w="710" w:type="pct"/>
          </w:tcPr>
          <w:p w14:paraId="25A170DD" w14:textId="35DB5E99" w:rsidR="00972D96" w:rsidRPr="00DD6590" w:rsidRDefault="00972D96" w:rsidP="00972D96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P0903 </w:t>
            </w:r>
            <w:r w:rsidR="00171D55">
              <w:rPr>
                <w:rFonts w:asciiTheme="minorHAnsi" w:hAnsiTheme="minorHAnsi"/>
                <w:sz w:val="16"/>
                <w:szCs w:val="16"/>
              </w:rPr>
              <w:t>‒</w:t>
            </w:r>
            <w:r w:rsidRPr="00DD6590">
              <w:rPr>
                <w:sz w:val="16"/>
                <w:szCs w:val="16"/>
              </w:rPr>
              <w:t xml:space="preserve"> Počet obstaraných nových dráhových diagnostických vozidiel:</w:t>
            </w:r>
            <w:r w:rsidR="00171D55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0</w:t>
            </w:r>
            <w:r w:rsidR="00171D55">
              <w:rPr>
                <w:sz w:val="16"/>
                <w:szCs w:val="16"/>
              </w:rPr>
              <w:t> 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860" w:type="pct"/>
          </w:tcPr>
          <w:p w14:paraId="6365E875" w14:textId="572B6E80" w:rsidR="002D085E" w:rsidRPr="00DD6590" w:rsidRDefault="00972D96" w:rsidP="00972D96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Finančné nástroje sú špecifickou časťou jednotlivých OP, keďže na základe zmluvy sú prevedené finančné prostriedky (3</w:t>
            </w:r>
            <w:r w:rsidR="00A16962">
              <w:rPr>
                <w:sz w:val="16"/>
                <w:szCs w:val="16"/>
              </w:rPr>
              <w:t> </w:t>
            </w:r>
            <w:r w:rsidRPr="00DD6590">
              <w:rPr>
                <w:sz w:val="16"/>
                <w:szCs w:val="16"/>
              </w:rPr>
              <w:t xml:space="preserve">% z alokácie OPII) na spoločnosť Slovak </w:t>
            </w:r>
            <w:proofErr w:type="spellStart"/>
            <w:r w:rsidRPr="00DD6590">
              <w:rPr>
                <w:sz w:val="16"/>
                <w:szCs w:val="16"/>
              </w:rPr>
              <w:t>Investment</w:t>
            </w:r>
            <w:proofErr w:type="spellEnd"/>
            <w:r w:rsidRPr="00DD6590">
              <w:rPr>
                <w:sz w:val="16"/>
                <w:szCs w:val="16"/>
              </w:rPr>
              <w:t xml:space="preserve"> Holding, a.s.</w:t>
            </w:r>
            <w:r w:rsidR="00A16962">
              <w:rPr>
                <w:sz w:val="16"/>
                <w:szCs w:val="16"/>
              </w:rPr>
              <w:t>,</w:t>
            </w:r>
            <w:r w:rsidRPr="00DD6590">
              <w:rPr>
                <w:sz w:val="16"/>
                <w:szCs w:val="16"/>
              </w:rPr>
              <w:t xml:space="preserve"> a tá následne podpisuje zmluvy o návratnej pomoci s konečnými prijímateľmi</w:t>
            </w:r>
            <w:r w:rsidR="002D085E" w:rsidRPr="00DD6590">
              <w:rPr>
                <w:sz w:val="16"/>
                <w:szCs w:val="16"/>
              </w:rPr>
              <w:t>.</w:t>
            </w:r>
          </w:p>
          <w:p w14:paraId="36D7BB7A" w14:textId="0463FCF8" w:rsidR="002D085E" w:rsidRPr="00DD6590" w:rsidRDefault="002D085E" w:rsidP="002D085E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Podľa informácií z výročnej správy</w:t>
            </w:r>
            <w:r w:rsidR="00980D10" w:rsidRPr="00DD6590">
              <w:rPr>
                <w:sz w:val="16"/>
                <w:szCs w:val="16"/>
              </w:rPr>
              <w:t xml:space="preserve"> v</w:t>
            </w:r>
            <w:r w:rsidRPr="00DD6590">
              <w:rPr>
                <w:sz w:val="16"/>
                <w:szCs w:val="16"/>
              </w:rPr>
              <w:t xml:space="preserve"> nadväznosti na žiadosť ŽSR, v priebehu decembra 2018 MF SR a následne aj MDV SR vyjadrilo svoj písomný súhlas s prevzatím investičného účelového úveru od SIH v roku 2019 v sume 30 mil. EUR.</w:t>
            </w:r>
          </w:p>
          <w:p w14:paraId="3D7388CE" w14:textId="7A784874" w:rsidR="002D085E" w:rsidRPr="00DD6590" w:rsidRDefault="002D085E" w:rsidP="00A16962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Finančné prostriedky boli na základe schváleného projektu dňa 8.</w:t>
            </w:r>
            <w:r w:rsidR="00A16962">
              <w:rPr>
                <w:sz w:val="16"/>
                <w:szCs w:val="16"/>
              </w:rPr>
              <w:t> </w:t>
            </w:r>
            <w:r w:rsidRPr="00DD6590">
              <w:rPr>
                <w:sz w:val="16"/>
                <w:szCs w:val="16"/>
              </w:rPr>
              <w:t>8.</w:t>
            </w:r>
            <w:r w:rsidR="00A16962">
              <w:rPr>
                <w:sz w:val="16"/>
                <w:szCs w:val="16"/>
              </w:rPr>
              <w:t> </w:t>
            </w:r>
            <w:r w:rsidRPr="00DD6590">
              <w:rPr>
                <w:sz w:val="16"/>
                <w:szCs w:val="16"/>
              </w:rPr>
              <w:t xml:space="preserve">2016 </w:t>
            </w:r>
            <w:r w:rsidR="00980D10" w:rsidRPr="00DD6590">
              <w:rPr>
                <w:sz w:val="16"/>
                <w:szCs w:val="16"/>
              </w:rPr>
              <w:t>prevedené na účet SIH</w:t>
            </w:r>
            <w:r w:rsidR="00A16962">
              <w:rPr>
                <w:sz w:val="16"/>
                <w:szCs w:val="16"/>
              </w:rPr>
              <w:t>,</w:t>
            </w:r>
            <w:r w:rsidR="00980D10" w:rsidRPr="00DD6590">
              <w:rPr>
                <w:sz w:val="16"/>
                <w:szCs w:val="16"/>
              </w:rPr>
              <w:t xml:space="preserve"> </w:t>
            </w:r>
            <w:r w:rsidR="00A16962">
              <w:rPr>
                <w:sz w:val="16"/>
                <w:szCs w:val="16"/>
              </w:rPr>
              <w:t>ale</w:t>
            </w:r>
            <w:r w:rsidR="00980D10" w:rsidRPr="00DD6590">
              <w:rPr>
                <w:sz w:val="16"/>
                <w:szCs w:val="16"/>
              </w:rPr>
              <w:t xml:space="preserve"> v rámci </w:t>
            </w:r>
            <w:r w:rsidRPr="00DD6590">
              <w:rPr>
                <w:sz w:val="16"/>
                <w:szCs w:val="16"/>
              </w:rPr>
              <w:t xml:space="preserve"> </w:t>
            </w:r>
            <w:r w:rsidR="00980D10" w:rsidRPr="00DD6590">
              <w:rPr>
                <w:sz w:val="16"/>
                <w:szCs w:val="16"/>
              </w:rPr>
              <w:t>SIH neboli čerpané.</w:t>
            </w:r>
            <w:r w:rsidR="000E6138" w:rsidRPr="00DD6590">
              <w:rPr>
                <w:sz w:val="16"/>
                <w:szCs w:val="16"/>
              </w:rPr>
              <w:t xml:space="preserve"> Projekt bude využitý na financovanie </w:t>
            </w:r>
            <w:r w:rsidR="000E6138" w:rsidRPr="00DD6590">
              <w:t xml:space="preserve"> </w:t>
            </w:r>
            <w:r w:rsidR="000E6138" w:rsidRPr="00DD6590">
              <w:rPr>
                <w:sz w:val="16"/>
                <w:szCs w:val="16"/>
              </w:rPr>
              <w:lastRenderedPageBreak/>
              <w:t>nových dráhových diagnostických vozidiel.</w:t>
            </w:r>
          </w:p>
        </w:tc>
        <w:tc>
          <w:tcPr>
            <w:tcW w:w="680" w:type="pct"/>
          </w:tcPr>
          <w:p w14:paraId="14541B5C" w14:textId="77777777" w:rsidR="00972D96" w:rsidRPr="00DD6590" w:rsidRDefault="00972D96" w:rsidP="00972D96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Dôsledne monitorovať poskytovanie pomoci cez FN.</w:t>
            </w:r>
          </w:p>
        </w:tc>
      </w:tr>
      <w:tr w:rsidR="00B9021B" w:rsidRPr="00DD6590" w14:paraId="7527583D" w14:textId="77777777" w:rsidTr="004265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" w:type="pct"/>
            <w:shd w:val="clear" w:color="auto" w:fill="E7F5CF" w:themeFill="accent1" w:themeFillTint="33"/>
          </w:tcPr>
          <w:p w14:paraId="148D8F79" w14:textId="77777777" w:rsidR="00F50048" w:rsidRPr="00DD6590" w:rsidRDefault="00F50048" w:rsidP="00D55683">
            <w:pPr>
              <w:spacing w:before="0" w:line="240" w:lineRule="auto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E7F5CF" w:themeFill="accent1" w:themeFillTint="33"/>
          </w:tcPr>
          <w:p w14:paraId="15C5C8BC" w14:textId="77777777" w:rsidR="00F50048" w:rsidRPr="00DD6590" w:rsidRDefault="00F50048" w:rsidP="00D5568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>Celkom</w:t>
            </w:r>
          </w:p>
        </w:tc>
        <w:tc>
          <w:tcPr>
            <w:tcW w:w="394" w:type="pct"/>
            <w:shd w:val="clear" w:color="auto" w:fill="E7F5CF" w:themeFill="accent1" w:themeFillTint="33"/>
          </w:tcPr>
          <w:p w14:paraId="5FB29B7A" w14:textId="77777777" w:rsidR="00F50048" w:rsidRPr="00DD6590" w:rsidRDefault="00F50048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96" w:type="pct"/>
            <w:shd w:val="clear" w:color="auto" w:fill="E7F5CF" w:themeFill="accent1" w:themeFillTint="33"/>
          </w:tcPr>
          <w:p w14:paraId="62038696" w14:textId="2C6168DA" w:rsidR="00F50048" w:rsidRPr="00DD6590" w:rsidRDefault="00F4301C" w:rsidP="000E6138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 xml:space="preserve">561 148 </w:t>
            </w:r>
            <w:r w:rsidR="000E6138" w:rsidRPr="00DD6590">
              <w:rPr>
                <w:rFonts w:asciiTheme="minorHAnsi" w:hAnsiTheme="minorHAnsi"/>
                <w:b/>
                <w:sz w:val="16"/>
                <w:szCs w:val="16"/>
              </w:rPr>
              <w:t>993,05</w:t>
            </w: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495546">
              <w:rPr>
                <w:rFonts w:asciiTheme="minorHAnsi" w:hAnsiTheme="minorHAnsi"/>
                <w:b/>
                <w:sz w:val="16"/>
                <w:szCs w:val="16"/>
              </w:rPr>
              <w:t>EUR</w:t>
            </w:r>
          </w:p>
        </w:tc>
        <w:tc>
          <w:tcPr>
            <w:tcW w:w="315" w:type="pct"/>
            <w:shd w:val="clear" w:color="auto" w:fill="E7F5CF" w:themeFill="accent1" w:themeFillTint="33"/>
          </w:tcPr>
          <w:p w14:paraId="3C4F1E94" w14:textId="755F62CC" w:rsidR="00F50048" w:rsidRPr="00DD6590" w:rsidRDefault="00F4301C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>35,84</w:t>
            </w:r>
            <w:r w:rsidR="00495546">
              <w:rPr>
                <w:rFonts w:asciiTheme="minorHAnsi" w:hAnsiTheme="minorHAnsi"/>
                <w:b/>
                <w:sz w:val="16"/>
                <w:szCs w:val="16"/>
              </w:rPr>
              <w:t> </w:t>
            </w:r>
            <w:r w:rsidR="00F50048" w:rsidRPr="00DD6590">
              <w:rPr>
                <w:rFonts w:asciiTheme="minorHAnsi" w:hAnsiTheme="minorHAnsi"/>
                <w:b/>
                <w:sz w:val="16"/>
                <w:szCs w:val="16"/>
              </w:rPr>
              <w:t>%</w:t>
            </w:r>
            <w:r w:rsidR="00F50048" w:rsidRPr="00DD6590">
              <w:rPr>
                <w:rStyle w:val="FootnoteReference"/>
                <w:rFonts w:asciiTheme="minorHAnsi" w:hAnsiTheme="minorHAnsi"/>
                <w:b/>
                <w:sz w:val="16"/>
                <w:szCs w:val="16"/>
              </w:rPr>
              <w:footnoteReference w:id="6"/>
            </w:r>
          </w:p>
        </w:tc>
        <w:tc>
          <w:tcPr>
            <w:tcW w:w="416" w:type="pct"/>
            <w:shd w:val="clear" w:color="auto" w:fill="E7F5CF" w:themeFill="accent1" w:themeFillTint="33"/>
          </w:tcPr>
          <w:p w14:paraId="4254F7CC" w14:textId="77777777" w:rsidR="00F50048" w:rsidRPr="00DD6590" w:rsidRDefault="00F50048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E7F5CF" w:themeFill="accent1" w:themeFillTint="33"/>
          </w:tcPr>
          <w:p w14:paraId="50B31364" w14:textId="77777777" w:rsidR="00F50048" w:rsidRPr="00DD6590" w:rsidRDefault="00F50048" w:rsidP="00D55683">
            <w:pPr>
              <w:spacing w:before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10" w:type="pct"/>
            <w:shd w:val="clear" w:color="auto" w:fill="E7F5CF" w:themeFill="accent1" w:themeFillTint="33"/>
          </w:tcPr>
          <w:p w14:paraId="00FBCBB5" w14:textId="77777777" w:rsidR="00F50048" w:rsidRPr="00DD6590" w:rsidRDefault="00F50048" w:rsidP="00D5568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60" w:type="pct"/>
            <w:shd w:val="clear" w:color="auto" w:fill="E7F5CF" w:themeFill="accent1" w:themeFillTint="33"/>
          </w:tcPr>
          <w:p w14:paraId="56C29334" w14:textId="77777777" w:rsidR="00F50048" w:rsidRPr="00DD6590" w:rsidRDefault="00F50048" w:rsidP="00D5568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E7F5CF" w:themeFill="accent1" w:themeFillTint="33"/>
          </w:tcPr>
          <w:p w14:paraId="0196116E" w14:textId="77777777" w:rsidR="00F50048" w:rsidRPr="00DD6590" w:rsidRDefault="00F50048" w:rsidP="00D5568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</w:tbl>
    <w:p w14:paraId="6923B279" w14:textId="77777777" w:rsidR="00F50048" w:rsidRPr="00DD6590" w:rsidRDefault="00F50048" w:rsidP="00B0035E">
      <w:pPr>
        <w:pStyle w:val="Heading2"/>
      </w:pPr>
      <w:bookmarkStart w:id="14" w:name="_Ref4416980"/>
      <w:bookmarkStart w:id="15" w:name="_Ref4417289"/>
      <w:bookmarkStart w:id="16" w:name="_Toc9845766"/>
      <w:r w:rsidRPr="00DD6590">
        <w:t xml:space="preserve">Vyhodnotenie plnenia výstupových, výsledkových a finančných ukazovateľov v rámci </w:t>
      </w:r>
      <w:bookmarkEnd w:id="14"/>
      <w:r w:rsidR="009917EA" w:rsidRPr="00DD6590">
        <w:t>PO1</w:t>
      </w:r>
      <w:bookmarkEnd w:id="15"/>
      <w:bookmarkEnd w:id="16"/>
    </w:p>
    <w:p w14:paraId="1982AA85" w14:textId="77777777" w:rsidR="00F50048" w:rsidRPr="00DD6590" w:rsidRDefault="00F50048" w:rsidP="00F50048">
      <w:pPr>
        <w:rPr>
          <w:i/>
          <w:u w:val="single"/>
        </w:rPr>
      </w:pPr>
      <w:r w:rsidRPr="00DD6590">
        <w:rPr>
          <w:i/>
          <w:u w:val="single"/>
        </w:rPr>
        <w:t>Vyhodnotenie ukazovateľov výsledku</w:t>
      </w:r>
    </w:p>
    <w:p w14:paraId="44D47819" w14:textId="614249FA" w:rsidR="00F50048" w:rsidRPr="00DD6590" w:rsidRDefault="00F50048" w:rsidP="00F50048">
      <w:r w:rsidRPr="00DD6590">
        <w:t>K 31.</w:t>
      </w:r>
      <w:r w:rsidR="00B662EA">
        <w:rPr>
          <w:lang w:val="en-US"/>
        </w:rPr>
        <w:t> </w:t>
      </w:r>
      <w:r w:rsidRPr="00DD6590">
        <w:t>12.</w:t>
      </w:r>
      <w:r w:rsidR="00B662EA">
        <w:t> </w:t>
      </w:r>
      <w:r w:rsidRPr="00DD6590">
        <w:t xml:space="preserve">2018 bol riadne ukončený len jeden projekt, preto vyhodnotenie reálnosti naplnenia ukazovateľov výsledku je možné realizovať len na základe vyhodnotenia cieľovej hodnoty projektov v realizácii. </w:t>
      </w:r>
    </w:p>
    <w:p w14:paraId="2610315F" w14:textId="53CB88B7" w:rsidR="00E16394" w:rsidRPr="00DD6590" w:rsidRDefault="00E16394" w:rsidP="00E16394">
      <w:pPr>
        <w:pStyle w:val="Caption"/>
      </w:pPr>
      <w:bookmarkStart w:id="17" w:name="_Toc9845838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D23114">
        <w:rPr>
          <w:noProof/>
        </w:rPr>
        <w:t>7</w:t>
      </w:r>
      <w:r w:rsidRPr="00DD6590">
        <w:fldChar w:fldCharType="end"/>
      </w:r>
      <w:r w:rsidRPr="00DD6590">
        <w:t xml:space="preserve"> Vyhodnotenie ukazovateľov výsledku PO1</w:t>
      </w:r>
      <w:bookmarkEnd w:id="17"/>
    </w:p>
    <w:tbl>
      <w:tblPr>
        <w:tblStyle w:val="TableGrid"/>
        <w:tblW w:w="14584" w:type="dxa"/>
        <w:tblInd w:w="-26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611"/>
        <w:gridCol w:w="1348"/>
        <w:gridCol w:w="1263"/>
        <w:gridCol w:w="1260"/>
        <w:gridCol w:w="1350"/>
        <w:gridCol w:w="1170"/>
        <w:gridCol w:w="989"/>
        <w:gridCol w:w="4139"/>
      </w:tblGrid>
      <w:tr w:rsidR="009C5691" w:rsidRPr="00DD6590" w14:paraId="030E558C" w14:textId="77777777" w:rsidTr="00CE30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</w:trPr>
        <w:tc>
          <w:tcPr>
            <w:tcW w:w="156" w:type="pct"/>
            <w:shd w:val="clear" w:color="auto" w:fill="DBDCDE" w:themeFill="text2" w:themeFillTint="33"/>
            <w:vAlign w:val="center"/>
          </w:tcPr>
          <w:p w14:paraId="5642DEA1" w14:textId="77777777" w:rsidR="00F50048" w:rsidRPr="00DD6590" w:rsidRDefault="00DE111C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proofErr w:type="spellStart"/>
            <w:r w:rsidRPr="00DD6590">
              <w:rPr>
                <w:b/>
                <w:sz w:val="16"/>
                <w:szCs w:val="16"/>
              </w:rPr>
              <w:t>P.č</w:t>
            </w:r>
            <w:proofErr w:type="spellEnd"/>
            <w:r w:rsidRPr="00DD6590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895" w:type="pct"/>
            <w:shd w:val="clear" w:color="auto" w:fill="DBDCDE" w:themeFill="text2" w:themeFillTint="33"/>
            <w:vAlign w:val="center"/>
          </w:tcPr>
          <w:p w14:paraId="5E63AD83" w14:textId="77777777" w:rsidR="00F50048" w:rsidRPr="00DD6590" w:rsidRDefault="00F50048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Špecifické ukazovatele výsledku programu zodpovedajúce špecifickému cieľu</w:t>
            </w:r>
          </w:p>
        </w:tc>
        <w:tc>
          <w:tcPr>
            <w:tcW w:w="462" w:type="pct"/>
            <w:shd w:val="clear" w:color="auto" w:fill="DBDCDE" w:themeFill="text2" w:themeFillTint="33"/>
            <w:vAlign w:val="center"/>
          </w:tcPr>
          <w:p w14:paraId="3104716D" w14:textId="77777777" w:rsidR="00F50048" w:rsidRPr="00DD6590" w:rsidRDefault="00F50048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Východisková hodnota (2013)</w:t>
            </w:r>
          </w:p>
        </w:tc>
        <w:tc>
          <w:tcPr>
            <w:tcW w:w="433" w:type="pct"/>
            <w:shd w:val="clear" w:color="auto" w:fill="DBDCDE" w:themeFill="text2" w:themeFillTint="33"/>
            <w:vAlign w:val="center"/>
          </w:tcPr>
          <w:p w14:paraId="12803F96" w14:textId="1F165CF5" w:rsidR="00F50048" w:rsidRPr="00DD6590" w:rsidRDefault="00F50048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Cieľová hodnota</w:t>
            </w:r>
            <w:r w:rsidR="00E67729" w:rsidRPr="00DD6590">
              <w:rPr>
                <w:b/>
                <w:sz w:val="16"/>
                <w:szCs w:val="16"/>
              </w:rPr>
              <w:t xml:space="preserve"> OPII</w:t>
            </w:r>
            <w:r w:rsidRPr="00DD6590">
              <w:rPr>
                <w:b/>
                <w:sz w:val="16"/>
                <w:szCs w:val="16"/>
              </w:rPr>
              <w:t xml:space="preserve"> (2023)</w:t>
            </w:r>
          </w:p>
        </w:tc>
        <w:tc>
          <w:tcPr>
            <w:tcW w:w="432" w:type="pct"/>
            <w:shd w:val="clear" w:color="auto" w:fill="DBDCDE" w:themeFill="text2" w:themeFillTint="33"/>
            <w:vAlign w:val="center"/>
          </w:tcPr>
          <w:p w14:paraId="5D1420ED" w14:textId="26AD8B07" w:rsidR="00F50048" w:rsidRPr="00DD6590" w:rsidRDefault="00972D96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Plánovaná úspora </w:t>
            </w:r>
            <w:r w:rsidR="00F50048" w:rsidRPr="00DD6590">
              <w:rPr>
                <w:b/>
                <w:sz w:val="16"/>
                <w:szCs w:val="16"/>
              </w:rPr>
              <w:br/>
              <w:t>(2013-2023)</w:t>
            </w:r>
          </w:p>
        </w:tc>
        <w:tc>
          <w:tcPr>
            <w:tcW w:w="463" w:type="pct"/>
            <w:shd w:val="clear" w:color="auto" w:fill="DBDCDE" w:themeFill="text2" w:themeFillTint="33"/>
            <w:vAlign w:val="center"/>
          </w:tcPr>
          <w:p w14:paraId="68401038" w14:textId="77777777" w:rsidR="00F50048" w:rsidRPr="00DD6590" w:rsidRDefault="00F50048" w:rsidP="00527BCC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Cieľové hodnoty projektov </w:t>
            </w:r>
            <w:r w:rsidRPr="00DD6590">
              <w:rPr>
                <w:b/>
                <w:sz w:val="16"/>
                <w:szCs w:val="16"/>
              </w:rPr>
              <w:br/>
              <w:t>v realizácii</w:t>
            </w:r>
          </w:p>
        </w:tc>
        <w:tc>
          <w:tcPr>
            <w:tcW w:w="401" w:type="pct"/>
            <w:shd w:val="clear" w:color="auto" w:fill="DBDCDE" w:themeFill="text2" w:themeFillTint="33"/>
            <w:vAlign w:val="center"/>
          </w:tcPr>
          <w:p w14:paraId="7CBB124D" w14:textId="77777777" w:rsidR="00F50048" w:rsidRPr="00DD6590" w:rsidRDefault="00F50048" w:rsidP="00527BCC">
            <w:pPr>
              <w:spacing w:before="60" w:after="0" w:line="240" w:lineRule="auto"/>
              <w:ind w:left="68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Hodnotenie</w:t>
            </w:r>
          </w:p>
        </w:tc>
        <w:tc>
          <w:tcPr>
            <w:tcW w:w="339" w:type="pct"/>
            <w:shd w:val="clear" w:color="auto" w:fill="DBDCDE" w:themeFill="text2" w:themeFillTint="33"/>
            <w:vAlign w:val="center"/>
          </w:tcPr>
          <w:p w14:paraId="2FBA0BA2" w14:textId="77777777" w:rsidR="00F50048" w:rsidRPr="00DD6590" w:rsidRDefault="00F50048" w:rsidP="00527BCC">
            <w:pPr>
              <w:spacing w:before="60" w:after="0" w:line="240" w:lineRule="auto"/>
              <w:ind w:left="68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Počet projektov</w:t>
            </w:r>
          </w:p>
        </w:tc>
        <w:tc>
          <w:tcPr>
            <w:tcW w:w="1419" w:type="pct"/>
            <w:shd w:val="clear" w:color="auto" w:fill="DBDCDE" w:themeFill="text2" w:themeFillTint="33"/>
            <w:vAlign w:val="center"/>
          </w:tcPr>
          <w:p w14:paraId="0F5D22D7" w14:textId="77777777" w:rsidR="00F50048" w:rsidRPr="00DD6590" w:rsidRDefault="00F50048" w:rsidP="00527BCC">
            <w:pPr>
              <w:spacing w:before="60" w:after="0" w:line="240" w:lineRule="auto"/>
              <w:ind w:left="68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Hlavné zistenia a odporúčania</w:t>
            </w:r>
          </w:p>
        </w:tc>
      </w:tr>
      <w:tr w:rsidR="00F50048" w:rsidRPr="00DD6590" w14:paraId="7761BD57" w14:textId="77777777" w:rsidTr="00CE3028">
        <w:trPr>
          <w:trHeight w:val="184"/>
        </w:trPr>
        <w:tc>
          <w:tcPr>
            <w:tcW w:w="156" w:type="pct"/>
            <w:vAlign w:val="center"/>
          </w:tcPr>
          <w:p w14:paraId="57F47B41" w14:textId="77777777" w:rsidR="00F50048" w:rsidRPr="00DD6590" w:rsidRDefault="00F5004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</w:t>
            </w:r>
          </w:p>
        </w:tc>
        <w:tc>
          <w:tcPr>
            <w:tcW w:w="895" w:type="pct"/>
            <w:vAlign w:val="center"/>
          </w:tcPr>
          <w:p w14:paraId="59294A93" w14:textId="77777777" w:rsidR="00F50048" w:rsidRPr="00DD6590" w:rsidRDefault="00F50048" w:rsidP="00527BCC">
            <w:pPr>
              <w:spacing w:before="60" w:after="0" w:line="240" w:lineRule="auto"/>
              <w:ind w:left="18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Úspora času v železničnej do</w:t>
            </w:r>
            <w:r w:rsidR="00D21B5F" w:rsidRPr="00DD6590">
              <w:rPr>
                <w:sz w:val="16"/>
                <w:szCs w:val="16"/>
              </w:rPr>
              <w:t xml:space="preserve">prave na základnej sieti TEN-T </w:t>
            </w:r>
          </w:p>
        </w:tc>
        <w:tc>
          <w:tcPr>
            <w:tcW w:w="462" w:type="pct"/>
            <w:vAlign w:val="center"/>
          </w:tcPr>
          <w:p w14:paraId="201ED1B4" w14:textId="77777777" w:rsidR="00F50048" w:rsidRPr="00DD6590" w:rsidRDefault="00F50048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23 697 461 EUR</w:t>
            </w:r>
          </w:p>
        </w:tc>
        <w:tc>
          <w:tcPr>
            <w:tcW w:w="433" w:type="pct"/>
            <w:vAlign w:val="center"/>
          </w:tcPr>
          <w:p w14:paraId="595FBA3C" w14:textId="77777777" w:rsidR="00F50048" w:rsidRPr="00DD6590" w:rsidRDefault="00F5004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18 910 877 EUR</w:t>
            </w:r>
          </w:p>
        </w:tc>
        <w:tc>
          <w:tcPr>
            <w:tcW w:w="432" w:type="pct"/>
            <w:vAlign w:val="center"/>
          </w:tcPr>
          <w:p w14:paraId="48787374" w14:textId="77777777" w:rsidR="00F50048" w:rsidRPr="00DD6590" w:rsidRDefault="00F50048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4 786 584 EUR</w:t>
            </w:r>
          </w:p>
        </w:tc>
        <w:tc>
          <w:tcPr>
            <w:tcW w:w="463" w:type="pct"/>
            <w:vAlign w:val="center"/>
          </w:tcPr>
          <w:p w14:paraId="4FF1F2F2" w14:textId="77777777" w:rsidR="00F50048" w:rsidRPr="00DD6590" w:rsidRDefault="00F50048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</w:rPr>
              <w:t>3 432 886</w:t>
            </w:r>
            <w:r w:rsidRPr="00DD6590">
              <w:rPr>
                <w:color w:val="000000"/>
                <w:sz w:val="16"/>
                <w:szCs w:val="16"/>
                <w:lang w:eastAsia="cs-CZ"/>
              </w:rPr>
              <w:t xml:space="preserve"> EUR</w:t>
            </w:r>
          </w:p>
        </w:tc>
        <w:tc>
          <w:tcPr>
            <w:tcW w:w="401" w:type="pct"/>
            <w:shd w:val="clear" w:color="auto" w:fill="FFCD00"/>
            <w:vAlign w:val="center"/>
          </w:tcPr>
          <w:p w14:paraId="10020489" w14:textId="5685C3C4" w:rsidR="00F50048" w:rsidRPr="00DD6590" w:rsidRDefault="00F50048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72</w:t>
            </w:r>
            <w:r w:rsidR="00B662EA">
              <w:rPr>
                <w:color w:val="000000"/>
                <w:sz w:val="16"/>
                <w:szCs w:val="16"/>
              </w:rPr>
              <w:t> </w:t>
            </w:r>
            <w:r w:rsidRPr="00DD6590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339" w:type="pct"/>
            <w:vAlign w:val="center"/>
          </w:tcPr>
          <w:p w14:paraId="3874AE59" w14:textId="77777777" w:rsidR="00F50048" w:rsidRPr="00DD6590" w:rsidRDefault="00F50048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9" w:type="pct"/>
            <w:vAlign w:val="center"/>
          </w:tcPr>
          <w:p w14:paraId="6F51571C" w14:textId="6FFA4F38" w:rsidR="00F50048" w:rsidRPr="00DD6590" w:rsidRDefault="00F50048" w:rsidP="00527BCC">
            <w:pPr>
              <w:spacing w:before="60" w:after="0" w:line="240" w:lineRule="auto"/>
              <w:jc w:val="left"/>
              <w:rPr>
                <w:b/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Úspora času v železničnej doprave je výsledkovým ukazovateľom v rámci dvoch projektov</w:t>
            </w:r>
            <w:r w:rsidR="00DA29BD" w:rsidRPr="00DD6590">
              <w:rPr>
                <w:color w:val="000000"/>
                <w:sz w:val="16"/>
                <w:szCs w:val="16"/>
              </w:rPr>
              <w:t xml:space="preserve"> (jeden </w:t>
            </w:r>
            <w:r w:rsidR="00B662EA">
              <w:rPr>
                <w:color w:val="000000"/>
                <w:sz w:val="16"/>
                <w:szCs w:val="16"/>
              </w:rPr>
              <w:t xml:space="preserve">je </w:t>
            </w:r>
            <w:r w:rsidR="00DA29BD" w:rsidRPr="00DD6590">
              <w:rPr>
                <w:color w:val="000000"/>
                <w:sz w:val="16"/>
                <w:szCs w:val="16"/>
              </w:rPr>
              <w:t>ukončený a jeden v realizácii)</w:t>
            </w:r>
            <w:r w:rsidRPr="00DD6590">
              <w:rPr>
                <w:color w:val="000000"/>
                <w:sz w:val="16"/>
                <w:szCs w:val="16"/>
              </w:rPr>
              <w:t>.</w:t>
            </w:r>
            <w:r w:rsidR="000808A3" w:rsidRPr="00DD6590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 xml:space="preserve">V prípade naplnenia cieľovej hodnoty týchto projektov bude cieľová hodnota ukazovateľa úspora času (v EUR) </w:t>
            </w:r>
            <w:r w:rsidRPr="00DD6590">
              <w:rPr>
                <w:b/>
                <w:color w:val="000000"/>
                <w:sz w:val="16"/>
                <w:szCs w:val="16"/>
              </w:rPr>
              <w:t>naplnená na 72</w:t>
            </w:r>
            <w:r w:rsidR="00B662EA">
              <w:rPr>
                <w:b/>
                <w:color w:val="000000"/>
                <w:sz w:val="16"/>
                <w:szCs w:val="16"/>
              </w:rPr>
              <w:t> </w:t>
            </w:r>
            <w:r w:rsidRPr="00DD6590">
              <w:rPr>
                <w:b/>
                <w:color w:val="000000"/>
                <w:sz w:val="16"/>
                <w:szCs w:val="16"/>
              </w:rPr>
              <w:t xml:space="preserve">%. </w:t>
            </w:r>
          </w:p>
          <w:p w14:paraId="1E87B1A7" w14:textId="5618FC5C" w:rsidR="00F50048" w:rsidRPr="00DD6590" w:rsidRDefault="00F50048" w:rsidP="00527BCC">
            <w:pPr>
              <w:spacing w:before="60" w:after="0" w:line="240" w:lineRule="auto"/>
              <w:jc w:val="left"/>
              <w:rPr>
                <w:b/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Na základe dotazníka boli projektovými manažérmi identifikované štyri plánované projekty, ktoré budú napĺňať tento ukazovateľ. Projekt Dostavba zriaďovacej stanice Žilina Teplička, ktorého schválenie sa predpokladá v priebehu roka</w:t>
            </w:r>
            <w:r w:rsidR="000E6138" w:rsidRPr="00DD6590">
              <w:rPr>
                <w:color w:val="000000"/>
                <w:sz w:val="16"/>
                <w:szCs w:val="16"/>
              </w:rPr>
              <w:t xml:space="preserve"> 2020</w:t>
            </w:r>
            <w:r w:rsidRPr="00DD6590">
              <w:rPr>
                <w:color w:val="000000"/>
                <w:sz w:val="16"/>
                <w:szCs w:val="16"/>
              </w:rPr>
              <w:t>, by mal zaistiť naplnenie tohto ukazovateľa</w:t>
            </w:r>
            <w:r w:rsidR="006436E5" w:rsidRPr="00DD6590">
              <w:rPr>
                <w:color w:val="000000"/>
                <w:sz w:val="16"/>
                <w:szCs w:val="16"/>
              </w:rPr>
              <w:t>.</w:t>
            </w:r>
          </w:p>
          <w:p w14:paraId="56B71D79" w14:textId="143271FC" w:rsidR="00F50048" w:rsidRPr="00DD6590" w:rsidRDefault="00F50048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</w:t>
            </w:r>
            <w:r w:rsidR="007B11EC" w:rsidRPr="00DD6590">
              <w:rPr>
                <w:color w:val="000000"/>
                <w:sz w:val="16"/>
                <w:szCs w:val="16"/>
              </w:rPr>
              <w:t>e</w:t>
            </w:r>
            <w:r w:rsidRPr="00DD6590">
              <w:rPr>
                <w:color w:val="000000"/>
                <w:sz w:val="16"/>
                <w:szCs w:val="16"/>
              </w:rPr>
              <w:t>:</w:t>
            </w:r>
          </w:p>
          <w:p w14:paraId="49F28193" w14:textId="45D288F6" w:rsidR="00F50048" w:rsidRPr="00DD6590" w:rsidRDefault="00D410C4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U</w:t>
            </w:r>
            <w:r w:rsidR="00F50048" w:rsidRPr="00DD6590">
              <w:rPr>
                <w:color w:val="000000"/>
                <w:sz w:val="16"/>
                <w:szCs w:val="16"/>
              </w:rPr>
              <w:t>rýchliť schválenie projektu Dostavba zriaďovacej stanice Žilina Teplička</w:t>
            </w:r>
            <w:r w:rsidRPr="00DD6590">
              <w:rPr>
                <w:color w:val="000000"/>
                <w:sz w:val="16"/>
                <w:szCs w:val="16"/>
              </w:rPr>
              <w:t>, vrátane časti, ktorá pôvodne mala byť financovaná z PO5</w:t>
            </w:r>
            <w:r w:rsidR="00045FE8" w:rsidRPr="00DD6590">
              <w:rPr>
                <w:color w:val="000000"/>
                <w:sz w:val="16"/>
                <w:szCs w:val="16"/>
              </w:rPr>
              <w:t>.</w:t>
            </w:r>
          </w:p>
        </w:tc>
      </w:tr>
      <w:tr w:rsidR="00F50048" w:rsidRPr="00DD6590" w14:paraId="5556BF2A" w14:textId="77777777" w:rsidTr="00CE3028">
        <w:trPr>
          <w:trHeight w:val="184"/>
        </w:trPr>
        <w:tc>
          <w:tcPr>
            <w:tcW w:w="156" w:type="pct"/>
            <w:vAlign w:val="center"/>
          </w:tcPr>
          <w:p w14:paraId="7BA9A3BE" w14:textId="77777777" w:rsidR="00F50048" w:rsidRPr="00DD6590" w:rsidRDefault="00F5004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2</w:t>
            </w:r>
          </w:p>
        </w:tc>
        <w:tc>
          <w:tcPr>
            <w:tcW w:w="895" w:type="pct"/>
            <w:vAlign w:val="center"/>
          </w:tcPr>
          <w:p w14:paraId="35FBBB04" w14:textId="46E3E112" w:rsidR="00F50048" w:rsidRPr="00DD6590" w:rsidRDefault="00CE3028" w:rsidP="00527BCC">
            <w:pPr>
              <w:spacing w:before="60" w:after="0" w:line="240" w:lineRule="auto"/>
              <w:ind w:left="18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Úspora produkcie emisií PM</w:t>
            </w:r>
            <w:r w:rsidRPr="00D00238">
              <w:rPr>
                <w:sz w:val="16"/>
                <w:szCs w:val="16"/>
                <w:vertAlign w:val="subscript"/>
              </w:rPr>
              <w:t>10</w:t>
            </w:r>
            <w:r w:rsidRPr="00DD6590">
              <w:rPr>
                <w:sz w:val="16"/>
                <w:szCs w:val="16"/>
              </w:rPr>
              <w:t xml:space="preserve"> (vplyvom modernizácie tratí) </w:t>
            </w:r>
            <w:r w:rsidR="00D21B5F" w:rsidRPr="00DD6590">
              <w:rPr>
                <w:sz w:val="16"/>
                <w:szCs w:val="16"/>
              </w:rPr>
              <w:t xml:space="preserve"> </w:t>
            </w:r>
            <w:r w:rsidR="00D21B5F" w:rsidRPr="00DD6590">
              <w:rPr>
                <w:sz w:val="16"/>
                <w:szCs w:val="16"/>
              </w:rPr>
              <w:br/>
            </w:r>
          </w:p>
        </w:tc>
        <w:tc>
          <w:tcPr>
            <w:tcW w:w="462" w:type="pct"/>
            <w:vAlign w:val="center"/>
          </w:tcPr>
          <w:p w14:paraId="15426032" w14:textId="77777777" w:rsidR="00F50048" w:rsidRPr="00DD6590" w:rsidRDefault="00F5004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10,58</w:t>
            </w:r>
            <w:r w:rsidR="00D21B5F" w:rsidRPr="00DD6590">
              <w:rPr>
                <w:sz w:val="16"/>
                <w:szCs w:val="16"/>
              </w:rPr>
              <w:t xml:space="preserve"> t</w:t>
            </w:r>
          </w:p>
        </w:tc>
        <w:tc>
          <w:tcPr>
            <w:tcW w:w="433" w:type="pct"/>
            <w:vAlign w:val="center"/>
          </w:tcPr>
          <w:p w14:paraId="2E712C8A" w14:textId="77777777" w:rsidR="00F50048" w:rsidRPr="00DD6590" w:rsidRDefault="00F5004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10,15</w:t>
            </w:r>
            <w:r w:rsidR="00D21B5F" w:rsidRPr="00DD6590">
              <w:rPr>
                <w:sz w:val="16"/>
                <w:szCs w:val="16"/>
              </w:rPr>
              <w:t xml:space="preserve"> t</w:t>
            </w:r>
          </w:p>
        </w:tc>
        <w:tc>
          <w:tcPr>
            <w:tcW w:w="432" w:type="pct"/>
            <w:vAlign w:val="center"/>
          </w:tcPr>
          <w:p w14:paraId="46C683D2" w14:textId="77777777" w:rsidR="00F50048" w:rsidRPr="00DD6590" w:rsidRDefault="00F50048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0,43</w:t>
            </w:r>
            <w:r w:rsidR="00D21B5F" w:rsidRPr="00DD6590">
              <w:rPr>
                <w:color w:val="000000"/>
                <w:sz w:val="16"/>
                <w:szCs w:val="16"/>
              </w:rPr>
              <w:t xml:space="preserve"> t</w:t>
            </w:r>
          </w:p>
        </w:tc>
        <w:tc>
          <w:tcPr>
            <w:tcW w:w="463" w:type="pct"/>
            <w:vAlign w:val="center"/>
          </w:tcPr>
          <w:p w14:paraId="48BBF963" w14:textId="77777777" w:rsidR="00F50048" w:rsidRPr="00DD6590" w:rsidRDefault="00F50048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</w:rPr>
              <w:t>2,16</w:t>
            </w:r>
            <w:r w:rsidR="00D21B5F" w:rsidRPr="00DD6590">
              <w:rPr>
                <w:color w:val="000000"/>
                <w:sz w:val="16"/>
                <w:szCs w:val="16"/>
              </w:rPr>
              <w:t xml:space="preserve"> t</w:t>
            </w:r>
          </w:p>
        </w:tc>
        <w:tc>
          <w:tcPr>
            <w:tcW w:w="401" w:type="pct"/>
            <w:shd w:val="clear" w:color="auto" w:fill="D0EC9F"/>
            <w:vAlign w:val="center"/>
          </w:tcPr>
          <w:p w14:paraId="6E5B2C98" w14:textId="659150D4" w:rsidR="00F50048" w:rsidRPr="00DD6590" w:rsidRDefault="00F50048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502</w:t>
            </w:r>
            <w:r w:rsidR="00B662EA">
              <w:rPr>
                <w:color w:val="000000"/>
                <w:sz w:val="16"/>
                <w:szCs w:val="16"/>
              </w:rPr>
              <w:t> </w:t>
            </w:r>
            <w:r w:rsidRPr="00DD6590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339" w:type="pct"/>
            <w:vAlign w:val="center"/>
          </w:tcPr>
          <w:p w14:paraId="3ACAB70F" w14:textId="77777777" w:rsidR="00F50048" w:rsidRPr="00DD6590" w:rsidRDefault="00F50048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9" w:type="pct"/>
            <w:vAlign w:val="center"/>
          </w:tcPr>
          <w:p w14:paraId="0DDD8D66" w14:textId="18B0C6BD" w:rsidR="00F50048" w:rsidRPr="00DD6590" w:rsidRDefault="00F50048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Úspora </w:t>
            </w:r>
            <w:r w:rsidRPr="00DD6590">
              <w:rPr>
                <w:sz w:val="16"/>
                <w:szCs w:val="16"/>
              </w:rPr>
              <w:t>produkcie emisií PM</w:t>
            </w:r>
            <w:r w:rsidRPr="00D00238">
              <w:rPr>
                <w:sz w:val="16"/>
                <w:szCs w:val="16"/>
                <w:vertAlign w:val="subscript"/>
              </w:rPr>
              <w:t>10</w:t>
            </w:r>
            <w:r w:rsidRPr="00DD6590">
              <w:rPr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 xml:space="preserve">je výsledkovým ukazovateľom v rámci dvoch </w:t>
            </w:r>
            <w:r w:rsidR="000808A3" w:rsidRPr="00DD6590">
              <w:rPr>
                <w:color w:val="000000"/>
                <w:sz w:val="16"/>
                <w:szCs w:val="16"/>
              </w:rPr>
              <w:t xml:space="preserve"> projektov</w:t>
            </w:r>
            <w:r w:rsidR="00DA29BD" w:rsidRPr="00DD6590">
              <w:rPr>
                <w:color w:val="000000"/>
                <w:sz w:val="16"/>
                <w:szCs w:val="16"/>
              </w:rPr>
              <w:t xml:space="preserve"> (jeden </w:t>
            </w:r>
            <w:r w:rsidR="00B662EA">
              <w:rPr>
                <w:color w:val="000000"/>
                <w:sz w:val="16"/>
                <w:szCs w:val="16"/>
              </w:rPr>
              <w:t xml:space="preserve">je </w:t>
            </w:r>
            <w:r w:rsidR="00DA29BD" w:rsidRPr="00DD6590">
              <w:rPr>
                <w:color w:val="000000"/>
                <w:sz w:val="16"/>
                <w:szCs w:val="16"/>
              </w:rPr>
              <w:t>ukončený a jeden v realizácii)</w:t>
            </w:r>
            <w:r w:rsidRPr="00DD6590">
              <w:rPr>
                <w:color w:val="000000"/>
                <w:sz w:val="16"/>
                <w:szCs w:val="16"/>
              </w:rPr>
              <w:t>.</w:t>
            </w:r>
            <w:r w:rsidR="000808A3" w:rsidRPr="00DD6590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 xml:space="preserve">V prípade naplnenia </w:t>
            </w:r>
            <w:r w:rsidRPr="00DD6590">
              <w:rPr>
                <w:color w:val="000000"/>
                <w:sz w:val="16"/>
                <w:szCs w:val="16"/>
              </w:rPr>
              <w:lastRenderedPageBreak/>
              <w:t xml:space="preserve">cieľovej hodnoty týchto projektov bude cieľová hodnota ukazovateľa </w:t>
            </w:r>
            <w:r w:rsidRPr="00DD6590">
              <w:rPr>
                <w:b/>
                <w:color w:val="000000"/>
                <w:sz w:val="16"/>
                <w:szCs w:val="16"/>
              </w:rPr>
              <w:t>naplnená na 502</w:t>
            </w:r>
            <w:r w:rsidR="00B662EA">
              <w:rPr>
                <w:b/>
                <w:color w:val="000000"/>
                <w:sz w:val="16"/>
                <w:szCs w:val="16"/>
              </w:rPr>
              <w:t> </w:t>
            </w:r>
            <w:r w:rsidRPr="00DD6590">
              <w:rPr>
                <w:b/>
                <w:color w:val="000000"/>
                <w:sz w:val="16"/>
                <w:szCs w:val="16"/>
              </w:rPr>
              <w:t>%.</w:t>
            </w:r>
            <w:r w:rsidRPr="00DD6590">
              <w:rPr>
                <w:color w:val="000000"/>
                <w:sz w:val="16"/>
                <w:szCs w:val="16"/>
              </w:rPr>
              <w:t xml:space="preserve"> </w:t>
            </w:r>
          </w:p>
          <w:p w14:paraId="07863875" w14:textId="77777777" w:rsidR="00F50048" w:rsidRPr="00DD6590" w:rsidRDefault="00F50048" w:rsidP="00527BCC">
            <w:pPr>
              <w:spacing w:before="60" w:after="0" w:line="240" w:lineRule="auto"/>
              <w:jc w:val="left"/>
              <w:rPr>
                <w:b/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Na základe dotazníka boli projektovými manažérmi identifikované štyri plánované projekty, ktoré budú napĺňať tento ukazovateľ. </w:t>
            </w:r>
          </w:p>
          <w:p w14:paraId="43308F09" w14:textId="2697B1E0" w:rsidR="00F50048" w:rsidRPr="00DD6590" w:rsidRDefault="00F50048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</w:t>
            </w:r>
            <w:r w:rsidR="007B11EC" w:rsidRPr="00DD6590">
              <w:rPr>
                <w:color w:val="000000"/>
                <w:sz w:val="16"/>
                <w:szCs w:val="16"/>
              </w:rPr>
              <w:t>a</w:t>
            </w:r>
            <w:r w:rsidRPr="00DD6590">
              <w:rPr>
                <w:color w:val="000000"/>
                <w:sz w:val="16"/>
                <w:szCs w:val="16"/>
              </w:rPr>
              <w:t>:</w:t>
            </w:r>
          </w:p>
          <w:p w14:paraId="70E15ACD" w14:textId="4874C555" w:rsidR="00F50048" w:rsidRPr="00DD6590" w:rsidRDefault="00F50048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Zaistiť kontrolu </w:t>
            </w:r>
            <w:r w:rsidR="00DA29BD" w:rsidRPr="00DD6590">
              <w:rPr>
                <w:color w:val="000000"/>
                <w:sz w:val="16"/>
                <w:szCs w:val="16"/>
              </w:rPr>
              <w:t xml:space="preserve">napĺňania </w:t>
            </w:r>
            <w:r w:rsidRPr="00DD6590">
              <w:rPr>
                <w:color w:val="000000"/>
                <w:sz w:val="16"/>
                <w:szCs w:val="16"/>
              </w:rPr>
              <w:t xml:space="preserve">cieľových hodnôt ukazovateľa v rámci </w:t>
            </w:r>
            <w:r w:rsidR="00DA29BD" w:rsidRPr="00DD6590">
              <w:rPr>
                <w:color w:val="000000"/>
                <w:sz w:val="16"/>
                <w:szCs w:val="16"/>
              </w:rPr>
              <w:t xml:space="preserve">prebiehajúceho projektu </w:t>
            </w:r>
            <w:r w:rsidRPr="00DD6590">
              <w:rPr>
                <w:color w:val="000000"/>
                <w:sz w:val="16"/>
                <w:szCs w:val="16"/>
              </w:rPr>
              <w:t>a </w:t>
            </w:r>
            <w:r w:rsidR="00DA29BD" w:rsidRPr="00DD6590">
              <w:rPr>
                <w:color w:val="000000"/>
                <w:sz w:val="16"/>
                <w:szCs w:val="16"/>
              </w:rPr>
              <w:t xml:space="preserve">ukončeného projektu </w:t>
            </w:r>
            <w:r w:rsidRPr="00DD6590">
              <w:rPr>
                <w:color w:val="000000"/>
                <w:sz w:val="16"/>
                <w:szCs w:val="16"/>
              </w:rPr>
              <w:t>.</w:t>
            </w:r>
            <w:r w:rsidR="00DA29BD" w:rsidRPr="00DD6590">
              <w:rPr>
                <w:rStyle w:val="FootnoteReference"/>
                <w:color w:val="000000"/>
                <w:sz w:val="16"/>
                <w:szCs w:val="16"/>
              </w:rPr>
              <w:t xml:space="preserve"> </w:t>
            </w:r>
            <w:r w:rsidR="00DA29BD" w:rsidRPr="00DD6590">
              <w:rPr>
                <w:rStyle w:val="FootnoteReference"/>
                <w:color w:val="000000"/>
                <w:sz w:val="16"/>
                <w:szCs w:val="16"/>
              </w:rPr>
              <w:footnoteReference w:id="7"/>
            </w:r>
          </w:p>
          <w:p w14:paraId="61D5F033" w14:textId="22DBD656" w:rsidR="000E6138" w:rsidRPr="00DD6590" w:rsidRDefault="008D2A44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Odporúčame </w:t>
            </w:r>
            <w:r w:rsidR="008A4FF3" w:rsidRPr="00DD6590">
              <w:rPr>
                <w:color w:val="000000"/>
                <w:sz w:val="16"/>
                <w:szCs w:val="16"/>
              </w:rPr>
              <w:t xml:space="preserve">prehodnotiť </w:t>
            </w:r>
            <w:r w:rsidRPr="00DD6590">
              <w:rPr>
                <w:color w:val="000000"/>
                <w:sz w:val="16"/>
                <w:szCs w:val="16"/>
              </w:rPr>
              <w:t>cieľové hodnoty</w:t>
            </w:r>
            <w:r w:rsidR="008A4FF3" w:rsidRPr="00DD6590">
              <w:rPr>
                <w:color w:val="000000"/>
                <w:sz w:val="16"/>
                <w:szCs w:val="16"/>
              </w:rPr>
              <w:t xml:space="preserve"> ukazovateľa</w:t>
            </w:r>
            <w:r w:rsidRPr="00DD6590">
              <w:rPr>
                <w:color w:val="000000"/>
                <w:sz w:val="16"/>
                <w:szCs w:val="16"/>
              </w:rPr>
              <w:t xml:space="preserve"> vzhľadom na počet realizovaných projektov</w:t>
            </w:r>
            <w:r w:rsidR="003A360C" w:rsidRPr="00DD6590">
              <w:rPr>
                <w:color w:val="000000"/>
                <w:sz w:val="16"/>
                <w:szCs w:val="16"/>
              </w:rPr>
              <w:t xml:space="preserve"> a z dôvod</w:t>
            </w:r>
            <w:r w:rsidR="00D410C4" w:rsidRPr="00DD6590">
              <w:rPr>
                <w:color w:val="000000"/>
                <w:sz w:val="16"/>
                <w:szCs w:val="16"/>
              </w:rPr>
              <w:t>u</w:t>
            </w:r>
            <w:r w:rsidR="003A360C" w:rsidRPr="00DD6590">
              <w:rPr>
                <w:color w:val="000000"/>
                <w:sz w:val="16"/>
                <w:szCs w:val="16"/>
              </w:rPr>
              <w:t xml:space="preserve"> zmeny manuálu CBA</w:t>
            </w:r>
            <w:r w:rsidRPr="00DD6590">
              <w:rPr>
                <w:color w:val="000000"/>
                <w:sz w:val="16"/>
                <w:szCs w:val="16"/>
              </w:rPr>
              <w:t>.</w:t>
            </w:r>
          </w:p>
          <w:p w14:paraId="38EC1E64" w14:textId="798D47A9" w:rsidR="00D410C4" w:rsidRPr="00DD6590" w:rsidRDefault="00D410C4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Vykonať dopadové hodnotenie vplyvu projektov na tento ukazovateľ. </w:t>
            </w:r>
          </w:p>
        </w:tc>
      </w:tr>
      <w:tr w:rsidR="00F50048" w:rsidRPr="00DD6590" w14:paraId="73D46343" w14:textId="77777777" w:rsidTr="00CE3028">
        <w:trPr>
          <w:trHeight w:val="481"/>
        </w:trPr>
        <w:tc>
          <w:tcPr>
            <w:tcW w:w="156" w:type="pct"/>
            <w:vAlign w:val="center"/>
          </w:tcPr>
          <w:p w14:paraId="7BF08A1E" w14:textId="77777777" w:rsidR="00F50048" w:rsidRPr="00DD6590" w:rsidRDefault="00F5004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895" w:type="pct"/>
            <w:vAlign w:val="center"/>
          </w:tcPr>
          <w:p w14:paraId="55EF9543" w14:textId="77777777" w:rsidR="00F50048" w:rsidRPr="00DD6590" w:rsidRDefault="00F50048" w:rsidP="00527BCC">
            <w:pPr>
              <w:spacing w:before="60" w:after="0" w:line="240" w:lineRule="auto"/>
              <w:ind w:left="18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Úspora produkcie emisií NO</w:t>
            </w:r>
            <w:r w:rsidRPr="00D00238">
              <w:rPr>
                <w:sz w:val="16"/>
                <w:szCs w:val="16"/>
                <w:vertAlign w:val="subscript"/>
              </w:rPr>
              <w:t>2</w:t>
            </w:r>
            <w:r w:rsidRPr="00DD6590">
              <w:rPr>
                <w:sz w:val="16"/>
                <w:szCs w:val="16"/>
                <w:vertAlign w:val="subscript"/>
              </w:rPr>
              <w:t xml:space="preserve"> </w:t>
            </w:r>
            <w:r w:rsidRPr="00DD6590">
              <w:rPr>
                <w:sz w:val="16"/>
                <w:szCs w:val="16"/>
              </w:rPr>
              <w:t>(vp</w:t>
            </w:r>
            <w:r w:rsidR="00D21B5F" w:rsidRPr="00DD6590">
              <w:rPr>
                <w:sz w:val="16"/>
                <w:szCs w:val="16"/>
              </w:rPr>
              <w:t xml:space="preserve">lyvom modernizácie tratí) </w:t>
            </w:r>
            <w:r w:rsidR="00D21B5F" w:rsidRPr="00DD6590">
              <w:rPr>
                <w:sz w:val="16"/>
                <w:szCs w:val="16"/>
              </w:rPr>
              <w:br/>
            </w:r>
          </w:p>
        </w:tc>
        <w:tc>
          <w:tcPr>
            <w:tcW w:w="462" w:type="pct"/>
            <w:vAlign w:val="center"/>
          </w:tcPr>
          <w:p w14:paraId="633E08A0" w14:textId="77777777" w:rsidR="00F50048" w:rsidRPr="00DD6590" w:rsidRDefault="00F5004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57,09</w:t>
            </w:r>
            <w:r w:rsidR="00D21B5F" w:rsidRPr="00DD6590">
              <w:rPr>
                <w:sz w:val="16"/>
                <w:szCs w:val="16"/>
              </w:rPr>
              <w:t xml:space="preserve"> t</w:t>
            </w:r>
          </w:p>
        </w:tc>
        <w:tc>
          <w:tcPr>
            <w:tcW w:w="433" w:type="pct"/>
            <w:vAlign w:val="center"/>
          </w:tcPr>
          <w:p w14:paraId="5DDDC16F" w14:textId="77777777" w:rsidR="00F50048" w:rsidRPr="00DD6590" w:rsidRDefault="00F5004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51,28</w:t>
            </w:r>
            <w:r w:rsidR="00D21B5F" w:rsidRPr="00DD6590">
              <w:rPr>
                <w:sz w:val="16"/>
                <w:szCs w:val="16"/>
              </w:rPr>
              <w:t xml:space="preserve"> t</w:t>
            </w:r>
          </w:p>
        </w:tc>
        <w:tc>
          <w:tcPr>
            <w:tcW w:w="432" w:type="pct"/>
            <w:vAlign w:val="center"/>
          </w:tcPr>
          <w:p w14:paraId="1F529AF7" w14:textId="77777777" w:rsidR="00F50048" w:rsidRPr="00DD6590" w:rsidRDefault="00F50048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5,81</w:t>
            </w:r>
            <w:r w:rsidR="00D21B5F" w:rsidRPr="00DD6590">
              <w:rPr>
                <w:sz w:val="16"/>
                <w:szCs w:val="16"/>
              </w:rPr>
              <w:t xml:space="preserve"> t</w:t>
            </w:r>
          </w:p>
        </w:tc>
        <w:tc>
          <w:tcPr>
            <w:tcW w:w="463" w:type="pct"/>
            <w:vAlign w:val="center"/>
          </w:tcPr>
          <w:p w14:paraId="3F0FAED4" w14:textId="77777777" w:rsidR="00F50048" w:rsidRPr="00DD6590" w:rsidRDefault="00F50048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29,55</w:t>
            </w:r>
            <w:r w:rsidR="00D21B5F" w:rsidRPr="00DD6590">
              <w:rPr>
                <w:sz w:val="16"/>
                <w:szCs w:val="16"/>
              </w:rPr>
              <w:t xml:space="preserve"> t</w:t>
            </w:r>
          </w:p>
        </w:tc>
        <w:tc>
          <w:tcPr>
            <w:tcW w:w="401" w:type="pct"/>
            <w:shd w:val="clear" w:color="auto" w:fill="D0EC9F"/>
            <w:vAlign w:val="center"/>
          </w:tcPr>
          <w:p w14:paraId="57B2BE3A" w14:textId="58157A08" w:rsidR="00F50048" w:rsidRPr="00DD6590" w:rsidRDefault="00F50048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509</w:t>
            </w:r>
            <w:r w:rsidR="00B662EA">
              <w:rPr>
                <w:color w:val="000000"/>
                <w:sz w:val="16"/>
                <w:szCs w:val="16"/>
              </w:rPr>
              <w:t> </w:t>
            </w:r>
            <w:r w:rsidRPr="00DD6590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339" w:type="pct"/>
            <w:vAlign w:val="center"/>
          </w:tcPr>
          <w:p w14:paraId="7F388E49" w14:textId="77777777" w:rsidR="00F50048" w:rsidRPr="00DD6590" w:rsidRDefault="00F50048" w:rsidP="00527BC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9" w:type="pct"/>
            <w:vAlign w:val="center"/>
          </w:tcPr>
          <w:p w14:paraId="37B770D8" w14:textId="0C36B8B7" w:rsidR="00F50048" w:rsidRPr="00DD6590" w:rsidRDefault="00F50048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Úspora </w:t>
            </w:r>
            <w:r w:rsidRPr="00DD6590">
              <w:rPr>
                <w:sz w:val="16"/>
                <w:szCs w:val="16"/>
              </w:rPr>
              <w:t>produkcie emisií NO</w:t>
            </w:r>
            <w:r w:rsidRPr="00D00238">
              <w:rPr>
                <w:sz w:val="16"/>
                <w:szCs w:val="16"/>
                <w:vertAlign w:val="subscript"/>
              </w:rPr>
              <w:t>2</w:t>
            </w:r>
            <w:r w:rsidRPr="00DD6590">
              <w:rPr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je výsledkovým ukazovateľom v rámci dvoch projektov</w:t>
            </w:r>
            <w:r w:rsidR="00DA29BD" w:rsidRPr="00DD6590">
              <w:rPr>
                <w:color w:val="000000"/>
                <w:sz w:val="16"/>
                <w:szCs w:val="16"/>
              </w:rPr>
              <w:t xml:space="preserve"> (jeden </w:t>
            </w:r>
            <w:r w:rsidR="00B662EA">
              <w:rPr>
                <w:color w:val="000000"/>
                <w:sz w:val="16"/>
                <w:szCs w:val="16"/>
              </w:rPr>
              <w:t xml:space="preserve">je </w:t>
            </w:r>
            <w:r w:rsidR="00DA29BD" w:rsidRPr="00DD6590">
              <w:rPr>
                <w:color w:val="000000"/>
                <w:sz w:val="16"/>
                <w:szCs w:val="16"/>
              </w:rPr>
              <w:t>ukončený a jeden v realizácii)</w:t>
            </w:r>
            <w:r w:rsidRPr="00DD6590">
              <w:rPr>
                <w:color w:val="000000"/>
                <w:sz w:val="16"/>
                <w:szCs w:val="16"/>
              </w:rPr>
              <w:t xml:space="preserve">. V prípade naplnenia cieľovej hodnoty týchto projektov bude cieľová hodnota ukazovateľa </w:t>
            </w:r>
            <w:r w:rsidRPr="00DD6590">
              <w:rPr>
                <w:b/>
                <w:color w:val="000000"/>
                <w:sz w:val="16"/>
                <w:szCs w:val="16"/>
              </w:rPr>
              <w:t>naplnená na 509</w:t>
            </w:r>
            <w:r w:rsidR="00B662EA">
              <w:rPr>
                <w:b/>
                <w:color w:val="000000"/>
                <w:sz w:val="16"/>
                <w:szCs w:val="16"/>
              </w:rPr>
              <w:t> </w:t>
            </w:r>
            <w:r w:rsidRPr="00DD6590">
              <w:rPr>
                <w:b/>
                <w:color w:val="000000"/>
                <w:sz w:val="16"/>
                <w:szCs w:val="16"/>
              </w:rPr>
              <w:t>%.</w:t>
            </w:r>
            <w:r w:rsidRPr="00DD6590">
              <w:rPr>
                <w:color w:val="000000"/>
                <w:sz w:val="16"/>
                <w:szCs w:val="16"/>
              </w:rPr>
              <w:t xml:space="preserve"> V súčasnosti je </w:t>
            </w:r>
            <w:r w:rsidRPr="00DD6590">
              <w:rPr>
                <w:b/>
                <w:color w:val="000000"/>
                <w:sz w:val="16"/>
                <w:szCs w:val="16"/>
              </w:rPr>
              <w:t>cieľová hodnota naplnené na 109</w:t>
            </w:r>
            <w:r w:rsidR="00B662EA">
              <w:rPr>
                <w:b/>
                <w:color w:val="000000"/>
                <w:sz w:val="16"/>
                <w:szCs w:val="16"/>
              </w:rPr>
              <w:t> </w:t>
            </w:r>
            <w:r w:rsidRPr="00DD6590">
              <w:rPr>
                <w:b/>
                <w:color w:val="000000"/>
                <w:sz w:val="16"/>
                <w:szCs w:val="16"/>
              </w:rPr>
              <w:t>%</w:t>
            </w:r>
            <w:r w:rsidRPr="00DD6590">
              <w:rPr>
                <w:color w:val="000000"/>
                <w:sz w:val="16"/>
                <w:szCs w:val="16"/>
              </w:rPr>
              <w:t xml:space="preserve"> ukončeným projektom. </w:t>
            </w:r>
          </w:p>
          <w:p w14:paraId="1370DEB8" w14:textId="77777777" w:rsidR="00F50048" w:rsidRPr="00DD6590" w:rsidRDefault="00F50048" w:rsidP="00527BCC">
            <w:pPr>
              <w:spacing w:before="60" w:after="0" w:line="240" w:lineRule="auto"/>
              <w:jc w:val="left"/>
              <w:rPr>
                <w:b/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Na základe dotazníka boli projektovými manažérmi identifikované štyri projekty, ktoré budú napĺňať tento ukazovateľ. </w:t>
            </w:r>
          </w:p>
          <w:p w14:paraId="6C1D00EC" w14:textId="77777777" w:rsidR="00F50048" w:rsidRPr="00DD6590" w:rsidRDefault="00F50048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Odporúčania:</w:t>
            </w:r>
          </w:p>
          <w:p w14:paraId="247A9E1D" w14:textId="60E29A3B" w:rsidR="00F50048" w:rsidRPr="00DD6590" w:rsidRDefault="00F50048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Zaistiť kontrolu </w:t>
            </w:r>
            <w:r w:rsidR="00DA29BD" w:rsidRPr="00DD6590">
              <w:rPr>
                <w:color w:val="000000"/>
                <w:sz w:val="16"/>
                <w:szCs w:val="16"/>
              </w:rPr>
              <w:t xml:space="preserve">napĺňania </w:t>
            </w:r>
            <w:r w:rsidRPr="00DD6590">
              <w:rPr>
                <w:color w:val="000000"/>
                <w:sz w:val="16"/>
                <w:szCs w:val="16"/>
              </w:rPr>
              <w:t xml:space="preserve">cieľových hodnôt ukazovateľa v rámci </w:t>
            </w:r>
            <w:r w:rsidR="008630F5" w:rsidRPr="00DD6590">
              <w:rPr>
                <w:color w:val="000000"/>
                <w:sz w:val="16"/>
                <w:szCs w:val="16"/>
              </w:rPr>
              <w:t xml:space="preserve">prebiehajúceho </w:t>
            </w:r>
            <w:r w:rsidRPr="00DD6590">
              <w:rPr>
                <w:color w:val="000000"/>
                <w:sz w:val="16"/>
                <w:szCs w:val="16"/>
              </w:rPr>
              <w:t>a ukončen</w:t>
            </w:r>
            <w:r w:rsidR="008630F5" w:rsidRPr="00DD6590">
              <w:rPr>
                <w:color w:val="000000"/>
                <w:sz w:val="16"/>
                <w:szCs w:val="16"/>
              </w:rPr>
              <w:t>ého</w:t>
            </w:r>
            <w:r w:rsidRPr="00DD6590">
              <w:rPr>
                <w:color w:val="000000"/>
                <w:sz w:val="16"/>
                <w:szCs w:val="16"/>
              </w:rPr>
              <w:t xml:space="preserve"> </w:t>
            </w:r>
            <w:r w:rsidR="008630F5" w:rsidRPr="00DD6590">
              <w:rPr>
                <w:color w:val="000000"/>
                <w:sz w:val="16"/>
                <w:szCs w:val="16"/>
              </w:rPr>
              <w:t>projektu</w:t>
            </w:r>
            <w:r w:rsidRPr="00DD6590">
              <w:rPr>
                <w:color w:val="000000"/>
                <w:sz w:val="16"/>
                <w:szCs w:val="16"/>
              </w:rPr>
              <w:t>.</w:t>
            </w:r>
          </w:p>
          <w:p w14:paraId="358A38A2" w14:textId="016D7969" w:rsidR="008D2A44" w:rsidRPr="00DD6590" w:rsidRDefault="008D2A44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Odporúčame prekalkulovať cieľové hodnoty vzhľadom na počet realizovaných projektov</w:t>
            </w:r>
            <w:r w:rsidR="00D410C4" w:rsidRPr="00DD6590">
              <w:rPr>
                <w:color w:val="000000"/>
                <w:sz w:val="16"/>
                <w:szCs w:val="16"/>
              </w:rPr>
              <w:t xml:space="preserve"> a zmeny manuálu pre CBA</w:t>
            </w:r>
            <w:r w:rsidRPr="00DD6590">
              <w:rPr>
                <w:color w:val="000000"/>
                <w:sz w:val="16"/>
                <w:szCs w:val="16"/>
              </w:rPr>
              <w:t>.</w:t>
            </w:r>
          </w:p>
          <w:p w14:paraId="2FB953E6" w14:textId="7439B620" w:rsidR="00D410C4" w:rsidRPr="00DD6590" w:rsidRDefault="00D410C4" w:rsidP="00527BC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Vykonať dopadové hodnotenie vplyvu projektov na tento ukazovateľ.</w:t>
            </w:r>
          </w:p>
        </w:tc>
      </w:tr>
      <w:tr w:rsidR="00F50048" w:rsidRPr="00DD6590" w14:paraId="6426FEAC" w14:textId="77777777" w:rsidTr="00CE3028">
        <w:trPr>
          <w:trHeight w:val="703"/>
        </w:trPr>
        <w:tc>
          <w:tcPr>
            <w:tcW w:w="156" w:type="pct"/>
            <w:vAlign w:val="center"/>
          </w:tcPr>
          <w:p w14:paraId="35F0F0D6" w14:textId="77777777" w:rsidR="00F50048" w:rsidRPr="00DD6590" w:rsidRDefault="00F5004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4</w:t>
            </w:r>
          </w:p>
        </w:tc>
        <w:tc>
          <w:tcPr>
            <w:tcW w:w="895" w:type="pct"/>
            <w:vAlign w:val="center"/>
          </w:tcPr>
          <w:p w14:paraId="77540001" w14:textId="54B36E0E" w:rsidR="00F50048" w:rsidRPr="00DD6590" w:rsidRDefault="00F50048" w:rsidP="00527BCC">
            <w:pPr>
              <w:spacing w:before="60" w:after="0" w:line="240" w:lineRule="auto"/>
              <w:ind w:left="18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Celkový objem medzinárodnej prepravy na koridore TEN-T Orient/východné Stredomorie (úsek št. hr. ČR/SR </w:t>
            </w:r>
            <w:r w:rsidR="00B662EA" w:rsidRPr="00DD6590">
              <w:rPr>
                <w:sz w:val="16"/>
                <w:szCs w:val="16"/>
              </w:rPr>
              <w:t>–</w:t>
            </w:r>
            <w:r w:rsidRPr="00DD6590">
              <w:rPr>
                <w:sz w:val="16"/>
                <w:szCs w:val="16"/>
              </w:rPr>
              <w:t xml:space="preserve"> Kúty – Bratislava)</w:t>
            </w:r>
          </w:p>
        </w:tc>
        <w:tc>
          <w:tcPr>
            <w:tcW w:w="462" w:type="pct"/>
            <w:vAlign w:val="center"/>
          </w:tcPr>
          <w:p w14:paraId="6C912464" w14:textId="77777777" w:rsidR="00F50048" w:rsidRPr="00DD6590" w:rsidRDefault="00F5004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1 205 396 </w:t>
            </w:r>
            <w:proofErr w:type="spellStart"/>
            <w:r w:rsidRPr="00DD6590">
              <w:rPr>
                <w:sz w:val="16"/>
                <w:szCs w:val="16"/>
              </w:rPr>
              <w:t>vlkm</w:t>
            </w:r>
            <w:proofErr w:type="spellEnd"/>
          </w:p>
        </w:tc>
        <w:tc>
          <w:tcPr>
            <w:tcW w:w="433" w:type="pct"/>
            <w:vAlign w:val="center"/>
          </w:tcPr>
          <w:p w14:paraId="172DFE40" w14:textId="77777777" w:rsidR="00F50048" w:rsidRPr="00DD6590" w:rsidRDefault="00F5004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1 307 279 </w:t>
            </w:r>
            <w:proofErr w:type="spellStart"/>
            <w:r w:rsidRPr="00DD6590">
              <w:rPr>
                <w:sz w:val="16"/>
                <w:szCs w:val="16"/>
              </w:rPr>
              <w:t>vlkm</w:t>
            </w:r>
            <w:proofErr w:type="spellEnd"/>
          </w:p>
        </w:tc>
        <w:tc>
          <w:tcPr>
            <w:tcW w:w="432" w:type="pct"/>
            <w:vAlign w:val="center"/>
          </w:tcPr>
          <w:p w14:paraId="5A7FA2B5" w14:textId="77777777" w:rsidR="00F50048" w:rsidRPr="00DD6590" w:rsidRDefault="00F50048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3" w:type="pct"/>
            <w:vAlign w:val="center"/>
          </w:tcPr>
          <w:p w14:paraId="6D91E234" w14:textId="77777777" w:rsidR="00F50048" w:rsidRPr="00DD6590" w:rsidRDefault="00D55683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0 </w:t>
            </w:r>
            <w:proofErr w:type="spellStart"/>
            <w:r w:rsidRPr="00DD6590">
              <w:rPr>
                <w:sz w:val="16"/>
                <w:szCs w:val="16"/>
              </w:rPr>
              <w:t>vlkm</w:t>
            </w:r>
            <w:proofErr w:type="spellEnd"/>
          </w:p>
          <w:p w14:paraId="109FC6AD" w14:textId="77777777" w:rsidR="00D55683" w:rsidRPr="00DD6590" w:rsidRDefault="00D55683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</w:p>
          <w:p w14:paraId="5C958FF8" w14:textId="77777777" w:rsidR="00D55683" w:rsidRPr="00DD6590" w:rsidRDefault="00D55683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1 952 289 </w:t>
            </w:r>
            <w:proofErr w:type="spellStart"/>
            <w:r w:rsidRPr="00DD6590">
              <w:rPr>
                <w:sz w:val="16"/>
                <w:szCs w:val="16"/>
              </w:rPr>
              <w:t>vlkm</w:t>
            </w:r>
            <w:proofErr w:type="spellEnd"/>
          </w:p>
          <w:p w14:paraId="70C114FA" w14:textId="77777777" w:rsidR="00D55683" w:rsidRPr="00DD6590" w:rsidRDefault="00D55683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lastRenderedPageBreak/>
              <w:t>(skutočná hodnota)</w:t>
            </w:r>
          </w:p>
        </w:tc>
        <w:tc>
          <w:tcPr>
            <w:tcW w:w="401" w:type="pct"/>
            <w:shd w:val="clear" w:color="auto" w:fill="EF858F"/>
            <w:vAlign w:val="center"/>
          </w:tcPr>
          <w:p w14:paraId="3A4EACA3" w14:textId="2CDF46B1" w:rsidR="00F50048" w:rsidRPr="00DD6590" w:rsidRDefault="00F50048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lastRenderedPageBreak/>
              <w:t>0</w:t>
            </w:r>
            <w:r w:rsidR="00B662EA">
              <w:rPr>
                <w:sz w:val="16"/>
                <w:szCs w:val="16"/>
              </w:rPr>
              <w:t> 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339" w:type="pct"/>
            <w:vAlign w:val="center"/>
          </w:tcPr>
          <w:p w14:paraId="7741BFC1" w14:textId="77777777" w:rsidR="00F50048" w:rsidRPr="00DD6590" w:rsidRDefault="00F50048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</w:t>
            </w:r>
          </w:p>
        </w:tc>
        <w:tc>
          <w:tcPr>
            <w:tcW w:w="1419" w:type="pct"/>
            <w:vAlign w:val="center"/>
          </w:tcPr>
          <w:p w14:paraId="25815A95" w14:textId="3779BBF0" w:rsidR="0050296C" w:rsidRPr="00DD6590" w:rsidRDefault="0050296C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Ide o makro ukazovateľ meraný na úrovni koridoru TEN-T v úseku št. hr. ČR/SR </w:t>
            </w:r>
            <w:r w:rsidR="00B662EA">
              <w:rPr>
                <w:sz w:val="16"/>
                <w:szCs w:val="16"/>
              </w:rPr>
              <w:t> </w:t>
            </w:r>
            <w:r w:rsidRPr="00DD6590">
              <w:rPr>
                <w:sz w:val="16"/>
                <w:szCs w:val="16"/>
              </w:rPr>
              <w:t xml:space="preserve"> Kúty – Bratislava, nielen z realizovaných projektov. V súčasnej dobe je podľa informácií od projektového manažéra na </w:t>
            </w:r>
            <w:r w:rsidRPr="00DD6590">
              <w:rPr>
                <w:sz w:val="16"/>
                <w:szCs w:val="16"/>
              </w:rPr>
              <w:lastRenderedPageBreak/>
              <w:t xml:space="preserve">úrovni </w:t>
            </w:r>
            <w:r w:rsidRPr="00DD6590">
              <w:rPr>
                <w:b/>
                <w:sz w:val="16"/>
                <w:szCs w:val="16"/>
              </w:rPr>
              <w:t xml:space="preserve">1 952 289 </w:t>
            </w:r>
            <w:proofErr w:type="spellStart"/>
            <w:r w:rsidRPr="00DD6590">
              <w:rPr>
                <w:b/>
                <w:sz w:val="16"/>
                <w:szCs w:val="16"/>
              </w:rPr>
              <w:t>vlkm</w:t>
            </w:r>
            <w:proofErr w:type="spellEnd"/>
            <w:r w:rsidR="00B662EA">
              <w:rPr>
                <w:b/>
                <w:sz w:val="16"/>
                <w:szCs w:val="16"/>
              </w:rPr>
              <w:t>,</w:t>
            </w:r>
            <w:r w:rsidRPr="00DD6590">
              <w:rPr>
                <w:b/>
                <w:sz w:val="16"/>
                <w:szCs w:val="16"/>
              </w:rPr>
              <w:t xml:space="preserve"> </w:t>
            </w:r>
            <w:r w:rsidR="00B662EA">
              <w:rPr>
                <w:sz w:val="16"/>
                <w:szCs w:val="16"/>
              </w:rPr>
              <w:t>č</w:t>
            </w:r>
            <w:r w:rsidRPr="00DD6590">
              <w:rPr>
                <w:sz w:val="16"/>
                <w:szCs w:val="16"/>
              </w:rPr>
              <w:t xml:space="preserve">ím je ukazovateľ aj bez realizácie projektov splnený. </w:t>
            </w:r>
          </w:p>
          <w:p w14:paraId="07103562" w14:textId="038CDA43" w:rsidR="008A4FF3" w:rsidRPr="00DD6590" w:rsidRDefault="008A4FF3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Pôvodne bol plánovaný v rámci ŠC 1.2 projekt „</w:t>
            </w:r>
            <w:r w:rsidR="00FF147F" w:rsidRPr="00DD6590">
              <w:rPr>
                <w:sz w:val="16"/>
                <w:szCs w:val="16"/>
              </w:rPr>
              <w:t>Modernizácie železničnej trate Bratislava – Kúty – št.hr. SR/ČR</w:t>
            </w:r>
            <w:r w:rsidR="00195F7B" w:rsidRPr="00DD6590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“, ktorý sa implementuje z CEF.</w:t>
            </w:r>
          </w:p>
          <w:p w14:paraId="44DD2670" w14:textId="2CABD4A4" w:rsidR="008630F5" w:rsidRPr="00DD6590" w:rsidRDefault="004E3A07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Do konca roka 2018</w:t>
            </w:r>
            <w:r w:rsidR="00604D90" w:rsidRPr="00DD6590">
              <w:rPr>
                <w:sz w:val="16"/>
                <w:szCs w:val="16"/>
              </w:rPr>
              <w:t xml:space="preserve"> </w:t>
            </w:r>
            <w:r w:rsidR="008630F5" w:rsidRPr="00DD6590">
              <w:rPr>
                <w:b/>
                <w:sz w:val="16"/>
                <w:szCs w:val="16"/>
              </w:rPr>
              <w:t>nebol</w:t>
            </w:r>
            <w:r w:rsidR="00F50048" w:rsidRPr="00DD6590">
              <w:rPr>
                <w:b/>
                <w:sz w:val="16"/>
                <w:szCs w:val="16"/>
              </w:rPr>
              <w:t xml:space="preserve"> v realizácii ani jeden projekt</w:t>
            </w:r>
            <w:r w:rsidR="00F50048" w:rsidRPr="00DD6590">
              <w:rPr>
                <w:sz w:val="16"/>
                <w:szCs w:val="16"/>
              </w:rPr>
              <w:t xml:space="preserve">, ktorý by mal za cieľ zvýšiť celkový objem medzinárodnej prepravy na koridore TEN-T Orient/východné Stredomorie. </w:t>
            </w:r>
          </w:p>
          <w:p w14:paraId="564D9E0C" w14:textId="67E094A9" w:rsidR="00611821" w:rsidRPr="00DD6590" w:rsidRDefault="00F50048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Z plánovaných projektov </w:t>
            </w:r>
            <w:r w:rsidR="008D2A44" w:rsidRPr="00DD6590">
              <w:rPr>
                <w:sz w:val="16"/>
                <w:szCs w:val="16"/>
              </w:rPr>
              <w:t>majú dva</w:t>
            </w:r>
            <w:r w:rsidRPr="00DD6590">
              <w:rPr>
                <w:sz w:val="16"/>
                <w:szCs w:val="16"/>
              </w:rPr>
              <w:t xml:space="preserve"> projekt</w:t>
            </w:r>
            <w:r w:rsidR="008D2A44" w:rsidRPr="00DD6590">
              <w:rPr>
                <w:sz w:val="16"/>
                <w:szCs w:val="16"/>
              </w:rPr>
              <w:t>y</w:t>
            </w:r>
            <w:r w:rsidRPr="00DD6590">
              <w:rPr>
                <w:sz w:val="16"/>
                <w:szCs w:val="16"/>
              </w:rPr>
              <w:t xml:space="preserve"> (Implementácia ERTMS na úseku Devínska Nová Ves – štátna hranica SR/Č</w:t>
            </w:r>
            <w:r w:rsidR="00D25E33" w:rsidRPr="00DD6590">
              <w:rPr>
                <w:sz w:val="16"/>
                <w:szCs w:val="16"/>
              </w:rPr>
              <w:t>R</w:t>
            </w:r>
            <w:r w:rsidR="008D2A44" w:rsidRPr="00DD6590">
              <w:rPr>
                <w:sz w:val="16"/>
                <w:szCs w:val="16"/>
              </w:rPr>
              <w:t xml:space="preserve"> a</w:t>
            </w:r>
            <w:r w:rsidR="00A944FA" w:rsidRPr="00DD6590">
              <w:rPr>
                <w:sz w:val="16"/>
                <w:szCs w:val="16"/>
              </w:rPr>
              <w:t> Implementácia TSI</w:t>
            </w:r>
            <w:r w:rsidR="007B11EC" w:rsidRPr="00DD6590">
              <w:rPr>
                <w:sz w:val="16"/>
                <w:szCs w:val="16"/>
              </w:rPr>
              <w:t xml:space="preserve"> </w:t>
            </w:r>
            <w:r w:rsidR="00A944FA" w:rsidRPr="00DD6590">
              <w:rPr>
                <w:sz w:val="16"/>
                <w:szCs w:val="16"/>
              </w:rPr>
              <w:t>v podmienkach ŽSR</w:t>
            </w:r>
            <w:r w:rsidR="00D25E33" w:rsidRPr="00DD6590">
              <w:rPr>
                <w:sz w:val="16"/>
                <w:szCs w:val="16"/>
              </w:rPr>
              <w:t xml:space="preserve">) </w:t>
            </w:r>
            <w:r w:rsidR="00B662EA">
              <w:rPr>
                <w:sz w:val="16"/>
                <w:szCs w:val="16"/>
              </w:rPr>
              <w:t>vplyv</w:t>
            </w:r>
            <w:r w:rsidR="00D25E33" w:rsidRPr="00DD6590">
              <w:rPr>
                <w:sz w:val="16"/>
                <w:szCs w:val="16"/>
              </w:rPr>
              <w:t xml:space="preserve"> na tento ukazovateľ, </w:t>
            </w:r>
            <w:r w:rsidR="007B11EC" w:rsidRPr="00DD6590">
              <w:rPr>
                <w:sz w:val="16"/>
                <w:szCs w:val="16"/>
              </w:rPr>
              <w:t xml:space="preserve">nie je </w:t>
            </w:r>
            <w:r w:rsidR="00B662EA">
              <w:rPr>
                <w:sz w:val="16"/>
                <w:szCs w:val="16"/>
              </w:rPr>
              <w:t xml:space="preserve">však </w:t>
            </w:r>
            <w:r w:rsidR="007B11EC" w:rsidRPr="00DD6590">
              <w:rPr>
                <w:sz w:val="16"/>
                <w:szCs w:val="16"/>
              </w:rPr>
              <w:t>možné vyhodnotiť prínos projektov, keďže prijímateľ nedefinoval cieľové hodnoty.</w:t>
            </w:r>
            <w:r w:rsidR="00611821" w:rsidRPr="00DD6590">
              <w:rPr>
                <w:sz w:val="16"/>
                <w:szCs w:val="16"/>
              </w:rPr>
              <w:t xml:space="preserve"> </w:t>
            </w:r>
          </w:p>
          <w:p w14:paraId="1B5580E1" w14:textId="0CFD10C8" w:rsidR="003612CF" w:rsidRPr="00DD6590" w:rsidRDefault="003612CF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Odporúčanie:</w:t>
            </w:r>
          </w:p>
          <w:p w14:paraId="63797CBB" w14:textId="5193109D" w:rsidR="003612CF" w:rsidRPr="00DD6590" w:rsidRDefault="003612CF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Vykonať dopadové hodnotenie vplyvu projektov na tento ukazovateľ.</w:t>
            </w:r>
          </w:p>
          <w:p w14:paraId="664AF1B1" w14:textId="3D5D371D" w:rsidR="007B11EC" w:rsidRPr="00DD6590" w:rsidRDefault="007B11EC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CE3028" w:rsidRPr="00DD6590" w14:paraId="5FA5CB8D" w14:textId="77777777" w:rsidTr="00CE3028">
        <w:trPr>
          <w:trHeight w:val="184"/>
        </w:trPr>
        <w:tc>
          <w:tcPr>
            <w:tcW w:w="156" w:type="pct"/>
            <w:vAlign w:val="center"/>
          </w:tcPr>
          <w:p w14:paraId="4704F17D" w14:textId="77777777" w:rsidR="00CE3028" w:rsidRPr="00DD6590" w:rsidRDefault="00CE302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895" w:type="pct"/>
            <w:vAlign w:val="center"/>
          </w:tcPr>
          <w:p w14:paraId="23B11C8F" w14:textId="77777777" w:rsidR="00CE3028" w:rsidRPr="00DD6590" w:rsidRDefault="00CE3028" w:rsidP="00527BCC">
            <w:pPr>
              <w:spacing w:before="60" w:after="0" w:line="240" w:lineRule="auto"/>
              <w:ind w:left="18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Počet prepravených cestujúcich vo verejnej železničnej osobnej doprave</w:t>
            </w:r>
          </w:p>
        </w:tc>
        <w:tc>
          <w:tcPr>
            <w:tcW w:w="462" w:type="pct"/>
            <w:vAlign w:val="center"/>
          </w:tcPr>
          <w:p w14:paraId="5CA14CC0" w14:textId="1CA2C8D0" w:rsidR="00CE3028" w:rsidRPr="00DD6590" w:rsidRDefault="00CE302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44 287 000</w:t>
            </w:r>
          </w:p>
        </w:tc>
        <w:tc>
          <w:tcPr>
            <w:tcW w:w="433" w:type="pct"/>
            <w:vAlign w:val="center"/>
          </w:tcPr>
          <w:p w14:paraId="330A416F" w14:textId="77777777" w:rsidR="00CE3028" w:rsidRPr="00DD6590" w:rsidRDefault="00CE302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46 942 211</w:t>
            </w:r>
          </w:p>
        </w:tc>
        <w:tc>
          <w:tcPr>
            <w:tcW w:w="432" w:type="pct"/>
            <w:vAlign w:val="center"/>
          </w:tcPr>
          <w:p w14:paraId="2B7D1771" w14:textId="77777777" w:rsidR="00CE3028" w:rsidRPr="00DD6590" w:rsidRDefault="00CE302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Očakávaný nárast:</w:t>
            </w:r>
          </w:p>
          <w:p w14:paraId="78F914E7" w14:textId="2BFEA65C" w:rsidR="00CE3028" w:rsidRPr="00DD6590" w:rsidRDefault="00CE302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2,66 mil.</w:t>
            </w:r>
          </w:p>
          <w:p w14:paraId="06A3CD5E" w14:textId="77777777" w:rsidR="00CE3028" w:rsidRPr="00DD6590" w:rsidRDefault="00CE302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</w:p>
          <w:p w14:paraId="550A54E8" w14:textId="77777777" w:rsidR="00CE3028" w:rsidRPr="00DD6590" w:rsidRDefault="00CE302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Skutočný nárast </w:t>
            </w:r>
            <w:r w:rsidRPr="00DD6590">
              <w:rPr>
                <w:sz w:val="16"/>
                <w:szCs w:val="16"/>
              </w:rPr>
              <w:br/>
              <w:t>(2013 – 17):</w:t>
            </w:r>
          </w:p>
          <w:p w14:paraId="0868263F" w14:textId="77777777" w:rsidR="00CE3028" w:rsidRPr="00DD6590" w:rsidRDefault="00CE302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28 mil. </w:t>
            </w:r>
          </w:p>
          <w:p w14:paraId="1E8FE9D3" w14:textId="77777777" w:rsidR="00CE3028" w:rsidRPr="00DD6590" w:rsidRDefault="00CE302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</w:p>
          <w:p w14:paraId="1209FA34" w14:textId="77777777" w:rsidR="00CE3028" w:rsidRPr="00DD6590" w:rsidRDefault="00CE302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</w:p>
        </w:tc>
        <w:tc>
          <w:tcPr>
            <w:tcW w:w="463" w:type="pct"/>
            <w:vAlign w:val="center"/>
          </w:tcPr>
          <w:p w14:paraId="23D0595C" w14:textId="77777777" w:rsidR="00CE3028" w:rsidRPr="00DD6590" w:rsidRDefault="00CE302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16 091 753 počet</w:t>
            </w:r>
          </w:p>
          <w:p w14:paraId="0B00E84E" w14:textId="77777777" w:rsidR="00CE3028" w:rsidRPr="00DD6590" w:rsidRDefault="00CE302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</w:p>
          <w:p w14:paraId="3CDCAF8F" w14:textId="77777777" w:rsidR="00CE3028" w:rsidRPr="00DD6590" w:rsidRDefault="00CE302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Skutočná hodnota (2017):</w:t>
            </w:r>
          </w:p>
          <w:p w14:paraId="7947D5C4" w14:textId="77777777" w:rsidR="00CE3028" w:rsidRPr="00DD6590" w:rsidRDefault="00CE302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71 767 393</w:t>
            </w:r>
            <w:r w:rsidRPr="00DD6590">
              <w:rPr>
                <w:rStyle w:val="FootnoteReference"/>
                <w:sz w:val="16"/>
                <w:szCs w:val="16"/>
              </w:rPr>
              <w:footnoteReference w:id="8"/>
            </w:r>
          </w:p>
        </w:tc>
        <w:tc>
          <w:tcPr>
            <w:tcW w:w="401" w:type="pct"/>
            <w:shd w:val="clear" w:color="auto" w:fill="D0EC9F"/>
            <w:vAlign w:val="center"/>
          </w:tcPr>
          <w:p w14:paraId="53E0B1B8" w14:textId="79DBC759" w:rsidR="00CE3028" w:rsidRPr="00DD6590" w:rsidRDefault="00CE302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480</w:t>
            </w:r>
            <w:r w:rsidR="00B662EA">
              <w:rPr>
                <w:sz w:val="16"/>
                <w:szCs w:val="16"/>
              </w:rPr>
              <w:t> 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339" w:type="pct"/>
            <w:vAlign w:val="center"/>
          </w:tcPr>
          <w:p w14:paraId="6E0EC0E0" w14:textId="77777777" w:rsidR="00CE3028" w:rsidRPr="00DD6590" w:rsidRDefault="00CE302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2</w:t>
            </w:r>
          </w:p>
          <w:p w14:paraId="470A33D5" w14:textId="77777777" w:rsidR="00CE3028" w:rsidRPr="00DD6590" w:rsidRDefault="00CE3028" w:rsidP="00527BC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</w:p>
          <w:p w14:paraId="6D733FED" w14:textId="77777777" w:rsidR="00CE3028" w:rsidRPr="00DD6590" w:rsidRDefault="00CE3028" w:rsidP="00527BCC">
            <w:pPr>
              <w:spacing w:before="60" w:after="0" w:line="240" w:lineRule="auto"/>
              <w:rPr>
                <w:sz w:val="16"/>
                <w:szCs w:val="16"/>
              </w:rPr>
            </w:pPr>
          </w:p>
        </w:tc>
        <w:tc>
          <w:tcPr>
            <w:tcW w:w="1419" w:type="pct"/>
            <w:vAlign w:val="center"/>
          </w:tcPr>
          <w:p w14:paraId="69794F80" w14:textId="7E2F66AD" w:rsidR="00CE3028" w:rsidRPr="00DD6590" w:rsidRDefault="00CE3028" w:rsidP="00527BCC">
            <w:pPr>
              <w:spacing w:before="60" w:after="0" w:line="240" w:lineRule="auto"/>
              <w:contextualSpacing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Ide o makro ukazovateľ meraný na úrovni celej železničnej infraštruktúry, nielen </w:t>
            </w:r>
            <w:r w:rsidR="00B662EA">
              <w:rPr>
                <w:sz w:val="16"/>
                <w:szCs w:val="16"/>
              </w:rPr>
              <w:t>v</w:t>
            </w:r>
            <w:r w:rsidR="00B662EA" w:rsidRPr="00DD6590">
              <w:rPr>
                <w:sz w:val="16"/>
                <w:szCs w:val="16"/>
              </w:rPr>
              <w:t> </w:t>
            </w:r>
            <w:r w:rsidRPr="00DD6590">
              <w:rPr>
                <w:sz w:val="16"/>
                <w:szCs w:val="16"/>
              </w:rPr>
              <w:t xml:space="preserve">realizovaných </w:t>
            </w:r>
            <w:r w:rsidR="00B662EA" w:rsidRPr="00DD6590">
              <w:rPr>
                <w:sz w:val="16"/>
                <w:szCs w:val="16"/>
              </w:rPr>
              <w:t>projekto</w:t>
            </w:r>
            <w:r w:rsidR="00B662EA">
              <w:rPr>
                <w:sz w:val="16"/>
                <w:szCs w:val="16"/>
              </w:rPr>
              <w:t>ch</w:t>
            </w:r>
            <w:r w:rsidRPr="00DD6590">
              <w:rPr>
                <w:sz w:val="16"/>
                <w:szCs w:val="16"/>
              </w:rPr>
              <w:t xml:space="preserve">. Ukazovateľ je vyhodnocovaný na základe výročných správ ZSSK a štatistických údajov.  </w:t>
            </w:r>
          </w:p>
          <w:p w14:paraId="6DEBE2E6" w14:textId="77777777" w:rsidR="00CE3028" w:rsidRPr="00DD6590" w:rsidRDefault="00CE3028" w:rsidP="00527BCC">
            <w:pPr>
              <w:spacing w:before="60" w:after="0" w:line="240" w:lineRule="auto"/>
              <w:contextualSpacing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Skutočná hodnota počtu prepravených cestujúcich vo verejnej železničnej osobnej doprave bola v roku 2017 71,8 mil. cestujúcich, teda výrazne viac než cieľová hodnota ukazovateľa v roku 2023. Výrazný nárast (viac než 8-násobok očakávaného rastu) je spôsobený predovšetkým zavedením bezplatnej vlakovej dopravy pre študentov a seniorov. </w:t>
            </w:r>
          </w:p>
          <w:p w14:paraId="231EE141" w14:textId="77777777" w:rsidR="00CE3028" w:rsidRPr="00DD6590" w:rsidRDefault="00CE3028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Do konca roka 2018 boli v realizácii dva projekty, ktoré majú za cieľ zvýšiť počet prepravených cestujúcich vo verejnej železničnej osobnej doprave. Cieľovú hodnotu projektov nie je možné agregovať na úroveň cieľovej hodnoty OPII.</w:t>
            </w:r>
          </w:p>
          <w:p w14:paraId="34A7559F" w14:textId="154F6D40" w:rsidR="00CE3028" w:rsidRPr="00DD6590" w:rsidRDefault="00CE3028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Odporúčanie:</w:t>
            </w:r>
          </w:p>
          <w:p w14:paraId="6243D741" w14:textId="69FC881F" w:rsidR="00CE3028" w:rsidRPr="00DD6590" w:rsidRDefault="003612CF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lastRenderedPageBreak/>
              <w:t>Vykonať dopadové hodnotenie vplyvu projektov na tento ukazovateľ.</w:t>
            </w:r>
          </w:p>
        </w:tc>
      </w:tr>
    </w:tbl>
    <w:p w14:paraId="767ED27C" w14:textId="6A8A6923" w:rsidR="00527BCC" w:rsidRPr="00DD6590" w:rsidRDefault="00527BCC" w:rsidP="00725CA5"/>
    <w:p w14:paraId="7A5DDF52" w14:textId="77777777" w:rsidR="00F50048" w:rsidRPr="00DD6590" w:rsidRDefault="00F50048" w:rsidP="00F41009">
      <w:pPr>
        <w:rPr>
          <w:i/>
          <w:u w:val="single"/>
        </w:rPr>
      </w:pPr>
      <w:r w:rsidRPr="00DD6590">
        <w:rPr>
          <w:i/>
          <w:u w:val="single"/>
        </w:rPr>
        <w:t>Vyhodnotenie ukazovateľov výstupu</w:t>
      </w:r>
    </w:p>
    <w:p w14:paraId="7E4D4BCA" w14:textId="3356B7F0" w:rsidR="00E16394" w:rsidRPr="00DD6590" w:rsidRDefault="00E16394" w:rsidP="00E16394">
      <w:pPr>
        <w:pStyle w:val="Caption"/>
      </w:pPr>
      <w:bookmarkStart w:id="18" w:name="_Toc9845839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D23114">
        <w:rPr>
          <w:noProof/>
        </w:rPr>
        <w:t>8</w:t>
      </w:r>
      <w:r w:rsidRPr="00DD6590">
        <w:fldChar w:fldCharType="end"/>
      </w:r>
      <w:r w:rsidRPr="00DD6590">
        <w:t xml:space="preserve"> Vyhodnotenie ukazovateľov výstupu PO1</w:t>
      </w:r>
      <w:bookmarkEnd w:id="18"/>
      <w:r w:rsidRPr="00DD6590">
        <w:t xml:space="preserve"> </w:t>
      </w:r>
    </w:p>
    <w:tbl>
      <w:tblPr>
        <w:tblStyle w:val="TableGrid"/>
        <w:tblW w:w="14580" w:type="dxa"/>
        <w:tblInd w:w="-27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2610"/>
        <w:gridCol w:w="1350"/>
        <w:gridCol w:w="1535"/>
        <w:gridCol w:w="1710"/>
        <w:gridCol w:w="1350"/>
        <w:gridCol w:w="1170"/>
        <w:gridCol w:w="4405"/>
      </w:tblGrid>
      <w:tr w:rsidR="00BE2616" w:rsidRPr="00DD6590" w14:paraId="7BC247F7" w14:textId="77777777" w:rsidTr="00684A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450" w:type="dxa"/>
            <w:shd w:val="clear" w:color="auto" w:fill="DBDCDE" w:themeFill="text2" w:themeFillTint="33"/>
            <w:vAlign w:val="center"/>
          </w:tcPr>
          <w:p w14:paraId="76618016" w14:textId="77777777" w:rsidR="00BE2616" w:rsidRPr="00DD6590" w:rsidRDefault="00BE2616" w:rsidP="00527BCC">
            <w:pPr>
              <w:spacing w:before="60" w:after="0" w:line="240" w:lineRule="auto"/>
              <w:ind w:left="42" w:hanging="42"/>
              <w:contextualSpacing/>
              <w:jc w:val="left"/>
              <w:rPr>
                <w:b/>
                <w:sz w:val="16"/>
                <w:szCs w:val="16"/>
              </w:rPr>
            </w:pPr>
            <w:proofErr w:type="spellStart"/>
            <w:r w:rsidRPr="00DD6590">
              <w:rPr>
                <w:b/>
                <w:sz w:val="16"/>
                <w:szCs w:val="16"/>
              </w:rPr>
              <w:t>P.č</w:t>
            </w:r>
            <w:proofErr w:type="spellEnd"/>
            <w:r w:rsidRPr="00DD6590">
              <w:rPr>
                <w:b/>
                <w:sz w:val="16"/>
                <w:szCs w:val="16"/>
              </w:rPr>
              <w:t xml:space="preserve">. </w:t>
            </w:r>
          </w:p>
        </w:tc>
        <w:tc>
          <w:tcPr>
            <w:tcW w:w="2610" w:type="dxa"/>
            <w:shd w:val="clear" w:color="auto" w:fill="DBDCDE" w:themeFill="text2" w:themeFillTint="33"/>
            <w:vAlign w:val="center"/>
          </w:tcPr>
          <w:p w14:paraId="157BC800" w14:textId="77777777" w:rsidR="00BE2616" w:rsidRPr="00DD6590" w:rsidRDefault="00BE2616" w:rsidP="00527BCC">
            <w:pPr>
              <w:spacing w:before="60" w:after="0" w:line="240" w:lineRule="auto"/>
              <w:ind w:left="42" w:hanging="42"/>
              <w:contextualSpacing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Ukazovateľ výstupu</w:t>
            </w:r>
          </w:p>
        </w:tc>
        <w:tc>
          <w:tcPr>
            <w:tcW w:w="1350" w:type="dxa"/>
            <w:shd w:val="clear" w:color="auto" w:fill="DBDCDE" w:themeFill="text2" w:themeFillTint="33"/>
            <w:vAlign w:val="center"/>
          </w:tcPr>
          <w:p w14:paraId="48B47327" w14:textId="738E927D" w:rsidR="00BE2616" w:rsidRPr="00DD6590" w:rsidRDefault="00BE2616" w:rsidP="00527BCC">
            <w:pPr>
              <w:spacing w:before="60" w:after="0" w:line="240" w:lineRule="auto"/>
              <w:ind w:left="42" w:firstLine="12"/>
              <w:contextualSpacing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Cieľová hodnota </w:t>
            </w:r>
            <w:r w:rsidR="00A64CF0" w:rsidRPr="00DD6590">
              <w:rPr>
                <w:b/>
                <w:sz w:val="16"/>
                <w:szCs w:val="16"/>
              </w:rPr>
              <w:t xml:space="preserve">OPII </w:t>
            </w:r>
            <w:r w:rsidRPr="00DD6590">
              <w:rPr>
                <w:b/>
                <w:sz w:val="16"/>
                <w:szCs w:val="16"/>
              </w:rPr>
              <w:t>(2023)</w:t>
            </w:r>
          </w:p>
        </w:tc>
        <w:tc>
          <w:tcPr>
            <w:tcW w:w="1535" w:type="dxa"/>
            <w:shd w:val="clear" w:color="auto" w:fill="DBDCDE" w:themeFill="text2" w:themeFillTint="33"/>
            <w:vAlign w:val="center"/>
          </w:tcPr>
          <w:p w14:paraId="4DB28020" w14:textId="77777777" w:rsidR="00BE2616" w:rsidRPr="00DD6590" w:rsidRDefault="00BE2616" w:rsidP="00527BCC">
            <w:pPr>
              <w:spacing w:before="60" w:after="0" w:line="240" w:lineRule="auto"/>
              <w:ind w:left="72"/>
              <w:contextualSpacing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Cieľové hodnoty projektov </w:t>
            </w:r>
            <w:r w:rsidRPr="00DD6590">
              <w:rPr>
                <w:b/>
                <w:sz w:val="16"/>
                <w:szCs w:val="16"/>
              </w:rPr>
              <w:br/>
              <w:t>v realizácii</w:t>
            </w:r>
          </w:p>
        </w:tc>
        <w:tc>
          <w:tcPr>
            <w:tcW w:w="1710" w:type="dxa"/>
            <w:shd w:val="clear" w:color="auto" w:fill="DBDCDE" w:themeFill="text2" w:themeFillTint="33"/>
            <w:vAlign w:val="center"/>
          </w:tcPr>
          <w:p w14:paraId="53EA271D" w14:textId="77777777" w:rsidR="00BE2616" w:rsidRPr="00DD6590" w:rsidRDefault="00BE2616" w:rsidP="00527BCC">
            <w:pPr>
              <w:spacing w:before="60" w:after="0" w:line="240" w:lineRule="auto"/>
              <w:ind w:left="42" w:hanging="6"/>
              <w:contextualSpacing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Skutočné hodnoty projektov </w:t>
            </w:r>
            <w:r w:rsidRPr="00DD6590">
              <w:rPr>
                <w:b/>
                <w:sz w:val="16"/>
                <w:szCs w:val="16"/>
              </w:rPr>
              <w:br/>
              <w:t>v realizácii</w:t>
            </w:r>
          </w:p>
        </w:tc>
        <w:tc>
          <w:tcPr>
            <w:tcW w:w="1350" w:type="dxa"/>
            <w:shd w:val="clear" w:color="auto" w:fill="DBDCDE" w:themeFill="text2" w:themeFillTint="33"/>
            <w:vAlign w:val="center"/>
          </w:tcPr>
          <w:p w14:paraId="58EB550E" w14:textId="77777777" w:rsidR="00BE2616" w:rsidRPr="00DD6590" w:rsidRDefault="00BE2616" w:rsidP="00527BCC">
            <w:pPr>
              <w:spacing w:before="60" w:after="0" w:line="240" w:lineRule="auto"/>
              <w:ind w:left="42" w:hanging="42"/>
              <w:contextualSpacing/>
              <w:jc w:val="center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Hodnotenie</w:t>
            </w:r>
          </w:p>
        </w:tc>
        <w:tc>
          <w:tcPr>
            <w:tcW w:w="1170" w:type="dxa"/>
            <w:shd w:val="clear" w:color="auto" w:fill="DBDCDE" w:themeFill="text2" w:themeFillTint="33"/>
            <w:vAlign w:val="center"/>
          </w:tcPr>
          <w:p w14:paraId="572AEBE7" w14:textId="77777777" w:rsidR="00BE2616" w:rsidRPr="00DD6590" w:rsidRDefault="00BE2616" w:rsidP="00527BCC">
            <w:pPr>
              <w:spacing w:before="60" w:after="0" w:line="240" w:lineRule="auto"/>
              <w:ind w:left="42" w:hanging="42"/>
              <w:contextualSpacing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Počet projektov</w:t>
            </w:r>
          </w:p>
        </w:tc>
        <w:tc>
          <w:tcPr>
            <w:tcW w:w="4405" w:type="dxa"/>
            <w:shd w:val="clear" w:color="auto" w:fill="DBDCDE" w:themeFill="text2" w:themeFillTint="33"/>
            <w:vAlign w:val="center"/>
          </w:tcPr>
          <w:p w14:paraId="24A8D363" w14:textId="77777777" w:rsidR="00BE2616" w:rsidRPr="00DD6590" w:rsidRDefault="00BE2616" w:rsidP="00527BCC">
            <w:pPr>
              <w:spacing w:before="60" w:after="0" w:line="240" w:lineRule="auto"/>
              <w:ind w:left="42" w:firstLine="6"/>
              <w:contextualSpacing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Hlavné zistenia a odporúčania</w:t>
            </w:r>
          </w:p>
        </w:tc>
      </w:tr>
      <w:tr w:rsidR="00BE2616" w:rsidRPr="00DD6590" w14:paraId="1E92EE78" w14:textId="77777777" w:rsidTr="00684A9E">
        <w:trPr>
          <w:trHeight w:val="20"/>
        </w:trPr>
        <w:tc>
          <w:tcPr>
            <w:tcW w:w="450" w:type="dxa"/>
            <w:vAlign w:val="center"/>
          </w:tcPr>
          <w:p w14:paraId="674FC81D" w14:textId="77777777" w:rsidR="00BE2616" w:rsidRPr="00DD6590" w:rsidRDefault="00BE2616" w:rsidP="00527BCC">
            <w:pPr>
              <w:pStyle w:val="Style30"/>
              <w:widowControl/>
              <w:spacing w:before="60" w:after="0" w:line="240" w:lineRule="auto"/>
              <w:ind w:left="-24" w:firstLine="24"/>
              <w:contextualSpacing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610" w:type="dxa"/>
            <w:vAlign w:val="center"/>
          </w:tcPr>
          <w:p w14:paraId="7ABCE443" w14:textId="77777777" w:rsidR="00BE2616" w:rsidRPr="00DD6590" w:rsidRDefault="00BE2616" w:rsidP="00527BCC">
            <w:pPr>
              <w:pStyle w:val="Style30"/>
              <w:widowControl/>
              <w:spacing w:before="60" w:after="0" w:line="240" w:lineRule="auto"/>
              <w:ind w:left="85"/>
              <w:contextualSpacing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Celková dĺžka rekonštruovaných alebo zrenovovaných železničných tretí v sieti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br/>
              <w:t>TEN-T (v km)</w:t>
            </w:r>
          </w:p>
        </w:tc>
        <w:tc>
          <w:tcPr>
            <w:tcW w:w="1350" w:type="dxa"/>
            <w:vAlign w:val="center"/>
          </w:tcPr>
          <w:p w14:paraId="3B8DD57A" w14:textId="77777777" w:rsidR="00BE2616" w:rsidRPr="00DD6590" w:rsidRDefault="00BE2616" w:rsidP="00527BCC">
            <w:pPr>
              <w:pStyle w:val="Style30"/>
              <w:widowControl/>
              <w:spacing w:before="60" w:after="0" w:line="240" w:lineRule="auto"/>
              <w:ind w:left="-24" w:firstLine="24"/>
              <w:contextualSpacing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34,8 km</w:t>
            </w:r>
          </w:p>
        </w:tc>
        <w:tc>
          <w:tcPr>
            <w:tcW w:w="1535" w:type="dxa"/>
            <w:vAlign w:val="center"/>
          </w:tcPr>
          <w:p w14:paraId="4B437BF7" w14:textId="77777777" w:rsidR="00BE2616" w:rsidRPr="00DD6590" w:rsidRDefault="00BE2616" w:rsidP="00527BCC">
            <w:pPr>
              <w:spacing w:before="60" w:after="0" w:line="240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24,69 km</w:t>
            </w:r>
          </w:p>
          <w:p w14:paraId="76F799FB" w14:textId="525B9344" w:rsidR="00BE2616" w:rsidRPr="00DD6590" w:rsidRDefault="00BE2616" w:rsidP="00527BCC">
            <w:pPr>
              <w:spacing w:before="60" w:after="0" w:line="240" w:lineRule="auto"/>
              <w:contextualSpacing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</w:rPr>
              <w:t>(71</w:t>
            </w:r>
            <w:r w:rsidR="00B662EA">
              <w:rPr>
                <w:color w:val="000000"/>
                <w:sz w:val="16"/>
                <w:szCs w:val="16"/>
              </w:rPr>
              <w:t> </w:t>
            </w:r>
            <w:r w:rsidRPr="00DD6590">
              <w:rPr>
                <w:color w:val="000000"/>
                <w:sz w:val="16"/>
                <w:szCs w:val="16"/>
              </w:rPr>
              <w:t>%)</w:t>
            </w:r>
          </w:p>
        </w:tc>
        <w:tc>
          <w:tcPr>
            <w:tcW w:w="1710" w:type="dxa"/>
            <w:vAlign w:val="center"/>
          </w:tcPr>
          <w:p w14:paraId="13DB1791" w14:textId="547D8545" w:rsidR="00BE2616" w:rsidRPr="00DD6590" w:rsidRDefault="00BE2616" w:rsidP="00527BCC">
            <w:pPr>
              <w:pStyle w:val="Style30"/>
              <w:widowControl/>
              <w:spacing w:before="60" w:after="0" w:line="240" w:lineRule="auto"/>
              <w:ind w:left="-24" w:firstLine="24"/>
              <w:contextualSpacing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15,29 km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br/>
              <w:t>(44</w:t>
            </w:r>
            <w:r w:rsidR="00B662EA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%)</w:t>
            </w:r>
          </w:p>
        </w:tc>
        <w:tc>
          <w:tcPr>
            <w:tcW w:w="1350" w:type="dxa"/>
            <w:shd w:val="clear" w:color="auto" w:fill="FFD653"/>
            <w:vAlign w:val="center"/>
          </w:tcPr>
          <w:p w14:paraId="5723C002" w14:textId="21884AC1" w:rsidR="00BE2616" w:rsidRPr="00DD6590" w:rsidRDefault="00447916" w:rsidP="00527BCC">
            <w:pPr>
              <w:pStyle w:val="Style30"/>
              <w:widowControl/>
              <w:spacing w:before="60" w:after="0" w:line="240" w:lineRule="auto"/>
              <w:ind w:left="-24" w:firstLine="24"/>
              <w:contextualSpacing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71</w:t>
            </w:r>
            <w:r w:rsidR="00B662EA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189FE9F" w14:textId="77777777" w:rsidR="00BE2616" w:rsidRPr="00DD6590" w:rsidRDefault="00EC1F27" w:rsidP="00527BCC">
            <w:pPr>
              <w:pStyle w:val="Style30"/>
              <w:widowControl/>
              <w:spacing w:before="60" w:after="0" w:line="240" w:lineRule="auto"/>
              <w:ind w:left="-24" w:firstLine="24"/>
              <w:contextualSpacing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405" w:type="dxa"/>
            <w:vAlign w:val="center"/>
          </w:tcPr>
          <w:p w14:paraId="75F9D0D5" w14:textId="4D692581" w:rsidR="00BE2616" w:rsidRPr="00DD6590" w:rsidRDefault="004E3A07" w:rsidP="00527BCC">
            <w:pPr>
              <w:spacing w:before="60" w:after="0" w:line="240" w:lineRule="auto"/>
              <w:contextualSpacing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Do konca roka 2018</w:t>
            </w:r>
            <w:r w:rsidR="00BE2616" w:rsidRPr="00DD6590">
              <w:rPr>
                <w:sz w:val="16"/>
                <w:szCs w:val="16"/>
              </w:rPr>
              <w:t xml:space="preserve"> bolo celkom zrekonštruovaných alebo zrenovovaných 15,29 km železničných tratí (44</w:t>
            </w:r>
            <w:r w:rsidR="00B662EA">
              <w:rPr>
                <w:sz w:val="16"/>
                <w:szCs w:val="16"/>
              </w:rPr>
              <w:t> </w:t>
            </w:r>
            <w:r w:rsidR="00BE2616" w:rsidRPr="00DD6590">
              <w:rPr>
                <w:sz w:val="16"/>
                <w:szCs w:val="16"/>
              </w:rPr>
              <w:t>% cieľovej hodnoty). Súhrn cieľovej hodnoty v rámci kontrahovaných projek</w:t>
            </w:r>
            <w:r w:rsidR="000C2750" w:rsidRPr="00DD6590">
              <w:rPr>
                <w:sz w:val="16"/>
                <w:szCs w:val="16"/>
              </w:rPr>
              <w:t>tov je 24,</w:t>
            </w:r>
            <w:r w:rsidR="00BE2616" w:rsidRPr="00DD6590">
              <w:rPr>
                <w:sz w:val="16"/>
                <w:szCs w:val="16"/>
              </w:rPr>
              <w:t>69 km (71</w:t>
            </w:r>
            <w:r w:rsidR="00B662EA">
              <w:rPr>
                <w:sz w:val="16"/>
                <w:szCs w:val="16"/>
              </w:rPr>
              <w:t> </w:t>
            </w:r>
            <w:r w:rsidR="00BE2616" w:rsidRPr="00DD6590">
              <w:rPr>
                <w:sz w:val="16"/>
                <w:szCs w:val="16"/>
              </w:rPr>
              <w:t xml:space="preserve">% cieľovej hodnoty programu). V priebehu ďalšieho </w:t>
            </w:r>
            <w:r w:rsidR="003612CF" w:rsidRPr="00DD6590">
              <w:rPr>
                <w:sz w:val="16"/>
                <w:szCs w:val="16"/>
              </w:rPr>
              <w:t xml:space="preserve">roka 2020 </w:t>
            </w:r>
            <w:r w:rsidR="00BE2616" w:rsidRPr="00DD6590">
              <w:rPr>
                <w:sz w:val="16"/>
                <w:szCs w:val="16"/>
              </w:rPr>
              <w:t xml:space="preserve">sa predpokladá schválenie projektu Dostavba zriaďovacej stanice Žilina – Teplička, v rámci ktorého by mali byť zrekonštruované alebo zrenovované trate vedúce k naplneniu cieľovej hodnoty ukazovateľa. </w:t>
            </w:r>
          </w:p>
          <w:p w14:paraId="0BCD68A1" w14:textId="77777777" w:rsidR="00BE2616" w:rsidRPr="00DD6590" w:rsidRDefault="00BE2616" w:rsidP="00527BCC">
            <w:pPr>
              <w:pStyle w:val="Style30"/>
              <w:widowControl/>
              <w:spacing w:before="60" w:after="0" w:line="240" w:lineRule="auto"/>
              <w:ind w:left="-24" w:firstLine="24"/>
              <w:contextualSpacing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Odporúčania:</w:t>
            </w:r>
          </w:p>
          <w:p w14:paraId="623395AB" w14:textId="77777777" w:rsidR="00BE2616" w:rsidRPr="00DD6590" w:rsidRDefault="00BE2616" w:rsidP="003E761D">
            <w:pPr>
              <w:pStyle w:val="Style30"/>
              <w:widowControl/>
              <w:numPr>
                <w:ilvl w:val="0"/>
                <w:numId w:val="14"/>
              </w:numPr>
              <w:spacing w:before="60" w:after="0" w:line="240" w:lineRule="auto"/>
              <w:ind w:left="244" w:hanging="187"/>
              <w:contextualSpacing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Pre naplnenie cieľovej hodnoty v roku 2023 je kľúčové:</w:t>
            </w:r>
          </w:p>
          <w:p w14:paraId="7001AF43" w14:textId="195B5590" w:rsidR="00BE2616" w:rsidRPr="00DD6590" w:rsidRDefault="00BE2616" w:rsidP="003E761D">
            <w:pPr>
              <w:pStyle w:val="Style30"/>
              <w:widowControl/>
              <w:numPr>
                <w:ilvl w:val="0"/>
                <w:numId w:val="15"/>
              </w:numPr>
              <w:spacing w:before="60" w:after="0" w:line="240" w:lineRule="auto"/>
              <w:ind w:left="504" w:hanging="216"/>
              <w:contextualSpacing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Dohliadnuť na naplnenie cieľového ukazovateľa v rámci projektu </w:t>
            </w:r>
            <w:r w:rsidR="008630F5" w:rsidRPr="00DD6590">
              <w:rPr>
                <w:rFonts w:asciiTheme="minorHAnsi" w:hAnsiTheme="minorHAnsi"/>
                <w:sz w:val="16"/>
                <w:szCs w:val="16"/>
              </w:rPr>
              <w:t xml:space="preserve">v realizácii </w:t>
            </w:r>
            <w:r w:rsidR="00B662EA">
              <w:rPr>
                <w:rFonts w:asciiTheme="minorHAnsi" w:hAnsiTheme="minorHAnsi"/>
                <w:sz w:val="16"/>
                <w:szCs w:val="16"/>
              </w:rPr>
              <w:t>,</w:t>
            </w:r>
          </w:p>
          <w:p w14:paraId="0BAD9DFF" w14:textId="7C747AA4" w:rsidR="00BE2616" w:rsidRPr="00DD6590" w:rsidRDefault="00BE2616" w:rsidP="00495546">
            <w:pPr>
              <w:pStyle w:val="Style30"/>
              <w:widowControl/>
              <w:numPr>
                <w:ilvl w:val="0"/>
                <w:numId w:val="15"/>
              </w:numPr>
              <w:spacing w:before="60" w:after="0" w:line="240" w:lineRule="auto"/>
              <w:ind w:left="504" w:hanging="216"/>
              <w:contextualSpacing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Kontrahovať projekt,</w:t>
            </w: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 xml:space="preserve"> ktorý bude </w:t>
            </w:r>
            <w:r w:rsidR="00495546" w:rsidRPr="00DD6590">
              <w:rPr>
                <w:rFonts w:asciiTheme="minorHAnsi" w:hAnsiTheme="minorHAnsi"/>
                <w:b/>
                <w:sz w:val="16"/>
                <w:szCs w:val="16"/>
              </w:rPr>
              <w:t>zah</w:t>
            </w:r>
            <w:r w:rsidR="00495546">
              <w:rPr>
                <w:rFonts w:asciiTheme="minorHAnsi" w:hAnsiTheme="minorHAnsi"/>
                <w:b/>
                <w:sz w:val="16"/>
                <w:szCs w:val="16"/>
              </w:rPr>
              <w:t>ŕňať</w:t>
            </w:r>
            <w:r w:rsidR="00495546" w:rsidRPr="00DD6590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>rekonštrukciu alebo renováciu min. 10,11 km tratí.</w:t>
            </w:r>
          </w:p>
        </w:tc>
      </w:tr>
      <w:tr w:rsidR="00BE2616" w:rsidRPr="00DD6590" w14:paraId="57C41772" w14:textId="77777777" w:rsidTr="00684A9E">
        <w:trPr>
          <w:trHeight w:val="20"/>
        </w:trPr>
        <w:tc>
          <w:tcPr>
            <w:tcW w:w="450" w:type="dxa"/>
            <w:vAlign w:val="center"/>
          </w:tcPr>
          <w:p w14:paraId="05D3393B" w14:textId="77777777" w:rsidR="00BE2616" w:rsidRPr="00DD6590" w:rsidRDefault="00BE2616" w:rsidP="00527BCC">
            <w:pPr>
              <w:pStyle w:val="Style30"/>
              <w:widowControl/>
              <w:spacing w:before="60" w:after="0" w:line="240" w:lineRule="auto"/>
              <w:ind w:left="-24" w:firstLine="24"/>
              <w:contextualSpacing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610" w:type="dxa"/>
            <w:vAlign w:val="center"/>
          </w:tcPr>
          <w:p w14:paraId="1347326D" w14:textId="77777777" w:rsidR="00BE2616" w:rsidRPr="00DD6590" w:rsidRDefault="00BE2616" w:rsidP="00527BCC">
            <w:pPr>
              <w:pStyle w:val="Style30"/>
              <w:widowControl/>
              <w:spacing w:before="60" w:after="0" w:line="240" w:lineRule="auto"/>
              <w:ind w:left="85" w:hanging="13"/>
              <w:contextualSpacing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Dĺžka železničných tratí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br/>
              <w:t>TEN-T CORE so zavedeným systémom ERTMS</w:t>
            </w:r>
          </w:p>
        </w:tc>
        <w:tc>
          <w:tcPr>
            <w:tcW w:w="1350" w:type="dxa"/>
            <w:vAlign w:val="center"/>
          </w:tcPr>
          <w:p w14:paraId="2D663699" w14:textId="77777777" w:rsidR="00BE2616" w:rsidRPr="00DD6590" w:rsidRDefault="00BE2616" w:rsidP="00527BCC">
            <w:pPr>
              <w:pStyle w:val="Style30"/>
              <w:widowControl/>
              <w:spacing w:before="60" w:after="0" w:line="240" w:lineRule="auto"/>
              <w:ind w:left="-24" w:firstLine="24"/>
              <w:contextualSpacing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71 km</w:t>
            </w:r>
          </w:p>
        </w:tc>
        <w:tc>
          <w:tcPr>
            <w:tcW w:w="1535" w:type="dxa"/>
            <w:vAlign w:val="center"/>
          </w:tcPr>
          <w:p w14:paraId="45494B7F" w14:textId="77777777" w:rsidR="00BE2616" w:rsidRPr="00DD6590" w:rsidRDefault="002B63DA" w:rsidP="00527BCC">
            <w:pPr>
              <w:pStyle w:val="Style30"/>
              <w:widowControl/>
              <w:spacing w:before="60" w:after="0" w:line="240" w:lineRule="auto"/>
              <w:ind w:left="-24" w:firstLine="24"/>
              <w:contextualSpacing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 km</w:t>
            </w:r>
          </w:p>
        </w:tc>
        <w:tc>
          <w:tcPr>
            <w:tcW w:w="1710" w:type="dxa"/>
            <w:vAlign w:val="center"/>
          </w:tcPr>
          <w:p w14:paraId="27E21EA8" w14:textId="77777777" w:rsidR="00BE2616" w:rsidRPr="00DD6590" w:rsidRDefault="002B63DA" w:rsidP="00527BCC">
            <w:pPr>
              <w:pStyle w:val="Style30"/>
              <w:widowControl/>
              <w:spacing w:before="60" w:after="0" w:line="240" w:lineRule="auto"/>
              <w:ind w:left="-24" w:firstLine="24"/>
              <w:contextualSpacing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0 km</w:t>
            </w:r>
          </w:p>
        </w:tc>
        <w:tc>
          <w:tcPr>
            <w:tcW w:w="1350" w:type="dxa"/>
            <w:shd w:val="clear" w:color="auto" w:fill="EF858F"/>
            <w:vAlign w:val="center"/>
          </w:tcPr>
          <w:p w14:paraId="28BECC81" w14:textId="73AEC772" w:rsidR="00BE2616" w:rsidRPr="00DD6590" w:rsidRDefault="00447916" w:rsidP="00527BCC">
            <w:pPr>
              <w:pStyle w:val="Style30"/>
              <w:widowControl/>
              <w:spacing w:before="60" w:after="0" w:line="240" w:lineRule="auto"/>
              <w:ind w:left="-24" w:firstLine="24"/>
              <w:contextualSpacing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0</w:t>
            </w:r>
            <w:r w:rsidR="00B662EA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AB8308E" w14:textId="77777777" w:rsidR="00BE2616" w:rsidRPr="00DD6590" w:rsidRDefault="00EC1F27" w:rsidP="00527BCC">
            <w:pPr>
              <w:pStyle w:val="Style30"/>
              <w:widowControl/>
              <w:spacing w:before="60" w:after="0" w:line="240" w:lineRule="auto"/>
              <w:ind w:left="-24" w:firstLine="24"/>
              <w:contextualSpacing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405" w:type="dxa"/>
            <w:vAlign w:val="center"/>
          </w:tcPr>
          <w:p w14:paraId="472B7A32" w14:textId="4BE62D72" w:rsidR="00BE2616" w:rsidRPr="00DD6590" w:rsidRDefault="008630F5" w:rsidP="001B2DF0">
            <w:pPr>
              <w:pStyle w:val="Style30"/>
              <w:widowControl/>
              <w:spacing w:before="60" w:after="0" w:line="240" w:lineRule="auto"/>
              <w:ind w:left="-5" w:firstLine="5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Do konca roka 2018 nebol</w:t>
            </w:r>
            <w:r w:rsidR="00BE2616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realizovaný ani jeden projekt, ktorý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by mal </w:t>
            </w:r>
            <w:r w:rsidR="00BE2616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za cieľ zvýšenie dĺžky železničných tratí TEN-T CORE so zavedeným systémom ERTMS. Plánuje sa realizácia jedného projektu (Implementácia ERTMS na úseku Devínska Nová Ves – štátna hranica SR / ČR) s týmto ukazovateľom, avšak tento projekt </w:t>
            </w:r>
            <w:r w:rsidR="000C2750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naplní </w:t>
            </w:r>
            <w:r w:rsidR="00A64CF0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cieľovú hodnotu </w:t>
            </w:r>
            <w:r w:rsidR="00BE2616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ukazovateľa</w:t>
            </w:r>
            <w:r w:rsidR="000C2750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len čiastočne</w:t>
            </w:r>
            <w:r w:rsidR="00495546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,</w:t>
            </w:r>
            <w:r w:rsidR="000C2750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cca na </w:t>
            </w:r>
            <w:r w:rsidR="000C2750" w:rsidRPr="00DD6590">
              <w:rPr>
                <w:rFonts w:asciiTheme="minorHAnsi" w:hAnsiTheme="minorHAnsi"/>
                <w:sz w:val="16"/>
                <w:szCs w:val="16"/>
              </w:rPr>
              <w:t>80</w:t>
            </w:r>
            <w:r w:rsidR="00495546">
              <w:rPr>
                <w:rFonts w:asciiTheme="minorHAnsi" w:hAnsiTheme="minorHAnsi"/>
                <w:sz w:val="16"/>
                <w:szCs w:val="16"/>
              </w:rPr>
              <w:t> </w:t>
            </w:r>
            <w:r w:rsidR="000C2750" w:rsidRPr="00DD6590">
              <w:rPr>
                <w:rFonts w:asciiTheme="minorHAnsi" w:hAnsiTheme="minorHAnsi"/>
                <w:sz w:val="16"/>
                <w:szCs w:val="16"/>
              </w:rPr>
              <w:t>%</w:t>
            </w:r>
            <w:r w:rsidR="00BE2616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. </w:t>
            </w:r>
          </w:p>
          <w:p w14:paraId="2D559DEC" w14:textId="3542F06E" w:rsidR="008A4FF3" w:rsidRPr="00DD6590" w:rsidRDefault="008A4FF3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Pôvodne bol plánovaný v rámci ŠC 1.2 projekt „</w:t>
            </w:r>
            <w:r w:rsidR="00FF147F" w:rsidRPr="00DD6590">
              <w:rPr>
                <w:sz w:val="16"/>
                <w:szCs w:val="16"/>
              </w:rPr>
              <w:t>Modernizácie železničnej trate Bratislava – Kúty – št.hr. SR/ČR</w:t>
            </w:r>
            <w:r w:rsidR="00195F7B" w:rsidRPr="00DD6590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“, ktorý sa implementuje z CEF.</w:t>
            </w:r>
          </w:p>
          <w:p w14:paraId="69FBBC5C" w14:textId="77777777" w:rsidR="00BE2616" w:rsidRPr="00DD6590" w:rsidRDefault="00BE2616" w:rsidP="00527BCC">
            <w:pPr>
              <w:pStyle w:val="Style30"/>
              <w:widowControl/>
              <w:spacing w:before="60" w:after="0" w:line="240" w:lineRule="auto"/>
              <w:ind w:left="79" w:firstLine="24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Odporúčanie: </w:t>
            </w:r>
          </w:p>
          <w:p w14:paraId="7975FA59" w14:textId="5C0B0F0E" w:rsidR="00BE2616" w:rsidRPr="00DD6590" w:rsidRDefault="00BE2616" w:rsidP="00527BC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>Kontrahovať projekty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, ktoré budú mať za cieľ zvýšiť dĺžku železničných tratí TEN-T CORE so zavedeným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systémom ERTMS</w:t>
            </w: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 xml:space="preserve"> v súhrnnej cieľovej hodnote 71 km.</w:t>
            </w:r>
          </w:p>
          <w:p w14:paraId="3E121BDF" w14:textId="7CDB2637" w:rsidR="00BE2616" w:rsidRPr="00DD6590" w:rsidRDefault="00BE2616" w:rsidP="00495546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Alternatívne odporúčame</w:t>
            </w: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prehodnotiť zacielenie ŠC 1.2, </w:t>
            </w:r>
            <w:r w:rsidR="00495546" w:rsidRPr="00DD6590">
              <w:rPr>
                <w:rFonts w:asciiTheme="minorHAnsi" w:hAnsiTheme="minorHAnsi"/>
                <w:sz w:val="16"/>
                <w:szCs w:val="16"/>
              </w:rPr>
              <w:t>prerokova</w:t>
            </w:r>
            <w:r w:rsidR="00495546">
              <w:rPr>
                <w:rFonts w:asciiTheme="minorHAnsi" w:hAnsiTheme="minorHAnsi"/>
                <w:sz w:val="16"/>
                <w:szCs w:val="16"/>
              </w:rPr>
              <w:t>ť</w:t>
            </w:r>
            <w:r w:rsidR="00495546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630F5" w:rsidRPr="00DD6590">
              <w:rPr>
                <w:rFonts w:asciiTheme="minorHAnsi" w:hAnsiTheme="minorHAnsi"/>
                <w:sz w:val="16"/>
                <w:szCs w:val="16"/>
              </w:rPr>
              <w:t>zmeny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ukazovateľa a prípadne </w:t>
            </w:r>
            <w:r w:rsidR="00495546" w:rsidRPr="00DD6590">
              <w:rPr>
                <w:rFonts w:asciiTheme="minorHAnsi" w:hAnsiTheme="minorHAnsi"/>
                <w:sz w:val="16"/>
                <w:szCs w:val="16"/>
              </w:rPr>
              <w:t>využ</w:t>
            </w:r>
            <w:r w:rsidR="00495546">
              <w:rPr>
                <w:rFonts w:asciiTheme="minorHAnsi" w:hAnsiTheme="minorHAnsi"/>
                <w:sz w:val="16"/>
                <w:szCs w:val="16"/>
              </w:rPr>
              <w:t>iť</w:t>
            </w:r>
            <w:r w:rsidR="00495546" w:rsidRPr="00DD6590">
              <w:rPr>
                <w:rFonts w:asciiTheme="minorHAnsi" w:hAnsiTheme="minorHAnsi"/>
                <w:sz w:val="16"/>
                <w:szCs w:val="16"/>
              </w:rPr>
              <w:t xml:space="preserve"> finančn</w:t>
            </w:r>
            <w:r w:rsidR="00495546">
              <w:rPr>
                <w:rFonts w:asciiTheme="minorHAnsi" w:hAnsiTheme="minorHAnsi"/>
                <w:sz w:val="16"/>
                <w:szCs w:val="16"/>
              </w:rPr>
              <w:t>é</w:t>
            </w:r>
            <w:r w:rsidR="00495546" w:rsidRPr="00DD6590">
              <w:rPr>
                <w:rFonts w:asciiTheme="minorHAnsi" w:hAnsiTheme="minorHAnsi"/>
                <w:sz w:val="16"/>
                <w:szCs w:val="16"/>
              </w:rPr>
              <w:t xml:space="preserve"> prostriedk</w:t>
            </w:r>
            <w:r w:rsidR="00495546">
              <w:rPr>
                <w:rFonts w:asciiTheme="minorHAnsi" w:hAnsiTheme="minorHAnsi"/>
                <w:sz w:val="16"/>
                <w:szCs w:val="16"/>
              </w:rPr>
              <w:t>y</w:t>
            </w:r>
            <w:r w:rsidR="00495546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A64CF0" w:rsidRPr="00DD6590">
              <w:rPr>
                <w:rFonts w:asciiTheme="minorHAnsi" w:hAnsiTheme="minorHAnsi"/>
                <w:sz w:val="16"/>
                <w:szCs w:val="16"/>
              </w:rPr>
              <w:t>v rámci iného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ŠC PO1</w:t>
            </w:r>
            <w:r w:rsidR="00876B01" w:rsidRPr="00DD6590">
              <w:rPr>
                <w:rFonts w:asciiTheme="minorHAnsi" w:hAnsiTheme="minorHAnsi"/>
                <w:sz w:val="16"/>
                <w:szCs w:val="16"/>
              </w:rPr>
              <w:t>, vzhľadom na stav prípravy projektu zameraného na tento ŠC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.</w:t>
            </w:r>
            <w:r w:rsidR="00876B01" w:rsidRPr="00DD6590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</w:tc>
      </w:tr>
      <w:tr w:rsidR="00BE2616" w:rsidRPr="00DD6590" w14:paraId="156D4D9B" w14:textId="77777777" w:rsidTr="00684A9E">
        <w:trPr>
          <w:trHeight w:val="20"/>
        </w:trPr>
        <w:tc>
          <w:tcPr>
            <w:tcW w:w="450" w:type="dxa"/>
            <w:vAlign w:val="center"/>
          </w:tcPr>
          <w:p w14:paraId="18C45DAA" w14:textId="77777777" w:rsidR="00BE2616" w:rsidRPr="00DD6590" w:rsidRDefault="00BE2616" w:rsidP="00527BCC">
            <w:pPr>
              <w:pStyle w:val="Style30"/>
              <w:widowControl/>
              <w:spacing w:before="60" w:after="0" w:line="240" w:lineRule="auto"/>
              <w:ind w:left="-24" w:firstLine="24"/>
              <w:contextualSpacing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lastRenderedPageBreak/>
              <w:t>3</w:t>
            </w:r>
          </w:p>
        </w:tc>
        <w:tc>
          <w:tcPr>
            <w:tcW w:w="2610" w:type="dxa"/>
            <w:vAlign w:val="center"/>
          </w:tcPr>
          <w:p w14:paraId="4049EFCA" w14:textId="77777777" w:rsidR="00BE2616" w:rsidRPr="00DD6590" w:rsidRDefault="00BE2616" w:rsidP="00527BCC">
            <w:pPr>
              <w:pStyle w:val="Style30"/>
              <w:widowControl/>
              <w:spacing w:before="60" w:after="0" w:line="240" w:lineRule="auto"/>
              <w:ind w:left="85" w:firstLine="23"/>
              <w:contextualSpacing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Počet obnovených vlakových súprav v železničnej verejnej osobnej doprave</w:t>
            </w:r>
          </w:p>
        </w:tc>
        <w:tc>
          <w:tcPr>
            <w:tcW w:w="1350" w:type="dxa"/>
            <w:vAlign w:val="center"/>
          </w:tcPr>
          <w:p w14:paraId="6F80F897" w14:textId="77777777" w:rsidR="00BE2616" w:rsidRPr="00DD6590" w:rsidRDefault="00BE2616" w:rsidP="00527BCC">
            <w:pPr>
              <w:pStyle w:val="Style30"/>
              <w:widowControl/>
              <w:spacing w:before="60" w:after="0" w:line="240" w:lineRule="auto"/>
              <w:ind w:left="-24" w:firstLine="24"/>
              <w:contextualSpacing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1535" w:type="dxa"/>
            <w:vAlign w:val="center"/>
          </w:tcPr>
          <w:p w14:paraId="41CD9B63" w14:textId="77777777" w:rsidR="00BE2616" w:rsidRPr="00DD6590" w:rsidRDefault="00BE2616" w:rsidP="00527BCC">
            <w:pPr>
              <w:pStyle w:val="Style30"/>
              <w:widowControl/>
              <w:spacing w:before="60" w:after="0" w:line="240" w:lineRule="auto"/>
              <w:ind w:left="-24" w:firstLine="24"/>
              <w:contextualSpacing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46</w:t>
            </w:r>
          </w:p>
          <w:p w14:paraId="07CEF96A" w14:textId="23AEAD0E" w:rsidR="00BE2616" w:rsidRPr="00DD6590" w:rsidRDefault="00BE2616" w:rsidP="00527BCC">
            <w:pPr>
              <w:pStyle w:val="Style30"/>
              <w:widowControl/>
              <w:spacing w:before="60" w:after="0" w:line="240" w:lineRule="auto"/>
              <w:ind w:left="-24" w:firstLine="24"/>
              <w:contextualSpacing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(131</w:t>
            </w:r>
            <w:r w:rsidR="00495546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%)</w:t>
            </w:r>
          </w:p>
        </w:tc>
        <w:tc>
          <w:tcPr>
            <w:tcW w:w="1710" w:type="dxa"/>
            <w:vAlign w:val="center"/>
          </w:tcPr>
          <w:p w14:paraId="2A42FFD2" w14:textId="77777777" w:rsidR="00BE2616" w:rsidRPr="00DD6590" w:rsidRDefault="00876B01" w:rsidP="00527BCC">
            <w:pPr>
              <w:pStyle w:val="Style30"/>
              <w:widowControl/>
              <w:spacing w:before="60" w:after="0" w:line="240" w:lineRule="auto"/>
              <w:ind w:left="-24" w:firstLine="24"/>
              <w:contextualSpacing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350" w:type="dxa"/>
            <w:shd w:val="clear" w:color="auto" w:fill="D0EC9F"/>
            <w:vAlign w:val="center"/>
          </w:tcPr>
          <w:p w14:paraId="675CEA7C" w14:textId="4FA7F111" w:rsidR="00BE2616" w:rsidRPr="00DD6590" w:rsidRDefault="00447916" w:rsidP="00527BCC">
            <w:pPr>
              <w:pStyle w:val="Style30"/>
              <w:widowControl/>
              <w:spacing w:before="60" w:after="0" w:line="240" w:lineRule="auto"/>
              <w:ind w:left="-24" w:firstLine="24"/>
              <w:contextualSpacing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131</w:t>
            </w:r>
            <w:r w:rsidR="00495546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29C9706" w14:textId="77777777" w:rsidR="00BE2616" w:rsidRPr="00DD6590" w:rsidRDefault="00EC1F27" w:rsidP="00527BCC">
            <w:pPr>
              <w:pStyle w:val="Style30"/>
              <w:widowControl/>
              <w:spacing w:before="60" w:after="0" w:line="240" w:lineRule="auto"/>
              <w:ind w:left="-24" w:firstLine="24"/>
              <w:contextualSpacing/>
              <w:jc w:val="center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405" w:type="dxa"/>
            <w:vAlign w:val="center"/>
          </w:tcPr>
          <w:p w14:paraId="7C5AA44E" w14:textId="727B7A1A" w:rsidR="00BE2616" w:rsidRPr="00DD6590" w:rsidRDefault="00BE2616" w:rsidP="00BA097E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V prípade dosiahnutia cieľovej hodnoty </w:t>
            </w:r>
            <w:r w:rsidR="008630F5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 v rámci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dvoch projektov v realizácii bude tento ukazovateľ  naplnený.</w:t>
            </w:r>
          </w:p>
          <w:p w14:paraId="3C5E5087" w14:textId="77777777" w:rsidR="00BE2616" w:rsidRPr="00DD6590" w:rsidRDefault="00BE2616" w:rsidP="00BA097E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Odporúčanie:  </w:t>
            </w:r>
          </w:p>
          <w:p w14:paraId="09441F31" w14:textId="046E2B81" w:rsidR="00BE2616" w:rsidRPr="00DD6590" w:rsidRDefault="00BE2616" w:rsidP="00527BC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Vzhľadom </w:t>
            </w:r>
            <w:r w:rsidR="00A64CF0" w:rsidRPr="00DD6590">
              <w:rPr>
                <w:rFonts w:asciiTheme="minorHAnsi" w:hAnsiTheme="minorHAnsi"/>
                <w:sz w:val="16"/>
                <w:szCs w:val="16"/>
              </w:rPr>
              <w:t>na skutočnosť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, že projekty dosiaľ </w:t>
            </w:r>
            <w:r w:rsidR="00A64CF0" w:rsidRPr="00DD6590">
              <w:rPr>
                <w:rFonts w:asciiTheme="minorHAnsi" w:hAnsiTheme="minorHAnsi"/>
                <w:sz w:val="16"/>
                <w:szCs w:val="16"/>
              </w:rPr>
              <w:t xml:space="preserve">nevykazovali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naplnenie ukazovateľa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, odporúčame </w:t>
            </w:r>
            <w:r w:rsidR="008630F5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dôsledný </w:t>
            </w:r>
            <w:r w:rsidR="008630F5" w:rsidRPr="00DD6590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>monitoring</w:t>
            </w:r>
            <w:r w:rsidRPr="00DD6590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 xml:space="preserve"> realizácie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predmetných projektov a</w:t>
            </w:r>
            <w:r w:rsidR="008630F5"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 ich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plnenia.</w:t>
            </w:r>
          </w:p>
        </w:tc>
      </w:tr>
    </w:tbl>
    <w:p w14:paraId="44F0B49B" w14:textId="77777777" w:rsidR="00F50048" w:rsidRPr="00DD6590" w:rsidRDefault="00F50048" w:rsidP="00B0035E">
      <w:pPr>
        <w:pStyle w:val="Heading2"/>
      </w:pPr>
      <w:bookmarkStart w:id="19" w:name="_Toc9845767"/>
      <w:r w:rsidRPr="00DD6590">
        <w:t>Vyhodnotenie napĺňania cieľov a výkonnostného rámca pre PO</w:t>
      </w:r>
      <w:bookmarkEnd w:id="19"/>
    </w:p>
    <w:p w14:paraId="614D6929" w14:textId="33834585" w:rsidR="00E16394" w:rsidRPr="00DD6590" w:rsidRDefault="00E16394" w:rsidP="00E16394">
      <w:pPr>
        <w:pStyle w:val="Caption"/>
      </w:pPr>
      <w:bookmarkStart w:id="20" w:name="_Toc9845840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D23114">
        <w:rPr>
          <w:noProof/>
        </w:rPr>
        <w:t>9</w:t>
      </w:r>
      <w:r w:rsidRPr="00DD6590">
        <w:fldChar w:fldCharType="end"/>
      </w:r>
      <w:r w:rsidRPr="00DD6590">
        <w:t xml:space="preserve"> Vyhodnotenie výkonnostného rámca </w:t>
      </w:r>
      <w:r w:rsidR="00D02FDA" w:rsidRPr="00DD6590">
        <w:t>PO1</w:t>
      </w:r>
      <w:bookmarkEnd w:id="20"/>
    </w:p>
    <w:tbl>
      <w:tblPr>
        <w:tblStyle w:val="TableGrid"/>
        <w:tblW w:w="5000" w:type="pct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374"/>
        <w:gridCol w:w="2988"/>
        <w:gridCol w:w="1713"/>
        <w:gridCol w:w="1676"/>
        <w:gridCol w:w="6260"/>
      </w:tblGrid>
      <w:tr w:rsidR="00822203" w:rsidRPr="00DD6590" w14:paraId="48C08145" w14:textId="77777777" w:rsidTr="005665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tcW w:w="490" w:type="pct"/>
            <w:tcBorders>
              <w:left w:val="single" w:sz="4" w:space="0" w:color="D0D0CE" w:themeColor="background2"/>
            </w:tcBorders>
            <w:shd w:val="clear" w:color="auto" w:fill="DBDCDE" w:themeFill="text2" w:themeFillTint="33"/>
            <w:vAlign w:val="center"/>
          </w:tcPr>
          <w:p w14:paraId="71C83557" w14:textId="77777777" w:rsidR="00F50048" w:rsidRPr="00DD6590" w:rsidRDefault="00F50048" w:rsidP="00527BCC">
            <w:pPr>
              <w:spacing w:before="60" w:after="0" w:line="240" w:lineRule="auto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Typ ukazovateľa</w:t>
            </w:r>
          </w:p>
        </w:tc>
        <w:tc>
          <w:tcPr>
            <w:tcW w:w="1066" w:type="pct"/>
            <w:shd w:val="clear" w:color="auto" w:fill="DBDCDE" w:themeFill="text2" w:themeFillTint="33"/>
            <w:vAlign w:val="center"/>
          </w:tcPr>
          <w:p w14:paraId="28B33694" w14:textId="77777777" w:rsidR="00F50048" w:rsidRPr="00DD6590" w:rsidRDefault="00F50048" w:rsidP="00527BCC">
            <w:pPr>
              <w:spacing w:before="60" w:after="0" w:line="240" w:lineRule="auto"/>
              <w:ind w:left="60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Definícia ukazovateľa alebo implementačného kroku</w:t>
            </w:r>
          </w:p>
        </w:tc>
        <w:tc>
          <w:tcPr>
            <w:tcW w:w="611" w:type="pct"/>
            <w:shd w:val="clear" w:color="auto" w:fill="DBDCDE" w:themeFill="text2" w:themeFillTint="33"/>
            <w:vAlign w:val="center"/>
          </w:tcPr>
          <w:p w14:paraId="433EDA91" w14:textId="77777777" w:rsidR="00D6603F" w:rsidRPr="00DD6590" w:rsidRDefault="00F50048" w:rsidP="00527BCC">
            <w:pPr>
              <w:spacing w:before="60" w:after="0" w:line="240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Zámer</w:t>
            </w:r>
            <w:r w:rsidR="00D6603F" w:rsidRPr="00DD6590">
              <w:rPr>
                <w:b/>
                <w:sz w:val="16"/>
                <w:szCs w:val="16"/>
              </w:rPr>
              <w:t xml:space="preserve"> </w:t>
            </w:r>
          </w:p>
          <w:p w14:paraId="36054DCB" w14:textId="7EE57177" w:rsidR="00F50048" w:rsidRPr="00DD6590" w:rsidRDefault="00F50048" w:rsidP="00527BCC">
            <w:pPr>
              <w:spacing w:before="60" w:after="0" w:line="240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(2023)</w:t>
            </w:r>
          </w:p>
        </w:tc>
        <w:tc>
          <w:tcPr>
            <w:tcW w:w="598" w:type="pct"/>
            <w:tcBorders>
              <w:bottom w:val="single" w:sz="2" w:space="0" w:color="D9D9D9" w:themeColor="background1" w:themeShade="D9"/>
            </w:tcBorders>
            <w:shd w:val="clear" w:color="auto" w:fill="DBDCDE" w:themeFill="text2" w:themeFillTint="33"/>
            <w:vAlign w:val="center"/>
          </w:tcPr>
          <w:p w14:paraId="04863CCA" w14:textId="77777777" w:rsidR="00F50048" w:rsidRPr="00DD6590" w:rsidRDefault="00F50048" w:rsidP="00527BCC">
            <w:pPr>
              <w:spacing w:before="60" w:after="0" w:line="240" w:lineRule="auto"/>
              <w:jc w:val="center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Hodnotenie naplnenosti</w:t>
            </w:r>
          </w:p>
        </w:tc>
        <w:tc>
          <w:tcPr>
            <w:tcW w:w="2234" w:type="pct"/>
            <w:shd w:val="clear" w:color="auto" w:fill="DBDCDE" w:themeFill="text2" w:themeFillTint="33"/>
            <w:vAlign w:val="center"/>
          </w:tcPr>
          <w:p w14:paraId="2CD6D545" w14:textId="77777777" w:rsidR="00F50048" w:rsidRPr="00DD6590" w:rsidRDefault="00F50048" w:rsidP="00527BCC">
            <w:pPr>
              <w:spacing w:before="60" w:after="0" w:line="240" w:lineRule="auto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Komentár</w:t>
            </w:r>
          </w:p>
        </w:tc>
      </w:tr>
      <w:tr w:rsidR="00822203" w:rsidRPr="00DD6590" w14:paraId="31713266" w14:textId="77777777" w:rsidTr="00566556">
        <w:trPr>
          <w:trHeight w:val="454"/>
        </w:trPr>
        <w:tc>
          <w:tcPr>
            <w:tcW w:w="490" w:type="pct"/>
            <w:tcBorders>
              <w:left w:val="single" w:sz="4" w:space="0" w:color="D0D0CE" w:themeColor="background2"/>
            </w:tcBorders>
            <w:vAlign w:val="center"/>
          </w:tcPr>
          <w:p w14:paraId="1C2C1FAA" w14:textId="77777777" w:rsidR="00F50048" w:rsidRPr="00DD6590" w:rsidRDefault="00F50048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Finančný ukazovateľ</w:t>
            </w:r>
          </w:p>
        </w:tc>
        <w:tc>
          <w:tcPr>
            <w:tcW w:w="1066" w:type="pct"/>
            <w:tcBorders>
              <w:right w:val="single" w:sz="4" w:space="0" w:color="D9D9D9" w:themeColor="background1" w:themeShade="D9"/>
            </w:tcBorders>
            <w:vAlign w:val="center"/>
          </w:tcPr>
          <w:p w14:paraId="63C7904D" w14:textId="77777777" w:rsidR="00F50048" w:rsidRPr="00DD6590" w:rsidRDefault="00F50048" w:rsidP="00527BCC">
            <w:pPr>
              <w:spacing w:before="60" w:after="0" w:line="240" w:lineRule="auto"/>
              <w:ind w:left="66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Celková suma oprávnených výdavkov po ich certifikácii certifikačným orgánom a predložení žiadostí o platby Európskej komisii</w:t>
            </w:r>
          </w:p>
        </w:tc>
        <w:tc>
          <w:tcPr>
            <w:tcW w:w="611" w:type="pct"/>
            <w:tcBorders>
              <w:left w:val="single" w:sz="4" w:space="0" w:color="D9D9D9" w:themeColor="background1" w:themeShade="D9"/>
            </w:tcBorders>
            <w:vAlign w:val="center"/>
          </w:tcPr>
          <w:p w14:paraId="79F7C81D" w14:textId="77777777" w:rsidR="00F50048" w:rsidRPr="00DD6590" w:rsidRDefault="00F50048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853 928 431 EUR</w:t>
            </w:r>
          </w:p>
        </w:tc>
        <w:tc>
          <w:tcPr>
            <w:tcW w:w="598" w:type="pct"/>
            <w:shd w:val="clear" w:color="auto" w:fill="FFD653"/>
            <w:vAlign w:val="center"/>
          </w:tcPr>
          <w:p w14:paraId="31C50130" w14:textId="732884C1" w:rsidR="00F50048" w:rsidRPr="00DD6590" w:rsidRDefault="002C3BCC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77,31</w:t>
            </w:r>
            <w:r w:rsidR="00495546">
              <w:rPr>
                <w:sz w:val="16"/>
                <w:szCs w:val="16"/>
              </w:rPr>
              <w:t xml:space="preserve"> </w:t>
            </w:r>
            <w:r w:rsidR="00F50048" w:rsidRPr="00DD6590">
              <w:rPr>
                <w:sz w:val="16"/>
                <w:szCs w:val="16"/>
              </w:rPr>
              <w:t xml:space="preserve">% kontrahované, </w:t>
            </w:r>
            <w:r w:rsidR="004E7FA3" w:rsidRPr="00DD6590">
              <w:rPr>
                <w:sz w:val="16"/>
                <w:szCs w:val="16"/>
              </w:rPr>
              <w:t>27,71</w:t>
            </w:r>
            <w:r w:rsidR="00495546">
              <w:rPr>
                <w:sz w:val="16"/>
                <w:szCs w:val="16"/>
              </w:rPr>
              <w:t xml:space="preserve"> </w:t>
            </w:r>
            <w:r w:rsidR="00F50048" w:rsidRPr="00DD6590">
              <w:rPr>
                <w:sz w:val="16"/>
                <w:szCs w:val="16"/>
              </w:rPr>
              <w:t>% čerpané</w:t>
            </w:r>
          </w:p>
        </w:tc>
        <w:tc>
          <w:tcPr>
            <w:tcW w:w="2234" w:type="pct"/>
            <w:vAlign w:val="center"/>
          </w:tcPr>
          <w:p w14:paraId="6DCB63A1" w14:textId="60155BEE" w:rsidR="00F50048" w:rsidRPr="00DD6590" w:rsidRDefault="00215563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Do konca roka 2018 bolo</w:t>
            </w:r>
            <w:r w:rsidR="00F50048" w:rsidRPr="00DD6590">
              <w:rPr>
                <w:sz w:val="16"/>
                <w:szCs w:val="16"/>
              </w:rPr>
              <w:t xml:space="preserve"> v rámci prebiehajúcich projektov </w:t>
            </w:r>
            <w:r w:rsidR="00F50048" w:rsidRPr="00DD6590">
              <w:rPr>
                <w:b/>
                <w:sz w:val="16"/>
                <w:szCs w:val="16"/>
              </w:rPr>
              <w:t xml:space="preserve">kontrahovaných </w:t>
            </w:r>
            <w:r w:rsidR="00745DF4" w:rsidRPr="00DD6590">
              <w:rPr>
                <w:b/>
                <w:sz w:val="16"/>
                <w:szCs w:val="16"/>
              </w:rPr>
              <w:t xml:space="preserve">660 </w:t>
            </w:r>
            <w:r w:rsidR="00F50048" w:rsidRPr="00DD6590">
              <w:rPr>
                <w:b/>
                <w:sz w:val="16"/>
                <w:szCs w:val="16"/>
              </w:rPr>
              <w:t>mil. EU</w:t>
            </w:r>
            <w:r w:rsidR="00084DFA" w:rsidRPr="00DD6590">
              <w:rPr>
                <w:b/>
                <w:sz w:val="16"/>
                <w:szCs w:val="16"/>
              </w:rPr>
              <w:t>R</w:t>
            </w:r>
            <w:r w:rsidR="00F50048" w:rsidRPr="00DD6590">
              <w:rPr>
                <w:sz w:val="16"/>
                <w:szCs w:val="16"/>
              </w:rPr>
              <w:t>. Na základe dotazníka vyplneného projektovými manažérmi je plánovaných</w:t>
            </w:r>
            <w:r w:rsidR="00A64CF0" w:rsidRPr="00DD6590">
              <w:rPr>
                <w:sz w:val="16"/>
                <w:szCs w:val="16"/>
              </w:rPr>
              <w:t xml:space="preserve"> na realizáciu ďalších</w:t>
            </w:r>
            <w:r w:rsidR="00F50048" w:rsidRPr="00DD6590">
              <w:rPr>
                <w:sz w:val="16"/>
                <w:szCs w:val="16"/>
              </w:rPr>
              <w:t xml:space="preserve"> </w:t>
            </w:r>
            <w:r w:rsidR="006D01E3" w:rsidRPr="00DD6590">
              <w:rPr>
                <w:sz w:val="16"/>
                <w:szCs w:val="16"/>
              </w:rPr>
              <w:t xml:space="preserve">šesť </w:t>
            </w:r>
            <w:r w:rsidR="00827B37" w:rsidRPr="00DD6590">
              <w:rPr>
                <w:sz w:val="16"/>
                <w:szCs w:val="16"/>
              </w:rPr>
              <w:t xml:space="preserve">projektov v celkovej hodnote </w:t>
            </w:r>
            <w:r w:rsidR="006D01E3" w:rsidRPr="00DD6590">
              <w:rPr>
                <w:sz w:val="16"/>
                <w:szCs w:val="16"/>
              </w:rPr>
              <w:t xml:space="preserve">699 </w:t>
            </w:r>
            <w:r w:rsidR="00F50048" w:rsidRPr="00DD6590">
              <w:rPr>
                <w:sz w:val="16"/>
                <w:szCs w:val="16"/>
              </w:rPr>
              <w:t xml:space="preserve">mil. EUR. Pokiaľ nedôjde k výraznému omeškaniu v schvaľovaní a realizácii projektov, dá sa predpokladať, že dôjde k naplneniu finančného ukazovateľa. </w:t>
            </w:r>
          </w:p>
          <w:p w14:paraId="2EBA057C" w14:textId="3FF9EA65" w:rsidR="00F50048" w:rsidRPr="00DD6590" w:rsidRDefault="00F50048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Pozn.: Alokácia prioritnej osi bola k 31. 12. 2018 </w:t>
            </w:r>
            <w:r w:rsidR="005E64D5" w:rsidRPr="00DD6590">
              <w:rPr>
                <w:sz w:val="16"/>
                <w:szCs w:val="16"/>
              </w:rPr>
              <w:t>854 mil. EUR</w:t>
            </w:r>
            <w:r w:rsidRPr="00DD6590">
              <w:rPr>
                <w:sz w:val="16"/>
                <w:szCs w:val="16"/>
              </w:rPr>
              <w:t xml:space="preserve">. Pre dosiahnutie hodnoty plánovanej v roku 2023 je potrebné </w:t>
            </w:r>
            <w:proofErr w:type="spellStart"/>
            <w:r w:rsidRPr="00DD6590">
              <w:rPr>
                <w:sz w:val="16"/>
                <w:szCs w:val="16"/>
              </w:rPr>
              <w:t>zazmluvniť</w:t>
            </w:r>
            <w:proofErr w:type="spellEnd"/>
            <w:r w:rsidR="006D01E3" w:rsidRPr="00DD6590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 xml:space="preserve">projekty </w:t>
            </w:r>
            <w:r w:rsidR="004F7EAB" w:rsidRPr="00DD6590">
              <w:rPr>
                <w:sz w:val="16"/>
                <w:szCs w:val="16"/>
              </w:rPr>
              <w:t xml:space="preserve">a vyčerpať finančné prostriedky </w:t>
            </w:r>
            <w:r w:rsidRPr="00DD6590">
              <w:rPr>
                <w:sz w:val="16"/>
                <w:szCs w:val="16"/>
              </w:rPr>
              <w:t>v PO1 v hodnote 194 mil. EUR.</w:t>
            </w:r>
          </w:p>
        </w:tc>
      </w:tr>
      <w:tr w:rsidR="00822203" w:rsidRPr="00DD6590" w14:paraId="606BE1F1" w14:textId="77777777" w:rsidTr="00566556">
        <w:trPr>
          <w:trHeight w:val="454"/>
        </w:trPr>
        <w:tc>
          <w:tcPr>
            <w:tcW w:w="490" w:type="pct"/>
            <w:vAlign w:val="center"/>
          </w:tcPr>
          <w:p w14:paraId="5EA7506A" w14:textId="77777777" w:rsidR="00F50048" w:rsidRPr="00DD6590" w:rsidRDefault="00F50048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Výstupový ukazovateľ</w:t>
            </w:r>
          </w:p>
        </w:tc>
        <w:tc>
          <w:tcPr>
            <w:tcW w:w="1066" w:type="pct"/>
            <w:vAlign w:val="center"/>
          </w:tcPr>
          <w:p w14:paraId="53C4D8C9" w14:textId="77777777" w:rsidR="00F50048" w:rsidRPr="00DD6590" w:rsidRDefault="00F50048" w:rsidP="00527BCC">
            <w:pPr>
              <w:spacing w:before="60" w:after="0" w:line="240" w:lineRule="auto"/>
              <w:ind w:left="66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Celková dĺžka rekonštruovaných alebo zrenovovaných železničných tratí v sieti TEN-T</w:t>
            </w:r>
          </w:p>
        </w:tc>
        <w:tc>
          <w:tcPr>
            <w:tcW w:w="611" w:type="pct"/>
            <w:vAlign w:val="center"/>
          </w:tcPr>
          <w:p w14:paraId="41BD6E89" w14:textId="77777777" w:rsidR="00F50048" w:rsidRPr="00DD6590" w:rsidRDefault="00F50048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34,8 km</w:t>
            </w:r>
          </w:p>
        </w:tc>
        <w:tc>
          <w:tcPr>
            <w:tcW w:w="598" w:type="pct"/>
            <w:shd w:val="clear" w:color="auto" w:fill="FFD653"/>
            <w:vAlign w:val="center"/>
          </w:tcPr>
          <w:p w14:paraId="1B465D9B" w14:textId="1DF7DB7D" w:rsidR="00F50048" w:rsidRPr="00DD6590" w:rsidRDefault="002C3BCC" w:rsidP="00527BC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71</w:t>
            </w:r>
            <w:r w:rsidR="00495546">
              <w:rPr>
                <w:sz w:val="16"/>
                <w:szCs w:val="16"/>
              </w:rPr>
              <w:t xml:space="preserve"> </w:t>
            </w:r>
            <w:r w:rsidR="00F50048" w:rsidRPr="00DD6590">
              <w:rPr>
                <w:sz w:val="16"/>
                <w:szCs w:val="16"/>
              </w:rPr>
              <w:t>%</w:t>
            </w:r>
          </w:p>
        </w:tc>
        <w:tc>
          <w:tcPr>
            <w:tcW w:w="2234" w:type="pct"/>
            <w:vAlign w:val="center"/>
          </w:tcPr>
          <w:p w14:paraId="7581C2FF" w14:textId="23E95F62" w:rsidR="00F50048" w:rsidRPr="00DD6590" w:rsidRDefault="004E3A07" w:rsidP="00527BCC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Do konca roka 2018</w:t>
            </w:r>
            <w:r w:rsidR="00F50048" w:rsidRPr="00DD6590">
              <w:rPr>
                <w:sz w:val="16"/>
                <w:szCs w:val="16"/>
              </w:rPr>
              <w:t xml:space="preserve"> bolo celkom zrekonštruovaných alebo zrenovovaných 15,29 km železničných tratí.</w:t>
            </w:r>
          </w:p>
          <w:p w14:paraId="0E22999D" w14:textId="1A584B9B" w:rsidR="00F50048" w:rsidRPr="00DD6590" w:rsidRDefault="00F50048" w:rsidP="00495546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Cieľová hodnota v rámci </w:t>
            </w:r>
            <w:r w:rsidR="008630F5" w:rsidRPr="00DD6590">
              <w:rPr>
                <w:sz w:val="16"/>
                <w:szCs w:val="16"/>
              </w:rPr>
              <w:t>jedného</w:t>
            </w:r>
            <w:r w:rsidR="00A64CF0" w:rsidRPr="00DD6590">
              <w:rPr>
                <w:sz w:val="16"/>
                <w:szCs w:val="16"/>
              </w:rPr>
              <w:t xml:space="preserve"> ukončeného projektu a </w:t>
            </w:r>
            <w:r w:rsidR="008630F5" w:rsidRPr="00DD6590">
              <w:rPr>
                <w:sz w:val="16"/>
                <w:szCs w:val="16"/>
              </w:rPr>
              <w:t xml:space="preserve">jedného </w:t>
            </w:r>
            <w:r w:rsidR="00A64CF0" w:rsidRPr="00DD6590">
              <w:rPr>
                <w:sz w:val="16"/>
                <w:szCs w:val="16"/>
              </w:rPr>
              <w:t xml:space="preserve">projektu v realizácii </w:t>
            </w:r>
            <w:r w:rsidRPr="00DD6590">
              <w:rPr>
                <w:sz w:val="16"/>
                <w:szCs w:val="16"/>
              </w:rPr>
              <w:t xml:space="preserve">je 24,69 km. Pre naplnenie cieľovej hodnoty v roku 2023 je kľúčové dohliadnuť na naplnenie cieľového ukazovateľa v rámci projektu </w:t>
            </w:r>
            <w:r w:rsidR="008630F5" w:rsidRPr="00DD6590">
              <w:rPr>
                <w:sz w:val="16"/>
                <w:szCs w:val="16"/>
              </w:rPr>
              <w:t xml:space="preserve">v realizácii </w:t>
            </w:r>
            <w:r w:rsidRPr="00DD6590">
              <w:rPr>
                <w:sz w:val="16"/>
                <w:szCs w:val="16"/>
              </w:rPr>
              <w:t xml:space="preserve">a kontrahovať </w:t>
            </w:r>
            <w:r w:rsidRPr="00DD6590">
              <w:rPr>
                <w:b/>
                <w:sz w:val="16"/>
                <w:szCs w:val="16"/>
              </w:rPr>
              <w:t xml:space="preserve">dodatočné projekty, ktoré budú </w:t>
            </w:r>
            <w:r w:rsidR="00495546" w:rsidRPr="00DD6590">
              <w:rPr>
                <w:b/>
                <w:sz w:val="16"/>
                <w:szCs w:val="16"/>
              </w:rPr>
              <w:t>zah</w:t>
            </w:r>
            <w:r w:rsidR="00495546">
              <w:rPr>
                <w:b/>
                <w:sz w:val="16"/>
                <w:szCs w:val="16"/>
              </w:rPr>
              <w:t>ŕňať</w:t>
            </w:r>
            <w:r w:rsidR="00495546" w:rsidRPr="00DD6590">
              <w:rPr>
                <w:b/>
                <w:sz w:val="16"/>
                <w:szCs w:val="16"/>
              </w:rPr>
              <w:t xml:space="preserve"> </w:t>
            </w:r>
            <w:r w:rsidRPr="00DD6590">
              <w:rPr>
                <w:b/>
                <w:sz w:val="16"/>
                <w:szCs w:val="16"/>
              </w:rPr>
              <w:t>rekonštrukciu alebo renováciu min. 10,11 km tratí.</w:t>
            </w:r>
            <w:r w:rsidR="006D01E3" w:rsidRPr="00DD6590">
              <w:rPr>
                <w:b/>
                <w:sz w:val="16"/>
                <w:szCs w:val="16"/>
              </w:rPr>
              <w:t xml:space="preserve"> </w:t>
            </w:r>
            <w:r w:rsidR="00495546">
              <w:rPr>
                <w:sz w:val="16"/>
                <w:szCs w:val="16"/>
              </w:rPr>
              <w:t>T</w:t>
            </w:r>
            <w:r w:rsidR="006D01E3" w:rsidRPr="00DD6590">
              <w:rPr>
                <w:sz w:val="16"/>
                <w:szCs w:val="16"/>
              </w:rPr>
              <w:t>iež je potrebné dohliadnuť na úspešné ukončenie implementácie projektov do konca časovej oprávnenosti programového obdobia.</w:t>
            </w:r>
          </w:p>
        </w:tc>
      </w:tr>
    </w:tbl>
    <w:p w14:paraId="7C3CE3A2" w14:textId="1F416228" w:rsidR="00BF6F8B" w:rsidRPr="00053D7B" w:rsidRDefault="00BF6F8B" w:rsidP="00C41774">
      <w:pPr>
        <w:pStyle w:val="Heading1"/>
      </w:pPr>
    </w:p>
    <w:sectPr w:rsidR="00BF6F8B" w:rsidRPr="00053D7B" w:rsidSect="001F3F6B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6838" w:h="11906" w:orient="landscape" w:code="9"/>
      <w:pgMar w:top="1411" w:right="1411" w:bottom="1411" w:left="1411" w:header="677" w:footer="562" w:gutter="0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ED4AF" w14:textId="77777777" w:rsidR="001B2DF0" w:rsidRDefault="001B2DF0" w:rsidP="00C702C7">
      <w:r>
        <w:separator/>
      </w:r>
    </w:p>
  </w:endnote>
  <w:endnote w:type="continuationSeparator" w:id="0">
    <w:p w14:paraId="48BD6A56" w14:textId="77777777" w:rsidR="001B2DF0" w:rsidRDefault="001B2DF0" w:rsidP="00C70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ans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84330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ED0A2D" w14:textId="25435798" w:rsidR="001B2DF0" w:rsidRDefault="001B2D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311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9AC1D6A" w14:textId="77777777" w:rsidR="001B2DF0" w:rsidRDefault="001B2D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8017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A4E88E" w14:textId="63C4B7C2" w:rsidR="002F33E2" w:rsidRDefault="002F33E2">
        <w:pPr>
          <w:pStyle w:val="Footer"/>
          <w:jc w:val="right"/>
        </w:pPr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 w:rsidR="00D23114">
          <w:rPr>
            <w:noProof/>
          </w:rPr>
          <w:t>1</w:t>
        </w:r>
        <w:r>
          <w:fldChar w:fldCharType="end"/>
        </w:r>
      </w:p>
    </w:sdtContent>
  </w:sdt>
  <w:p w14:paraId="69976D8A" w14:textId="77777777" w:rsidR="002F33E2" w:rsidRDefault="002F33E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03036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8E5A34" w14:textId="2EBFE369" w:rsidR="002F33E2" w:rsidRDefault="002F33E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3114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9B4A9D3" w14:textId="77777777" w:rsidR="001B2DF0" w:rsidRPr="00335CF3" w:rsidRDefault="001B2DF0" w:rsidP="00D21B5F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56589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80BC3E" w14:textId="6EF6811A" w:rsidR="001B2DF0" w:rsidRDefault="001B2D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311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EC27993" w14:textId="77777777" w:rsidR="001B2DF0" w:rsidRDefault="001B2DF0" w:rsidP="00D21B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FB7C5" w14:textId="77777777" w:rsidR="001B2DF0" w:rsidRDefault="001B2DF0" w:rsidP="00C702C7">
      <w:r>
        <w:separator/>
      </w:r>
    </w:p>
  </w:footnote>
  <w:footnote w:type="continuationSeparator" w:id="0">
    <w:p w14:paraId="09316071" w14:textId="77777777" w:rsidR="001B2DF0" w:rsidRDefault="001B2DF0" w:rsidP="00C702C7">
      <w:r>
        <w:continuationSeparator/>
      </w:r>
    </w:p>
  </w:footnote>
  <w:footnote w:id="1">
    <w:p w14:paraId="6E8DFA4E" w14:textId="77777777" w:rsidR="001B2DF0" w:rsidRPr="00491526" w:rsidRDefault="001B2DF0" w:rsidP="00DF70E8">
      <w:pPr>
        <w:pStyle w:val="FootnoteText"/>
      </w:pPr>
      <w:r w:rsidRPr="00491526">
        <w:rPr>
          <w:rStyle w:val="FootnoteReference"/>
        </w:rPr>
        <w:footnoteRef/>
      </w:r>
      <w:r w:rsidRPr="00491526">
        <w:t xml:space="preserve"> Zámer je plánovaná konečná hodnota ukazovateľa k termínu splnenia 31. 12. 2023. Dosiahnutie zámeru sa vyhodnocuje v roku 2025 pri uzatváraní programového obdobia.</w:t>
      </w:r>
    </w:p>
  </w:footnote>
  <w:footnote w:id="2">
    <w:p w14:paraId="57C86B89" w14:textId="64DDEEA8" w:rsidR="001B2DF0" w:rsidRPr="001C487B" w:rsidRDefault="001B2DF0" w:rsidP="00EA1305">
      <w:pPr>
        <w:pStyle w:val="FootnoteText"/>
        <w:spacing w:before="0" w:line="240" w:lineRule="auto"/>
        <w:contextualSpacing/>
      </w:pPr>
      <w:r w:rsidRPr="001C487B">
        <w:rPr>
          <w:rStyle w:val="FootnoteReference"/>
        </w:rPr>
        <w:footnoteRef/>
      </w:r>
      <w:r w:rsidRPr="001C487B">
        <w:t xml:space="preserve"> </w:t>
      </w:r>
      <w:r w:rsidRPr="001C487B">
        <w:t>Zdroj: Údaje čerpané z Monitorovacích správ dostupných v ITMS k 31. 1. 2019 a z informácií k projektom poskytnutý</w:t>
      </w:r>
      <w:r>
        <w:t>ch</w:t>
      </w:r>
      <w:r w:rsidRPr="001C487B">
        <w:t xml:space="preserve"> objednávateľom.</w:t>
      </w:r>
    </w:p>
  </w:footnote>
  <w:footnote w:id="3">
    <w:p w14:paraId="3ED24182" w14:textId="77777777" w:rsidR="001B2DF0" w:rsidRPr="001C487B" w:rsidRDefault="001B2DF0" w:rsidP="00EA1305">
      <w:pPr>
        <w:pStyle w:val="FootnoteText"/>
        <w:spacing w:before="0" w:line="240" w:lineRule="auto"/>
        <w:contextualSpacing/>
      </w:pPr>
      <w:r w:rsidRPr="001C487B">
        <w:rPr>
          <w:rStyle w:val="FootnoteReference"/>
        </w:rPr>
        <w:footnoteRef/>
      </w:r>
      <w:r w:rsidRPr="001C487B">
        <w:t xml:space="preserve"> </w:t>
      </w:r>
      <w:r w:rsidRPr="001C487B">
        <w:t>Od začiatku projektu do 31. 12. 2018.</w:t>
      </w:r>
    </w:p>
  </w:footnote>
  <w:footnote w:id="4">
    <w:p w14:paraId="2327F0CB" w14:textId="77777777" w:rsidR="001B2DF0" w:rsidRPr="001C487B" w:rsidRDefault="001B2DF0" w:rsidP="00EA1305">
      <w:pPr>
        <w:pStyle w:val="FootnoteText"/>
        <w:spacing w:before="0" w:line="240" w:lineRule="auto"/>
        <w:contextualSpacing/>
      </w:pPr>
      <w:r w:rsidRPr="001C487B">
        <w:rPr>
          <w:rStyle w:val="FootnoteReference"/>
        </w:rPr>
        <w:footnoteRef/>
      </w:r>
      <w:r w:rsidRPr="001C487B">
        <w:t xml:space="preserve"> </w:t>
      </w:r>
      <w:r w:rsidRPr="001C487B">
        <w:t>Percentuálny podiel a stav vecného plnenia podľa odhadu projektových manažérov.</w:t>
      </w:r>
    </w:p>
  </w:footnote>
  <w:footnote w:id="5">
    <w:p w14:paraId="4E4D6A0C" w14:textId="0B295DA7" w:rsidR="001B2DF0" w:rsidRPr="001C487B" w:rsidRDefault="001B2DF0" w:rsidP="00F50048">
      <w:pPr>
        <w:pStyle w:val="FootnoteText"/>
        <w:spacing w:before="0"/>
      </w:pPr>
      <w:r w:rsidRPr="001C487B">
        <w:rPr>
          <w:rStyle w:val="FootnoteReference"/>
        </w:rPr>
        <w:footnoteRef/>
      </w:r>
      <w:r w:rsidRPr="001C487B">
        <w:t xml:space="preserve"> </w:t>
      </w:r>
      <w:r w:rsidRPr="001C487B">
        <w:t>V rámci inžinierskej činnosti spojenej s DSP sa stavebné povolenia postupne získavajú a nadobúdajú právoplatnosť. K ukončeniu časti DRS je potrebné ešte posúdenie dokumentácie z hľadiska TSI.</w:t>
      </w:r>
    </w:p>
  </w:footnote>
  <w:footnote w:id="6">
    <w:p w14:paraId="0AEA2115" w14:textId="77777777" w:rsidR="001B2DF0" w:rsidRPr="001C487B" w:rsidRDefault="001B2DF0" w:rsidP="00F50048">
      <w:pPr>
        <w:pStyle w:val="FootnoteText"/>
        <w:spacing w:before="0"/>
      </w:pPr>
      <w:r w:rsidRPr="001C487B">
        <w:rPr>
          <w:rStyle w:val="FootnoteReference"/>
        </w:rPr>
        <w:footnoteRef/>
      </w:r>
      <w:r w:rsidRPr="001C487B">
        <w:t xml:space="preserve"> </w:t>
      </w:r>
      <w:r w:rsidRPr="001C487B">
        <w:t>Z kontrahovaných prostriedkov.</w:t>
      </w:r>
    </w:p>
  </w:footnote>
  <w:footnote w:id="7">
    <w:p w14:paraId="06984F6F" w14:textId="72CD7F47" w:rsidR="001B2DF0" w:rsidRPr="001C487B" w:rsidRDefault="001B2DF0" w:rsidP="00DA29BD">
      <w:pPr>
        <w:pStyle w:val="FootnoteText"/>
      </w:pPr>
      <w:r w:rsidRPr="001C487B">
        <w:rPr>
          <w:rStyle w:val="FootnoteReference"/>
        </w:rPr>
        <w:footnoteRef/>
      </w:r>
      <w:r w:rsidRPr="001C487B">
        <w:t xml:space="preserve"> </w:t>
      </w:r>
      <w:r w:rsidRPr="001C487B">
        <w:t>V projekte Modernizácia trate Púchov – Žilina, II. Etapa, 2. fáza je súčasná hodnota úspory emisií PM</w:t>
      </w:r>
      <w:r w:rsidRPr="00D00238">
        <w:rPr>
          <w:vertAlign w:val="subscript"/>
        </w:rPr>
        <w:t>10</w:t>
      </w:r>
      <w:r w:rsidRPr="001C487B">
        <w:t xml:space="preserve"> 0,469 (77</w:t>
      </w:r>
      <w:r>
        <w:t> </w:t>
      </w:r>
      <w:r w:rsidRPr="001C487B">
        <w:t>% cieľovej hodnoty ukazovateľa).</w:t>
      </w:r>
    </w:p>
  </w:footnote>
  <w:footnote w:id="8">
    <w:p w14:paraId="5847784D" w14:textId="2AD5D065" w:rsidR="001B2DF0" w:rsidRPr="00785215" w:rsidRDefault="001B2DF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Údaj z výročnej správy ZSSK za rok 2017.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33B4C" w14:textId="6179F578" w:rsidR="001B2DF0" w:rsidRPr="006F7F45" w:rsidRDefault="001B2DF0" w:rsidP="006F7F45">
    <w:pPr>
      <w:pStyle w:val="Header"/>
    </w:pPr>
    <w:r w:rsidRPr="006578D7">
      <w:rPr>
        <w:b w:val="0"/>
        <w:noProof/>
        <w:sz w:val="16"/>
        <w:szCs w:val="16"/>
        <w:lang w:val="sk-SK"/>
      </w:rPr>
      <w:t>Príloha č. 4</w:t>
    </w:r>
    <w:r w:rsidRPr="006578D7">
      <w:rPr>
        <w:b w:val="0"/>
        <w:sz w:val="16"/>
        <w:szCs w:val="16"/>
        <w:lang w:val="sk-SK"/>
      </w:rPr>
      <w:t xml:space="preserve"> Výsledky analýzy Prioritnej osi 1 </w:t>
    </w:r>
    <w:r w:rsidRPr="00D76E8D">
      <w:rPr>
        <w:sz w:val="16"/>
        <w:szCs w:val="16"/>
      </w:rPr>
      <w:t>–</w:t>
    </w:r>
    <w:r>
      <w:rPr>
        <w:sz w:val="16"/>
        <w:szCs w:val="16"/>
      </w:rPr>
      <w:t xml:space="preserve"> </w:t>
    </w:r>
    <w:r w:rsidRPr="006578D7">
      <w:rPr>
        <w:b w:val="0"/>
        <w:sz w:val="16"/>
        <w:szCs w:val="16"/>
        <w:lang w:val="sk-SK"/>
      </w:rPr>
      <w:t>Železničná infraštruktúra (TEN-T CORE) a obnova mobilných prostriedkov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7EFB6" w14:textId="31556423" w:rsidR="001B2DF0" w:rsidRPr="006578D7" w:rsidRDefault="001B2DF0">
    <w:pPr>
      <w:pStyle w:val="Header"/>
      <w:rPr>
        <w:b w:val="0"/>
        <w:sz w:val="16"/>
        <w:szCs w:val="16"/>
        <w:lang w:val="sk-SK"/>
      </w:rPr>
    </w:pPr>
    <w:r w:rsidRPr="006578D7">
      <w:rPr>
        <w:b w:val="0"/>
        <w:noProof/>
        <w:sz w:val="16"/>
        <w:szCs w:val="16"/>
        <w:lang w:val="sk-SK"/>
      </w:rPr>
      <w:t>Príloha č. 4</w:t>
    </w:r>
    <w:r w:rsidRPr="006578D7">
      <w:rPr>
        <w:b w:val="0"/>
        <w:sz w:val="16"/>
        <w:szCs w:val="16"/>
        <w:lang w:val="sk-SK"/>
      </w:rPr>
      <w:t xml:space="preserve"> Výsledky analýzy Prioritnej osi 1 </w:t>
    </w:r>
    <w:r w:rsidRPr="00D76E8D">
      <w:rPr>
        <w:sz w:val="16"/>
        <w:szCs w:val="16"/>
      </w:rPr>
      <w:t>–</w:t>
    </w:r>
    <w:r>
      <w:rPr>
        <w:sz w:val="16"/>
        <w:szCs w:val="16"/>
      </w:rPr>
      <w:t xml:space="preserve"> </w:t>
    </w:r>
    <w:r w:rsidRPr="006578D7">
      <w:rPr>
        <w:b w:val="0"/>
        <w:sz w:val="16"/>
        <w:szCs w:val="16"/>
        <w:lang w:val="sk-SK"/>
      </w:rPr>
      <w:t>Železničná infraštruktúra (TEN-T CORE) a obnova mobilných prostriedkov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B8A3B" w14:textId="6221E993" w:rsidR="001B2DF0" w:rsidRDefault="001B2DF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69C5C" w14:textId="0F602CDA" w:rsidR="001B2DF0" w:rsidRPr="006F7F45" w:rsidRDefault="001B2DF0" w:rsidP="006F7F45">
    <w:pPr>
      <w:pStyle w:val="Header"/>
    </w:pPr>
    <w:r w:rsidRPr="006578D7">
      <w:rPr>
        <w:b w:val="0"/>
        <w:noProof/>
        <w:sz w:val="16"/>
        <w:szCs w:val="16"/>
        <w:lang w:val="sk-SK"/>
      </w:rPr>
      <w:t>Príloha č. 4</w:t>
    </w:r>
    <w:r w:rsidRPr="006578D7">
      <w:rPr>
        <w:b w:val="0"/>
        <w:sz w:val="16"/>
        <w:szCs w:val="16"/>
        <w:lang w:val="sk-SK"/>
      </w:rPr>
      <w:t xml:space="preserve"> Výsledky analýzy Prioritnej osi 1 </w:t>
    </w:r>
    <w:r w:rsidRPr="00D76E8D">
      <w:rPr>
        <w:sz w:val="16"/>
        <w:szCs w:val="16"/>
      </w:rPr>
      <w:t>–</w:t>
    </w:r>
    <w:r>
      <w:rPr>
        <w:sz w:val="16"/>
        <w:szCs w:val="16"/>
      </w:rPr>
      <w:t xml:space="preserve"> </w:t>
    </w:r>
    <w:r w:rsidRPr="006578D7">
      <w:rPr>
        <w:b w:val="0"/>
        <w:sz w:val="16"/>
        <w:szCs w:val="16"/>
        <w:lang w:val="sk-SK"/>
      </w:rPr>
      <w:t>Železničná infraštruktúra (TEN-T CORE) a obnova mobilných prostriedkov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CD23D" w14:textId="39468A99" w:rsidR="001B2DF0" w:rsidRPr="006578D7" w:rsidRDefault="001B2DF0" w:rsidP="006578D7">
    <w:pPr>
      <w:pStyle w:val="Header"/>
    </w:pPr>
    <w:r w:rsidRPr="006578D7">
      <w:rPr>
        <w:b w:val="0"/>
        <w:noProof/>
        <w:sz w:val="16"/>
        <w:szCs w:val="16"/>
        <w:lang w:val="sk-SK"/>
      </w:rPr>
      <w:t>Príloha č. 4</w:t>
    </w:r>
    <w:r w:rsidRPr="006578D7">
      <w:rPr>
        <w:b w:val="0"/>
        <w:sz w:val="16"/>
        <w:szCs w:val="16"/>
        <w:lang w:val="sk-SK"/>
      </w:rPr>
      <w:t xml:space="preserve"> Výsledky analýzy Prioritnej osi 1 </w:t>
    </w:r>
    <w:r w:rsidRPr="00D76E8D">
      <w:rPr>
        <w:sz w:val="16"/>
        <w:szCs w:val="16"/>
      </w:rPr>
      <w:t>–</w:t>
    </w:r>
    <w:r>
      <w:rPr>
        <w:sz w:val="16"/>
        <w:szCs w:val="16"/>
      </w:rPr>
      <w:t xml:space="preserve"> </w:t>
    </w:r>
    <w:r w:rsidRPr="006578D7">
      <w:rPr>
        <w:b w:val="0"/>
        <w:sz w:val="16"/>
        <w:szCs w:val="16"/>
        <w:lang w:val="sk-SK"/>
      </w:rPr>
      <w:t>Železničná infraštruktúra (TEN-T CORE) a obnova mobilných prostriedkov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4D4E6FE"/>
    <w:lvl w:ilvl="0">
      <w:start w:val="1"/>
      <w:numFmt w:val="lowerLetter"/>
      <w:pStyle w:val="ListNumber2"/>
      <w:lvlText w:val="%1."/>
      <w:lvlJc w:val="left"/>
      <w:pPr>
        <w:ind w:left="644" w:hanging="360"/>
      </w:pPr>
    </w:lvl>
  </w:abstractNum>
  <w:abstractNum w:abstractNumId="1" w15:restartNumberingAfterBreak="0">
    <w:nsid w:val="FFFFFF83"/>
    <w:multiLevelType w:val="singleLevel"/>
    <w:tmpl w:val="8EAA911C"/>
    <w:lvl w:ilvl="0">
      <w:start w:val="1"/>
      <w:numFmt w:val="bullet"/>
      <w:pStyle w:val="ListBullet2"/>
      <w:lvlText w:val="‒"/>
      <w:lvlJc w:val="left"/>
      <w:pPr>
        <w:ind w:left="587" w:hanging="360"/>
      </w:pPr>
      <w:rPr>
        <w:rFonts w:ascii="Calibri" w:hAnsi="Calibri" w:hint="default"/>
      </w:rPr>
    </w:lvl>
  </w:abstractNum>
  <w:abstractNum w:abstractNumId="2" w15:restartNumberingAfterBreak="0">
    <w:nsid w:val="FFFFFF88"/>
    <w:multiLevelType w:val="singleLevel"/>
    <w:tmpl w:val="F716B3D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2A4026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F1546E"/>
    <w:multiLevelType w:val="hybridMultilevel"/>
    <w:tmpl w:val="9390A5DC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0D659F"/>
    <w:multiLevelType w:val="hybridMultilevel"/>
    <w:tmpl w:val="BD70E5B8"/>
    <w:lvl w:ilvl="0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05EC5B65"/>
    <w:multiLevelType w:val="multilevel"/>
    <w:tmpl w:val="F5FA3D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60D3F35"/>
    <w:multiLevelType w:val="hybridMultilevel"/>
    <w:tmpl w:val="3A623CA0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D6749D"/>
    <w:multiLevelType w:val="hybridMultilevel"/>
    <w:tmpl w:val="0F3E4268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170" w:hanging="360"/>
      </w:pPr>
      <w:rPr>
        <w:rFonts w:ascii="Calibri" w:eastAsiaTheme="minorHAnsi" w:hAnsi="Calibri" w:hint="default"/>
      </w:rPr>
    </w:lvl>
    <w:lvl w:ilvl="2" w:tplc="1400AD66">
      <w:start w:val="1"/>
      <w:numFmt w:val="decimal"/>
      <w:lvlText w:val="%3."/>
      <w:lvlJc w:val="left"/>
      <w:pPr>
        <w:ind w:left="207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0737687E"/>
    <w:multiLevelType w:val="hybridMultilevel"/>
    <w:tmpl w:val="DFC2D8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8E0551"/>
    <w:multiLevelType w:val="hybridMultilevel"/>
    <w:tmpl w:val="02C22996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B5C13"/>
    <w:multiLevelType w:val="hybridMultilevel"/>
    <w:tmpl w:val="FECA1176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A71487"/>
    <w:multiLevelType w:val="hybridMultilevel"/>
    <w:tmpl w:val="674E8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592C5D"/>
    <w:multiLevelType w:val="hybridMultilevel"/>
    <w:tmpl w:val="32A426C8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26A00"/>
    <w:multiLevelType w:val="hybridMultilevel"/>
    <w:tmpl w:val="9EACC5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4B3A54"/>
    <w:multiLevelType w:val="hybridMultilevel"/>
    <w:tmpl w:val="3C7A9D5C"/>
    <w:lvl w:ilvl="0" w:tplc="287A5174">
      <w:numFmt w:val="bullet"/>
      <w:lvlText w:val="•"/>
      <w:lvlJc w:val="left"/>
      <w:pPr>
        <w:ind w:left="1080" w:hanging="720"/>
      </w:pPr>
      <w:rPr>
        <w:rFonts w:ascii="Verdana" w:eastAsia="Verdana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116083"/>
    <w:multiLevelType w:val="hybridMultilevel"/>
    <w:tmpl w:val="BC06C1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F73EC0"/>
    <w:multiLevelType w:val="hybridMultilevel"/>
    <w:tmpl w:val="3D8C7D94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5675BC"/>
    <w:multiLevelType w:val="hybridMultilevel"/>
    <w:tmpl w:val="1AEC1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8E6309"/>
    <w:multiLevelType w:val="hybridMultilevel"/>
    <w:tmpl w:val="3FFAE18C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1169D5"/>
    <w:multiLevelType w:val="hybridMultilevel"/>
    <w:tmpl w:val="96B41E02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21174A"/>
    <w:multiLevelType w:val="hybridMultilevel"/>
    <w:tmpl w:val="6C5A5048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170" w:hanging="360"/>
      </w:pPr>
      <w:rPr>
        <w:rFonts w:ascii="Calibri" w:eastAsiaTheme="minorHAnsi" w:hAnsi="Calibri"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 w15:restartNumberingAfterBreak="0">
    <w:nsid w:val="1F437708"/>
    <w:multiLevelType w:val="hybridMultilevel"/>
    <w:tmpl w:val="371CA554"/>
    <w:lvl w:ilvl="0" w:tplc="2D72B276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D10102"/>
    <w:multiLevelType w:val="hybridMultilevel"/>
    <w:tmpl w:val="B0229B58"/>
    <w:lvl w:ilvl="0" w:tplc="48D6B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41826D2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61CE5"/>
    <w:multiLevelType w:val="hybridMultilevel"/>
    <w:tmpl w:val="5B286D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46C77F0"/>
    <w:multiLevelType w:val="hybridMultilevel"/>
    <w:tmpl w:val="16D8B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BD71E5"/>
    <w:multiLevelType w:val="hybridMultilevel"/>
    <w:tmpl w:val="B35C766E"/>
    <w:lvl w:ilvl="0" w:tplc="D410EC44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26B478AA"/>
    <w:multiLevelType w:val="hybridMultilevel"/>
    <w:tmpl w:val="EA36D00A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7D12D11"/>
    <w:multiLevelType w:val="hybridMultilevel"/>
    <w:tmpl w:val="21F0740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298214CF"/>
    <w:multiLevelType w:val="hybridMultilevel"/>
    <w:tmpl w:val="85ACB9DC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BAC20C4">
      <w:numFmt w:val="bullet"/>
      <w:lvlText w:val="–"/>
      <w:lvlJc w:val="left"/>
      <w:pPr>
        <w:ind w:left="2070" w:hanging="360"/>
      </w:pPr>
      <w:rPr>
        <w:rFonts w:ascii="Verdana" w:eastAsiaTheme="minorHAnsi" w:hAnsi="Verdana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 w15:restartNumberingAfterBreak="0">
    <w:nsid w:val="2B35497D"/>
    <w:multiLevelType w:val="hybridMultilevel"/>
    <w:tmpl w:val="12442D94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2D654486"/>
    <w:multiLevelType w:val="hybridMultilevel"/>
    <w:tmpl w:val="2AF43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337363"/>
    <w:multiLevelType w:val="hybridMultilevel"/>
    <w:tmpl w:val="6A0E2A74"/>
    <w:lvl w:ilvl="0" w:tplc="2F1C8C5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A51AA7"/>
    <w:multiLevelType w:val="hybridMultilevel"/>
    <w:tmpl w:val="7DB27FAC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BAC20C4">
      <w:numFmt w:val="bullet"/>
      <w:lvlText w:val="–"/>
      <w:lvlJc w:val="left"/>
      <w:pPr>
        <w:ind w:left="1980" w:hanging="360"/>
      </w:pPr>
      <w:rPr>
        <w:rFonts w:ascii="Verdana" w:eastAsiaTheme="minorHAnsi" w:hAnsi="Verdana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04C1642"/>
    <w:multiLevelType w:val="hybridMultilevel"/>
    <w:tmpl w:val="1D38391A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1BC3B9D"/>
    <w:multiLevelType w:val="hybridMultilevel"/>
    <w:tmpl w:val="4C2451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F1335D"/>
    <w:multiLevelType w:val="multilevel"/>
    <w:tmpl w:val="6A8275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324D76EE"/>
    <w:multiLevelType w:val="hybridMultilevel"/>
    <w:tmpl w:val="9C6EB8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556F30"/>
    <w:multiLevelType w:val="hybridMultilevel"/>
    <w:tmpl w:val="1ACEC306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AA3B54"/>
    <w:multiLevelType w:val="hybridMultilevel"/>
    <w:tmpl w:val="FEF82A54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B27DE5"/>
    <w:multiLevelType w:val="hybridMultilevel"/>
    <w:tmpl w:val="1E4E01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4415317"/>
    <w:multiLevelType w:val="hybridMultilevel"/>
    <w:tmpl w:val="A5484C6E"/>
    <w:lvl w:ilvl="0" w:tplc="D10C504E">
      <w:numFmt w:val="bullet"/>
      <w:lvlText w:val="-"/>
      <w:lvlJc w:val="left"/>
      <w:pPr>
        <w:ind w:left="108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354D0EAC"/>
    <w:multiLevelType w:val="multilevel"/>
    <w:tmpl w:val="263ACD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39C57EC0"/>
    <w:multiLevelType w:val="hybridMultilevel"/>
    <w:tmpl w:val="9D345DB8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41826D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BD3D15"/>
    <w:multiLevelType w:val="hybridMultilevel"/>
    <w:tmpl w:val="B2C0E5E4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5800C7"/>
    <w:multiLevelType w:val="hybridMultilevel"/>
    <w:tmpl w:val="F182CAC4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BAC20C4">
      <w:numFmt w:val="bullet"/>
      <w:lvlText w:val="–"/>
      <w:lvlJc w:val="left"/>
      <w:pPr>
        <w:ind w:left="2340" w:hanging="360"/>
      </w:pPr>
      <w:rPr>
        <w:rFonts w:ascii="Verdana" w:eastAsiaTheme="minorHAnsi" w:hAnsi="Verdana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753CD7"/>
    <w:multiLevelType w:val="hybridMultilevel"/>
    <w:tmpl w:val="8E780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F7F1B9D"/>
    <w:multiLevelType w:val="hybridMultilevel"/>
    <w:tmpl w:val="973A2618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E4A2B22A">
      <w:start w:val="1"/>
      <w:numFmt w:val="lowerLetter"/>
      <w:lvlText w:val="%3)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4212B4"/>
    <w:multiLevelType w:val="multilevel"/>
    <w:tmpl w:val="4DCE3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9" w15:restartNumberingAfterBreak="0">
    <w:nsid w:val="457C67BE"/>
    <w:multiLevelType w:val="hybridMultilevel"/>
    <w:tmpl w:val="6EAEA3C8"/>
    <w:lvl w:ilvl="0" w:tplc="2E444D5E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5E76697"/>
    <w:multiLevelType w:val="hybridMultilevel"/>
    <w:tmpl w:val="D5B28564"/>
    <w:lvl w:ilvl="0" w:tplc="2752CD9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D6439F"/>
    <w:multiLevelType w:val="hybridMultilevel"/>
    <w:tmpl w:val="00925A92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9126BD0"/>
    <w:multiLevelType w:val="hybridMultilevel"/>
    <w:tmpl w:val="31E6CFB2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3" w15:restartNumberingAfterBreak="0">
    <w:nsid w:val="4B2E76AA"/>
    <w:multiLevelType w:val="hybridMultilevel"/>
    <w:tmpl w:val="4DA899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CA46E84"/>
    <w:multiLevelType w:val="hybridMultilevel"/>
    <w:tmpl w:val="A8647C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194850"/>
    <w:multiLevelType w:val="hybridMultilevel"/>
    <w:tmpl w:val="CE320C84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4F5825BB"/>
    <w:multiLevelType w:val="hybridMultilevel"/>
    <w:tmpl w:val="758032A4"/>
    <w:lvl w:ilvl="0" w:tplc="FBB4B35C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7" w15:restartNumberingAfterBreak="0">
    <w:nsid w:val="4FAE0B2F"/>
    <w:multiLevelType w:val="hybridMultilevel"/>
    <w:tmpl w:val="64DA5C3E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53A36787"/>
    <w:multiLevelType w:val="hybridMultilevel"/>
    <w:tmpl w:val="D6FE7CC8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835B43"/>
    <w:multiLevelType w:val="hybridMultilevel"/>
    <w:tmpl w:val="E6F60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6F9450B"/>
    <w:multiLevelType w:val="hybridMultilevel"/>
    <w:tmpl w:val="F2402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DCB7673"/>
    <w:multiLevelType w:val="multilevel"/>
    <w:tmpl w:val="EDAC9F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2" w15:restartNumberingAfterBreak="0">
    <w:nsid w:val="5DDD2C74"/>
    <w:multiLevelType w:val="hybridMultilevel"/>
    <w:tmpl w:val="71706D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EDA112A"/>
    <w:multiLevelType w:val="hybridMultilevel"/>
    <w:tmpl w:val="8C9A94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0557AFB"/>
    <w:multiLevelType w:val="hybridMultilevel"/>
    <w:tmpl w:val="7248A714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9152D5"/>
    <w:multiLevelType w:val="hybridMultilevel"/>
    <w:tmpl w:val="DDA0FDEA"/>
    <w:lvl w:ilvl="0" w:tplc="03565C20">
      <w:start w:val="1"/>
      <w:numFmt w:val="decimal"/>
      <w:pStyle w:val="Table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09634AC"/>
    <w:multiLevelType w:val="hybridMultilevel"/>
    <w:tmpl w:val="A4CEF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1EA0CD6"/>
    <w:multiLevelType w:val="hybridMultilevel"/>
    <w:tmpl w:val="64441018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63464AFC"/>
    <w:multiLevelType w:val="hybridMultilevel"/>
    <w:tmpl w:val="5A6C46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44029A3"/>
    <w:multiLevelType w:val="multilevel"/>
    <w:tmpl w:val="EDAC9F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0" w15:restartNumberingAfterBreak="0">
    <w:nsid w:val="66075D94"/>
    <w:multiLevelType w:val="hybridMultilevel"/>
    <w:tmpl w:val="475277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884CE7"/>
    <w:multiLevelType w:val="multilevel"/>
    <w:tmpl w:val="0850594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2" w15:restartNumberingAfterBreak="0">
    <w:nsid w:val="668A0B60"/>
    <w:multiLevelType w:val="hybridMultilevel"/>
    <w:tmpl w:val="12AA7456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8890F48"/>
    <w:multiLevelType w:val="hybridMultilevel"/>
    <w:tmpl w:val="BB7AC774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9787B48"/>
    <w:multiLevelType w:val="hybridMultilevel"/>
    <w:tmpl w:val="BD887F50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10C504E">
      <w:numFmt w:val="bullet"/>
      <w:lvlText w:val="-"/>
      <w:lvlJc w:val="left"/>
      <w:pPr>
        <w:ind w:left="1800" w:hanging="360"/>
      </w:pPr>
      <w:rPr>
        <w:rFonts w:ascii="Calibri" w:eastAsiaTheme="minorHAnsi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69FE08F0"/>
    <w:multiLevelType w:val="hybridMultilevel"/>
    <w:tmpl w:val="3A9A870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6AE5293E"/>
    <w:multiLevelType w:val="hybridMultilevel"/>
    <w:tmpl w:val="D4FE8B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073FDE"/>
    <w:multiLevelType w:val="hybridMultilevel"/>
    <w:tmpl w:val="71706D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BFC6346"/>
    <w:multiLevelType w:val="hybridMultilevel"/>
    <w:tmpl w:val="6E20202C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6E0A408A"/>
    <w:multiLevelType w:val="hybridMultilevel"/>
    <w:tmpl w:val="57B65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F445FF8"/>
    <w:multiLevelType w:val="hybridMultilevel"/>
    <w:tmpl w:val="13F4DC0A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6B264B"/>
    <w:multiLevelType w:val="hybridMultilevel"/>
    <w:tmpl w:val="439ABF50"/>
    <w:lvl w:ilvl="0" w:tplc="D234A1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0930BE4"/>
    <w:multiLevelType w:val="hybridMultilevel"/>
    <w:tmpl w:val="2B1A0D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1244D69"/>
    <w:multiLevelType w:val="hybridMultilevel"/>
    <w:tmpl w:val="8A2EA7FA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3CB1609"/>
    <w:multiLevelType w:val="hybridMultilevel"/>
    <w:tmpl w:val="043E2A08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4327D4A"/>
    <w:multiLevelType w:val="hybridMultilevel"/>
    <w:tmpl w:val="7AAECCA4"/>
    <w:lvl w:ilvl="0" w:tplc="8FCE6878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45648D5"/>
    <w:multiLevelType w:val="hybridMultilevel"/>
    <w:tmpl w:val="2E1C68FC"/>
    <w:lvl w:ilvl="0" w:tplc="D592D76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59655FE"/>
    <w:multiLevelType w:val="hybridMultilevel"/>
    <w:tmpl w:val="896A2454"/>
    <w:lvl w:ilvl="0" w:tplc="CB6CA1A0">
      <w:start w:val="2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744493C"/>
    <w:multiLevelType w:val="multilevel"/>
    <w:tmpl w:val="7C0EC0E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9" w15:restartNumberingAfterBreak="0">
    <w:nsid w:val="77567C51"/>
    <w:multiLevelType w:val="hybridMultilevel"/>
    <w:tmpl w:val="EBEA2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7C0445C"/>
    <w:multiLevelType w:val="hybridMultilevel"/>
    <w:tmpl w:val="A8182902"/>
    <w:lvl w:ilvl="0" w:tplc="CB6CA1A0">
      <w:start w:val="2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7C878A5"/>
    <w:multiLevelType w:val="hybridMultilevel"/>
    <w:tmpl w:val="4538DE76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170" w:hanging="360"/>
      </w:pPr>
      <w:rPr>
        <w:rFonts w:ascii="Calibri" w:eastAsiaTheme="minorHAnsi" w:hAnsi="Calibri"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2" w15:restartNumberingAfterBreak="0">
    <w:nsid w:val="79EC25C9"/>
    <w:multiLevelType w:val="hybridMultilevel"/>
    <w:tmpl w:val="75E2C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AC41260"/>
    <w:multiLevelType w:val="hybridMultilevel"/>
    <w:tmpl w:val="407C3F18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4" w15:restartNumberingAfterBreak="0">
    <w:nsid w:val="7CE66048"/>
    <w:multiLevelType w:val="hybridMultilevel"/>
    <w:tmpl w:val="CA9C59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9"/>
  </w:num>
  <w:num w:numId="6">
    <w:abstractNumId w:val="65"/>
  </w:num>
  <w:num w:numId="7">
    <w:abstractNumId w:val="48"/>
  </w:num>
  <w:num w:numId="8">
    <w:abstractNumId w:val="23"/>
  </w:num>
  <w:num w:numId="9">
    <w:abstractNumId w:val="6"/>
  </w:num>
  <w:num w:numId="10">
    <w:abstractNumId w:val="93"/>
  </w:num>
  <w:num w:numId="11">
    <w:abstractNumId w:val="16"/>
  </w:num>
  <w:num w:numId="12">
    <w:abstractNumId w:val="50"/>
  </w:num>
  <w:num w:numId="13">
    <w:abstractNumId w:val="35"/>
  </w:num>
  <w:num w:numId="14">
    <w:abstractNumId w:val="82"/>
  </w:num>
  <w:num w:numId="15">
    <w:abstractNumId w:val="37"/>
  </w:num>
  <w:num w:numId="16">
    <w:abstractNumId w:val="56"/>
  </w:num>
  <w:num w:numId="17">
    <w:abstractNumId w:val="52"/>
  </w:num>
  <w:num w:numId="18">
    <w:abstractNumId w:val="42"/>
  </w:num>
  <w:num w:numId="19">
    <w:abstractNumId w:val="76"/>
  </w:num>
  <w:num w:numId="20">
    <w:abstractNumId w:val="63"/>
  </w:num>
  <w:num w:numId="21">
    <w:abstractNumId w:val="26"/>
  </w:num>
  <w:num w:numId="22">
    <w:abstractNumId w:val="54"/>
  </w:num>
  <w:num w:numId="23">
    <w:abstractNumId w:val="77"/>
  </w:num>
  <w:num w:numId="24">
    <w:abstractNumId w:val="62"/>
  </w:num>
  <w:num w:numId="25">
    <w:abstractNumId w:val="36"/>
  </w:num>
  <w:num w:numId="26">
    <w:abstractNumId w:val="70"/>
  </w:num>
  <w:num w:numId="27">
    <w:abstractNumId w:val="18"/>
  </w:num>
  <w:num w:numId="28">
    <w:abstractNumId w:val="71"/>
  </w:num>
  <w:num w:numId="29">
    <w:abstractNumId w:val="14"/>
  </w:num>
  <w:num w:numId="30">
    <w:abstractNumId w:val="68"/>
  </w:num>
  <w:num w:numId="31">
    <w:abstractNumId w:val="9"/>
  </w:num>
  <w:num w:numId="32">
    <w:abstractNumId w:val="32"/>
  </w:num>
  <w:num w:numId="33">
    <w:abstractNumId w:val="61"/>
  </w:num>
  <w:num w:numId="34">
    <w:abstractNumId w:val="69"/>
  </w:num>
  <w:num w:numId="35">
    <w:abstractNumId w:val="15"/>
  </w:num>
  <w:num w:numId="36">
    <w:abstractNumId w:val="72"/>
  </w:num>
  <w:num w:numId="37">
    <w:abstractNumId w:val="90"/>
  </w:num>
  <w:num w:numId="38">
    <w:abstractNumId w:val="5"/>
  </w:num>
  <w:num w:numId="39">
    <w:abstractNumId w:val="75"/>
  </w:num>
  <w:num w:numId="40">
    <w:abstractNumId w:val="87"/>
  </w:num>
  <w:num w:numId="41">
    <w:abstractNumId w:val="4"/>
  </w:num>
  <w:num w:numId="42">
    <w:abstractNumId w:val="41"/>
  </w:num>
  <w:num w:numId="43">
    <w:abstractNumId w:val="88"/>
  </w:num>
  <w:num w:numId="44">
    <w:abstractNumId w:val="47"/>
  </w:num>
  <w:num w:numId="45">
    <w:abstractNumId w:val="58"/>
  </w:num>
  <w:num w:numId="46">
    <w:abstractNumId w:val="53"/>
  </w:num>
  <w:num w:numId="47">
    <w:abstractNumId w:val="29"/>
  </w:num>
  <w:num w:numId="48">
    <w:abstractNumId w:val="91"/>
  </w:num>
  <w:num w:numId="49">
    <w:abstractNumId w:val="8"/>
  </w:num>
  <w:num w:numId="50">
    <w:abstractNumId w:val="21"/>
  </w:num>
  <w:num w:numId="51">
    <w:abstractNumId w:val="38"/>
  </w:num>
  <w:num w:numId="52">
    <w:abstractNumId w:val="20"/>
  </w:num>
  <w:num w:numId="53">
    <w:abstractNumId w:val="17"/>
  </w:num>
  <w:num w:numId="54">
    <w:abstractNumId w:val="43"/>
  </w:num>
  <w:num w:numId="55">
    <w:abstractNumId w:val="13"/>
  </w:num>
  <w:num w:numId="56">
    <w:abstractNumId w:val="64"/>
  </w:num>
  <w:num w:numId="57">
    <w:abstractNumId w:val="11"/>
  </w:num>
  <w:num w:numId="58">
    <w:abstractNumId w:val="33"/>
  </w:num>
  <w:num w:numId="59">
    <w:abstractNumId w:val="67"/>
  </w:num>
  <w:num w:numId="60">
    <w:abstractNumId w:val="22"/>
  </w:num>
  <w:num w:numId="61">
    <w:abstractNumId w:val="27"/>
  </w:num>
  <w:num w:numId="62">
    <w:abstractNumId w:val="45"/>
  </w:num>
  <w:num w:numId="63">
    <w:abstractNumId w:val="7"/>
  </w:num>
  <w:num w:numId="64">
    <w:abstractNumId w:val="83"/>
  </w:num>
  <w:num w:numId="65">
    <w:abstractNumId w:val="34"/>
  </w:num>
  <w:num w:numId="66">
    <w:abstractNumId w:val="84"/>
  </w:num>
  <w:num w:numId="67">
    <w:abstractNumId w:val="44"/>
  </w:num>
  <w:num w:numId="68">
    <w:abstractNumId w:val="74"/>
  </w:num>
  <w:num w:numId="69">
    <w:abstractNumId w:val="78"/>
  </w:num>
  <w:num w:numId="70">
    <w:abstractNumId w:val="80"/>
  </w:num>
  <w:num w:numId="71">
    <w:abstractNumId w:val="55"/>
  </w:num>
  <w:num w:numId="72">
    <w:abstractNumId w:val="30"/>
  </w:num>
  <w:num w:numId="73">
    <w:abstractNumId w:val="57"/>
  </w:num>
  <w:num w:numId="74">
    <w:abstractNumId w:val="39"/>
  </w:num>
  <w:num w:numId="75">
    <w:abstractNumId w:val="10"/>
  </w:num>
  <w:num w:numId="76">
    <w:abstractNumId w:val="12"/>
  </w:num>
  <w:num w:numId="77">
    <w:abstractNumId w:val="89"/>
  </w:num>
  <w:num w:numId="78">
    <w:abstractNumId w:val="31"/>
  </w:num>
  <w:num w:numId="79">
    <w:abstractNumId w:val="24"/>
  </w:num>
  <w:num w:numId="80">
    <w:abstractNumId w:val="86"/>
  </w:num>
  <w:num w:numId="81">
    <w:abstractNumId w:val="25"/>
  </w:num>
  <w:num w:numId="82">
    <w:abstractNumId w:val="51"/>
  </w:num>
  <w:num w:numId="83">
    <w:abstractNumId w:val="19"/>
  </w:num>
  <w:num w:numId="84">
    <w:abstractNumId w:val="73"/>
  </w:num>
  <w:num w:numId="85">
    <w:abstractNumId w:val="40"/>
  </w:num>
  <w:num w:numId="86">
    <w:abstractNumId w:val="94"/>
  </w:num>
  <w:num w:numId="87">
    <w:abstractNumId w:val="28"/>
  </w:num>
  <w:num w:numId="88">
    <w:abstractNumId w:val="85"/>
  </w:num>
  <w:num w:numId="89">
    <w:abstractNumId w:val="81"/>
  </w:num>
  <w:num w:numId="90">
    <w:abstractNumId w:val="46"/>
  </w:num>
  <w:num w:numId="91">
    <w:abstractNumId w:val="59"/>
  </w:num>
  <w:num w:numId="92">
    <w:abstractNumId w:val="60"/>
  </w:num>
  <w:num w:numId="93">
    <w:abstractNumId w:val="92"/>
  </w:num>
  <w:num w:numId="94">
    <w:abstractNumId w:val="79"/>
  </w:num>
  <w:num w:numId="95">
    <w:abstractNumId w:val="6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stylePaneSortMethod w:val="0000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3FE"/>
    <w:rsid w:val="00000334"/>
    <w:rsid w:val="000005FE"/>
    <w:rsid w:val="00005680"/>
    <w:rsid w:val="000058A1"/>
    <w:rsid w:val="000063C9"/>
    <w:rsid w:val="00006B9F"/>
    <w:rsid w:val="00011550"/>
    <w:rsid w:val="00011DD4"/>
    <w:rsid w:val="00012E5A"/>
    <w:rsid w:val="000131A3"/>
    <w:rsid w:val="000135F9"/>
    <w:rsid w:val="00014B89"/>
    <w:rsid w:val="00017256"/>
    <w:rsid w:val="000172FC"/>
    <w:rsid w:val="000173B3"/>
    <w:rsid w:val="00020D44"/>
    <w:rsid w:val="00021A39"/>
    <w:rsid w:val="00022715"/>
    <w:rsid w:val="000229EF"/>
    <w:rsid w:val="00022E1D"/>
    <w:rsid w:val="000251F1"/>
    <w:rsid w:val="00025E7D"/>
    <w:rsid w:val="00031F08"/>
    <w:rsid w:val="00032B71"/>
    <w:rsid w:val="00033FC8"/>
    <w:rsid w:val="00035845"/>
    <w:rsid w:val="00035DBA"/>
    <w:rsid w:val="00037C17"/>
    <w:rsid w:val="00040464"/>
    <w:rsid w:val="00041DB4"/>
    <w:rsid w:val="000429AC"/>
    <w:rsid w:val="00042B6A"/>
    <w:rsid w:val="00042B99"/>
    <w:rsid w:val="00043BD3"/>
    <w:rsid w:val="00043CF2"/>
    <w:rsid w:val="00045ECD"/>
    <w:rsid w:val="00045FE8"/>
    <w:rsid w:val="00047DC2"/>
    <w:rsid w:val="000516C4"/>
    <w:rsid w:val="000517C0"/>
    <w:rsid w:val="00052768"/>
    <w:rsid w:val="00052EA7"/>
    <w:rsid w:val="00053D7B"/>
    <w:rsid w:val="0005400F"/>
    <w:rsid w:val="00055C2E"/>
    <w:rsid w:val="000576C3"/>
    <w:rsid w:val="00057C98"/>
    <w:rsid w:val="000604BF"/>
    <w:rsid w:val="00061C6E"/>
    <w:rsid w:val="000637A6"/>
    <w:rsid w:val="00065D26"/>
    <w:rsid w:val="00066BBA"/>
    <w:rsid w:val="000709B9"/>
    <w:rsid w:val="00071509"/>
    <w:rsid w:val="000726EA"/>
    <w:rsid w:val="00072858"/>
    <w:rsid w:val="00072B76"/>
    <w:rsid w:val="000730F3"/>
    <w:rsid w:val="0007715B"/>
    <w:rsid w:val="000808A3"/>
    <w:rsid w:val="000810F6"/>
    <w:rsid w:val="00081C31"/>
    <w:rsid w:val="00083DD5"/>
    <w:rsid w:val="00084DFA"/>
    <w:rsid w:val="00090C7A"/>
    <w:rsid w:val="0009224F"/>
    <w:rsid w:val="00092341"/>
    <w:rsid w:val="00092877"/>
    <w:rsid w:val="00093F81"/>
    <w:rsid w:val="0009411F"/>
    <w:rsid w:val="0009444A"/>
    <w:rsid w:val="00094645"/>
    <w:rsid w:val="00094F54"/>
    <w:rsid w:val="00095A8D"/>
    <w:rsid w:val="000961D8"/>
    <w:rsid w:val="00096C42"/>
    <w:rsid w:val="000A05DB"/>
    <w:rsid w:val="000A39BD"/>
    <w:rsid w:val="000A3D42"/>
    <w:rsid w:val="000A44F3"/>
    <w:rsid w:val="000A5514"/>
    <w:rsid w:val="000A61CB"/>
    <w:rsid w:val="000A66A9"/>
    <w:rsid w:val="000A783D"/>
    <w:rsid w:val="000A7F05"/>
    <w:rsid w:val="000B1D31"/>
    <w:rsid w:val="000B2077"/>
    <w:rsid w:val="000B2E3C"/>
    <w:rsid w:val="000B438F"/>
    <w:rsid w:val="000B4403"/>
    <w:rsid w:val="000B493A"/>
    <w:rsid w:val="000B5F92"/>
    <w:rsid w:val="000B60AC"/>
    <w:rsid w:val="000B6C05"/>
    <w:rsid w:val="000B6D74"/>
    <w:rsid w:val="000C1BB4"/>
    <w:rsid w:val="000C20BD"/>
    <w:rsid w:val="000C2750"/>
    <w:rsid w:val="000C2B24"/>
    <w:rsid w:val="000C3230"/>
    <w:rsid w:val="000C3C7F"/>
    <w:rsid w:val="000C4E5A"/>
    <w:rsid w:val="000C5EA5"/>
    <w:rsid w:val="000D1B02"/>
    <w:rsid w:val="000D2DE0"/>
    <w:rsid w:val="000D5A99"/>
    <w:rsid w:val="000D67AE"/>
    <w:rsid w:val="000E2C94"/>
    <w:rsid w:val="000E4AA4"/>
    <w:rsid w:val="000E6138"/>
    <w:rsid w:val="000F31B2"/>
    <w:rsid w:val="000F3629"/>
    <w:rsid w:val="000F37D4"/>
    <w:rsid w:val="000F3BFF"/>
    <w:rsid w:val="000F3C7C"/>
    <w:rsid w:val="000F4404"/>
    <w:rsid w:val="000F5A5C"/>
    <w:rsid w:val="000F5C22"/>
    <w:rsid w:val="000F71BD"/>
    <w:rsid w:val="000F785A"/>
    <w:rsid w:val="001008F5"/>
    <w:rsid w:val="00100F61"/>
    <w:rsid w:val="0010113D"/>
    <w:rsid w:val="001016CC"/>
    <w:rsid w:val="001018AB"/>
    <w:rsid w:val="00102A6C"/>
    <w:rsid w:val="0010462B"/>
    <w:rsid w:val="00106067"/>
    <w:rsid w:val="00110C92"/>
    <w:rsid w:val="00110F65"/>
    <w:rsid w:val="001142BC"/>
    <w:rsid w:val="0011439F"/>
    <w:rsid w:val="00115A15"/>
    <w:rsid w:val="00117DC5"/>
    <w:rsid w:val="00120523"/>
    <w:rsid w:val="00120650"/>
    <w:rsid w:val="001208AE"/>
    <w:rsid w:val="00120B4B"/>
    <w:rsid w:val="00123AD3"/>
    <w:rsid w:val="0012599A"/>
    <w:rsid w:val="001265CF"/>
    <w:rsid w:val="00127AE6"/>
    <w:rsid w:val="00130191"/>
    <w:rsid w:val="00132576"/>
    <w:rsid w:val="0013283B"/>
    <w:rsid w:val="00132A29"/>
    <w:rsid w:val="00134E92"/>
    <w:rsid w:val="001351C0"/>
    <w:rsid w:val="00136294"/>
    <w:rsid w:val="001362AF"/>
    <w:rsid w:val="00137513"/>
    <w:rsid w:val="001411CB"/>
    <w:rsid w:val="00143A60"/>
    <w:rsid w:val="00144AD8"/>
    <w:rsid w:val="001457BC"/>
    <w:rsid w:val="00147347"/>
    <w:rsid w:val="00147CE0"/>
    <w:rsid w:val="00153E97"/>
    <w:rsid w:val="00156FD1"/>
    <w:rsid w:val="00157BD7"/>
    <w:rsid w:val="00157E6E"/>
    <w:rsid w:val="001616A1"/>
    <w:rsid w:val="00162B0D"/>
    <w:rsid w:val="00163881"/>
    <w:rsid w:val="00165112"/>
    <w:rsid w:val="001657EF"/>
    <w:rsid w:val="001659E4"/>
    <w:rsid w:val="00166337"/>
    <w:rsid w:val="00167200"/>
    <w:rsid w:val="001708B9"/>
    <w:rsid w:val="00171273"/>
    <w:rsid w:val="00171D55"/>
    <w:rsid w:val="0017280D"/>
    <w:rsid w:val="0017318A"/>
    <w:rsid w:val="00174FEF"/>
    <w:rsid w:val="001757CE"/>
    <w:rsid w:val="0017585F"/>
    <w:rsid w:val="001808D2"/>
    <w:rsid w:val="00180BDA"/>
    <w:rsid w:val="00180E1E"/>
    <w:rsid w:val="0018108F"/>
    <w:rsid w:val="00183E0D"/>
    <w:rsid w:val="0018451F"/>
    <w:rsid w:val="001845D0"/>
    <w:rsid w:val="00186929"/>
    <w:rsid w:val="00186FC8"/>
    <w:rsid w:val="0019043F"/>
    <w:rsid w:val="0019144B"/>
    <w:rsid w:val="001925C1"/>
    <w:rsid w:val="00193B84"/>
    <w:rsid w:val="00193D43"/>
    <w:rsid w:val="001945F9"/>
    <w:rsid w:val="00195734"/>
    <w:rsid w:val="00195CAE"/>
    <w:rsid w:val="00195F15"/>
    <w:rsid w:val="00195F7B"/>
    <w:rsid w:val="00197155"/>
    <w:rsid w:val="001975EF"/>
    <w:rsid w:val="0019765A"/>
    <w:rsid w:val="001A0292"/>
    <w:rsid w:val="001A0962"/>
    <w:rsid w:val="001A45CF"/>
    <w:rsid w:val="001A4DEE"/>
    <w:rsid w:val="001A582C"/>
    <w:rsid w:val="001A65CF"/>
    <w:rsid w:val="001B0F94"/>
    <w:rsid w:val="001B21F8"/>
    <w:rsid w:val="001B2DF0"/>
    <w:rsid w:val="001B4781"/>
    <w:rsid w:val="001B49AF"/>
    <w:rsid w:val="001B52AB"/>
    <w:rsid w:val="001B535E"/>
    <w:rsid w:val="001B5C19"/>
    <w:rsid w:val="001B73AD"/>
    <w:rsid w:val="001B7E58"/>
    <w:rsid w:val="001C0133"/>
    <w:rsid w:val="001C3BE7"/>
    <w:rsid w:val="001C487B"/>
    <w:rsid w:val="001C7535"/>
    <w:rsid w:val="001D03A7"/>
    <w:rsid w:val="001D2671"/>
    <w:rsid w:val="001D4B22"/>
    <w:rsid w:val="001D50C3"/>
    <w:rsid w:val="001D6822"/>
    <w:rsid w:val="001D6F81"/>
    <w:rsid w:val="001D7490"/>
    <w:rsid w:val="001E016B"/>
    <w:rsid w:val="001E125E"/>
    <w:rsid w:val="001E293A"/>
    <w:rsid w:val="001E4462"/>
    <w:rsid w:val="001E450C"/>
    <w:rsid w:val="001E6E19"/>
    <w:rsid w:val="001E7D3E"/>
    <w:rsid w:val="001F0AC6"/>
    <w:rsid w:val="001F1079"/>
    <w:rsid w:val="001F38BE"/>
    <w:rsid w:val="001F3F6B"/>
    <w:rsid w:val="001F4B59"/>
    <w:rsid w:val="001F61B8"/>
    <w:rsid w:val="001F6839"/>
    <w:rsid w:val="002019FC"/>
    <w:rsid w:val="00202F6F"/>
    <w:rsid w:val="00204CBA"/>
    <w:rsid w:val="00212852"/>
    <w:rsid w:val="00212CDB"/>
    <w:rsid w:val="00213931"/>
    <w:rsid w:val="00214566"/>
    <w:rsid w:val="00215563"/>
    <w:rsid w:val="002164ED"/>
    <w:rsid w:val="002167D2"/>
    <w:rsid w:val="00216CF6"/>
    <w:rsid w:val="00217747"/>
    <w:rsid w:val="00220492"/>
    <w:rsid w:val="00220CCF"/>
    <w:rsid w:val="00220CE4"/>
    <w:rsid w:val="00220CEC"/>
    <w:rsid w:val="0022232D"/>
    <w:rsid w:val="0022322B"/>
    <w:rsid w:val="002239BD"/>
    <w:rsid w:val="00227F1F"/>
    <w:rsid w:val="00230B49"/>
    <w:rsid w:val="00230B7E"/>
    <w:rsid w:val="00231B44"/>
    <w:rsid w:val="0023344F"/>
    <w:rsid w:val="002340B6"/>
    <w:rsid w:val="00234BA2"/>
    <w:rsid w:val="00235284"/>
    <w:rsid w:val="00235582"/>
    <w:rsid w:val="0023699A"/>
    <w:rsid w:val="002370AB"/>
    <w:rsid w:val="00237872"/>
    <w:rsid w:val="00242795"/>
    <w:rsid w:val="00244010"/>
    <w:rsid w:val="00244915"/>
    <w:rsid w:val="002512EF"/>
    <w:rsid w:val="00252514"/>
    <w:rsid w:val="00253D2A"/>
    <w:rsid w:val="00254E12"/>
    <w:rsid w:val="00255D53"/>
    <w:rsid w:val="00260CDE"/>
    <w:rsid w:val="00261E3B"/>
    <w:rsid w:val="00261E5F"/>
    <w:rsid w:val="002624DF"/>
    <w:rsid w:val="00262F61"/>
    <w:rsid w:val="00263DAE"/>
    <w:rsid w:val="002651BD"/>
    <w:rsid w:val="00267D70"/>
    <w:rsid w:val="002713F0"/>
    <w:rsid w:val="00271695"/>
    <w:rsid w:val="00272A78"/>
    <w:rsid w:val="00274949"/>
    <w:rsid w:val="00274C23"/>
    <w:rsid w:val="00275C4A"/>
    <w:rsid w:val="00284D72"/>
    <w:rsid w:val="002866FF"/>
    <w:rsid w:val="00292D75"/>
    <w:rsid w:val="002930B2"/>
    <w:rsid w:val="002937CD"/>
    <w:rsid w:val="00294819"/>
    <w:rsid w:val="00294BBA"/>
    <w:rsid w:val="00295586"/>
    <w:rsid w:val="00295ECD"/>
    <w:rsid w:val="002962BF"/>
    <w:rsid w:val="00297214"/>
    <w:rsid w:val="002A0E97"/>
    <w:rsid w:val="002A13EF"/>
    <w:rsid w:val="002A2AE2"/>
    <w:rsid w:val="002A4002"/>
    <w:rsid w:val="002B13EC"/>
    <w:rsid w:val="002B1B99"/>
    <w:rsid w:val="002B2376"/>
    <w:rsid w:val="002B25BF"/>
    <w:rsid w:val="002B37E9"/>
    <w:rsid w:val="002B4054"/>
    <w:rsid w:val="002B4D02"/>
    <w:rsid w:val="002B6284"/>
    <w:rsid w:val="002B63DA"/>
    <w:rsid w:val="002B6D2E"/>
    <w:rsid w:val="002B6E06"/>
    <w:rsid w:val="002C18DA"/>
    <w:rsid w:val="002C3BCC"/>
    <w:rsid w:val="002C4B75"/>
    <w:rsid w:val="002C5FEA"/>
    <w:rsid w:val="002C690A"/>
    <w:rsid w:val="002C6E97"/>
    <w:rsid w:val="002C6F50"/>
    <w:rsid w:val="002C72AA"/>
    <w:rsid w:val="002C7C62"/>
    <w:rsid w:val="002D085E"/>
    <w:rsid w:val="002D41F7"/>
    <w:rsid w:val="002D7BFB"/>
    <w:rsid w:val="002E022C"/>
    <w:rsid w:val="002E1C00"/>
    <w:rsid w:val="002E25A0"/>
    <w:rsid w:val="002E3538"/>
    <w:rsid w:val="002E3BAE"/>
    <w:rsid w:val="002E55B0"/>
    <w:rsid w:val="002E7099"/>
    <w:rsid w:val="002E79C6"/>
    <w:rsid w:val="002F0388"/>
    <w:rsid w:val="002F2771"/>
    <w:rsid w:val="002F33E2"/>
    <w:rsid w:val="002F3A5D"/>
    <w:rsid w:val="002F4450"/>
    <w:rsid w:val="002F5462"/>
    <w:rsid w:val="002F56C8"/>
    <w:rsid w:val="002F75BC"/>
    <w:rsid w:val="002F7BAE"/>
    <w:rsid w:val="0030357B"/>
    <w:rsid w:val="00304105"/>
    <w:rsid w:val="00305EA5"/>
    <w:rsid w:val="00305EEE"/>
    <w:rsid w:val="00310AB4"/>
    <w:rsid w:val="00312097"/>
    <w:rsid w:val="003121C1"/>
    <w:rsid w:val="0032044D"/>
    <w:rsid w:val="0032066E"/>
    <w:rsid w:val="00320D28"/>
    <w:rsid w:val="003213F3"/>
    <w:rsid w:val="00321AE1"/>
    <w:rsid w:val="00322F91"/>
    <w:rsid w:val="0032373B"/>
    <w:rsid w:val="00324D59"/>
    <w:rsid w:val="00325FD9"/>
    <w:rsid w:val="003273E7"/>
    <w:rsid w:val="00331D1F"/>
    <w:rsid w:val="00333D70"/>
    <w:rsid w:val="00336C0D"/>
    <w:rsid w:val="00337680"/>
    <w:rsid w:val="00337AB0"/>
    <w:rsid w:val="00343F35"/>
    <w:rsid w:val="003503DF"/>
    <w:rsid w:val="00350A24"/>
    <w:rsid w:val="00351C61"/>
    <w:rsid w:val="003522BF"/>
    <w:rsid w:val="003536B5"/>
    <w:rsid w:val="0035442D"/>
    <w:rsid w:val="00356E52"/>
    <w:rsid w:val="00357A3C"/>
    <w:rsid w:val="00357E4F"/>
    <w:rsid w:val="003612CF"/>
    <w:rsid w:val="00361D85"/>
    <w:rsid w:val="00362CEB"/>
    <w:rsid w:val="00363ABD"/>
    <w:rsid w:val="00363C7B"/>
    <w:rsid w:val="00363FAB"/>
    <w:rsid w:val="00365C40"/>
    <w:rsid w:val="00366C89"/>
    <w:rsid w:val="003672A5"/>
    <w:rsid w:val="0036797A"/>
    <w:rsid w:val="0037019A"/>
    <w:rsid w:val="00372D47"/>
    <w:rsid w:val="00375393"/>
    <w:rsid w:val="00375D3D"/>
    <w:rsid w:val="00375EB8"/>
    <w:rsid w:val="00376134"/>
    <w:rsid w:val="00376317"/>
    <w:rsid w:val="0037660E"/>
    <w:rsid w:val="00377AE4"/>
    <w:rsid w:val="00377B4C"/>
    <w:rsid w:val="00377D44"/>
    <w:rsid w:val="003810B3"/>
    <w:rsid w:val="0038122E"/>
    <w:rsid w:val="00382B24"/>
    <w:rsid w:val="00384353"/>
    <w:rsid w:val="003853E2"/>
    <w:rsid w:val="003863C7"/>
    <w:rsid w:val="0039181B"/>
    <w:rsid w:val="003918B4"/>
    <w:rsid w:val="003923FD"/>
    <w:rsid w:val="0039267B"/>
    <w:rsid w:val="003973F8"/>
    <w:rsid w:val="003A064B"/>
    <w:rsid w:val="003A0AF6"/>
    <w:rsid w:val="003A1C6F"/>
    <w:rsid w:val="003A360C"/>
    <w:rsid w:val="003A3A4D"/>
    <w:rsid w:val="003A494E"/>
    <w:rsid w:val="003A7C27"/>
    <w:rsid w:val="003B3379"/>
    <w:rsid w:val="003B3987"/>
    <w:rsid w:val="003B3C47"/>
    <w:rsid w:val="003B3F96"/>
    <w:rsid w:val="003B6522"/>
    <w:rsid w:val="003B679F"/>
    <w:rsid w:val="003B7B77"/>
    <w:rsid w:val="003C12AF"/>
    <w:rsid w:val="003C34B8"/>
    <w:rsid w:val="003C4BE4"/>
    <w:rsid w:val="003C4DE4"/>
    <w:rsid w:val="003C4E87"/>
    <w:rsid w:val="003C65FF"/>
    <w:rsid w:val="003C77AB"/>
    <w:rsid w:val="003D0493"/>
    <w:rsid w:val="003D16ED"/>
    <w:rsid w:val="003D1A80"/>
    <w:rsid w:val="003D54BF"/>
    <w:rsid w:val="003D5AD9"/>
    <w:rsid w:val="003D6E98"/>
    <w:rsid w:val="003D7F8B"/>
    <w:rsid w:val="003E108C"/>
    <w:rsid w:val="003E138D"/>
    <w:rsid w:val="003E1820"/>
    <w:rsid w:val="003E1CD0"/>
    <w:rsid w:val="003E2349"/>
    <w:rsid w:val="003E3540"/>
    <w:rsid w:val="003E49BA"/>
    <w:rsid w:val="003E761D"/>
    <w:rsid w:val="003F0749"/>
    <w:rsid w:val="003F2224"/>
    <w:rsid w:val="003F2F79"/>
    <w:rsid w:val="003F4EDC"/>
    <w:rsid w:val="003F5A01"/>
    <w:rsid w:val="003F7332"/>
    <w:rsid w:val="00402CBB"/>
    <w:rsid w:val="00402D56"/>
    <w:rsid w:val="00404077"/>
    <w:rsid w:val="004041A9"/>
    <w:rsid w:val="00404297"/>
    <w:rsid w:val="004052BC"/>
    <w:rsid w:val="0040530D"/>
    <w:rsid w:val="004056F8"/>
    <w:rsid w:val="004066C3"/>
    <w:rsid w:val="00411284"/>
    <w:rsid w:val="00412EA0"/>
    <w:rsid w:val="004160D6"/>
    <w:rsid w:val="00420811"/>
    <w:rsid w:val="00420E07"/>
    <w:rsid w:val="00425F9A"/>
    <w:rsid w:val="004260CE"/>
    <w:rsid w:val="004265FD"/>
    <w:rsid w:val="0043006A"/>
    <w:rsid w:val="004312D5"/>
    <w:rsid w:val="004314E1"/>
    <w:rsid w:val="00431E74"/>
    <w:rsid w:val="00432002"/>
    <w:rsid w:val="00434B3C"/>
    <w:rsid w:val="00436B1D"/>
    <w:rsid w:val="00436E4A"/>
    <w:rsid w:val="00440582"/>
    <w:rsid w:val="0044117C"/>
    <w:rsid w:val="004427DE"/>
    <w:rsid w:val="00442BFF"/>
    <w:rsid w:val="00444397"/>
    <w:rsid w:val="0044558B"/>
    <w:rsid w:val="00447916"/>
    <w:rsid w:val="004509E3"/>
    <w:rsid w:val="00451AD9"/>
    <w:rsid w:val="00451C51"/>
    <w:rsid w:val="00452ABB"/>
    <w:rsid w:val="00452BD2"/>
    <w:rsid w:val="004533F9"/>
    <w:rsid w:val="0045650C"/>
    <w:rsid w:val="0045730E"/>
    <w:rsid w:val="004627B0"/>
    <w:rsid w:val="00465882"/>
    <w:rsid w:val="004677F8"/>
    <w:rsid w:val="00470C21"/>
    <w:rsid w:val="00472F0F"/>
    <w:rsid w:val="00473614"/>
    <w:rsid w:val="00473B91"/>
    <w:rsid w:val="00484356"/>
    <w:rsid w:val="0048498B"/>
    <w:rsid w:val="0048525B"/>
    <w:rsid w:val="004860A3"/>
    <w:rsid w:val="0048624A"/>
    <w:rsid w:val="00486736"/>
    <w:rsid w:val="00487EB8"/>
    <w:rsid w:val="00491526"/>
    <w:rsid w:val="00492028"/>
    <w:rsid w:val="00494A36"/>
    <w:rsid w:val="00495546"/>
    <w:rsid w:val="00495619"/>
    <w:rsid w:val="004977BE"/>
    <w:rsid w:val="00497CFA"/>
    <w:rsid w:val="004A0742"/>
    <w:rsid w:val="004A0DCC"/>
    <w:rsid w:val="004A4506"/>
    <w:rsid w:val="004A5145"/>
    <w:rsid w:val="004A5EA8"/>
    <w:rsid w:val="004A6133"/>
    <w:rsid w:val="004A6C1B"/>
    <w:rsid w:val="004B0B22"/>
    <w:rsid w:val="004B55AE"/>
    <w:rsid w:val="004B6258"/>
    <w:rsid w:val="004C0E4D"/>
    <w:rsid w:val="004C1017"/>
    <w:rsid w:val="004C183C"/>
    <w:rsid w:val="004C2616"/>
    <w:rsid w:val="004C623A"/>
    <w:rsid w:val="004D0D6D"/>
    <w:rsid w:val="004D159E"/>
    <w:rsid w:val="004D1F57"/>
    <w:rsid w:val="004D2EA9"/>
    <w:rsid w:val="004D3B8A"/>
    <w:rsid w:val="004D49FC"/>
    <w:rsid w:val="004D661F"/>
    <w:rsid w:val="004E0A2C"/>
    <w:rsid w:val="004E0D08"/>
    <w:rsid w:val="004E3A07"/>
    <w:rsid w:val="004E6992"/>
    <w:rsid w:val="004E71C0"/>
    <w:rsid w:val="004E7BDE"/>
    <w:rsid w:val="004E7FA3"/>
    <w:rsid w:val="004F290D"/>
    <w:rsid w:val="004F2CEE"/>
    <w:rsid w:val="004F3CBB"/>
    <w:rsid w:val="004F47B4"/>
    <w:rsid w:val="004F4A4B"/>
    <w:rsid w:val="004F5380"/>
    <w:rsid w:val="004F7EAB"/>
    <w:rsid w:val="005004C0"/>
    <w:rsid w:val="005015F0"/>
    <w:rsid w:val="00501EFF"/>
    <w:rsid w:val="00502154"/>
    <w:rsid w:val="0050296C"/>
    <w:rsid w:val="00503157"/>
    <w:rsid w:val="00504856"/>
    <w:rsid w:val="00507A71"/>
    <w:rsid w:val="00507E6C"/>
    <w:rsid w:val="00511CC5"/>
    <w:rsid w:val="00512D5A"/>
    <w:rsid w:val="00512F8F"/>
    <w:rsid w:val="005145CC"/>
    <w:rsid w:val="00520A0C"/>
    <w:rsid w:val="00520B86"/>
    <w:rsid w:val="00522423"/>
    <w:rsid w:val="00523F6F"/>
    <w:rsid w:val="00526863"/>
    <w:rsid w:val="00526D31"/>
    <w:rsid w:val="005270F9"/>
    <w:rsid w:val="00527BCC"/>
    <w:rsid w:val="00527D72"/>
    <w:rsid w:val="00530886"/>
    <w:rsid w:val="005308BE"/>
    <w:rsid w:val="00530F84"/>
    <w:rsid w:val="00531801"/>
    <w:rsid w:val="00532F51"/>
    <w:rsid w:val="00542505"/>
    <w:rsid w:val="00543BA8"/>
    <w:rsid w:val="005454BC"/>
    <w:rsid w:val="00545593"/>
    <w:rsid w:val="005473F3"/>
    <w:rsid w:val="0054741F"/>
    <w:rsid w:val="005513EB"/>
    <w:rsid w:val="00560C96"/>
    <w:rsid w:val="00560D57"/>
    <w:rsid w:val="00561C52"/>
    <w:rsid w:val="00563C6F"/>
    <w:rsid w:val="00564F21"/>
    <w:rsid w:val="00566556"/>
    <w:rsid w:val="00566C4C"/>
    <w:rsid w:val="005676F0"/>
    <w:rsid w:val="00570C44"/>
    <w:rsid w:val="00573556"/>
    <w:rsid w:val="00573B02"/>
    <w:rsid w:val="00573D2F"/>
    <w:rsid w:val="0057510A"/>
    <w:rsid w:val="0057637C"/>
    <w:rsid w:val="005775F7"/>
    <w:rsid w:val="005810D9"/>
    <w:rsid w:val="005843DE"/>
    <w:rsid w:val="005847CD"/>
    <w:rsid w:val="00585853"/>
    <w:rsid w:val="00586F3E"/>
    <w:rsid w:val="005902D8"/>
    <w:rsid w:val="0059053C"/>
    <w:rsid w:val="00590694"/>
    <w:rsid w:val="00592E11"/>
    <w:rsid w:val="00592E6C"/>
    <w:rsid w:val="00593BF7"/>
    <w:rsid w:val="00593CD9"/>
    <w:rsid w:val="00595170"/>
    <w:rsid w:val="005951FB"/>
    <w:rsid w:val="005967D7"/>
    <w:rsid w:val="0059682F"/>
    <w:rsid w:val="005969FB"/>
    <w:rsid w:val="00596AE3"/>
    <w:rsid w:val="00596E75"/>
    <w:rsid w:val="005975D8"/>
    <w:rsid w:val="00597AE6"/>
    <w:rsid w:val="005A29A3"/>
    <w:rsid w:val="005A35AB"/>
    <w:rsid w:val="005A45C7"/>
    <w:rsid w:val="005A4733"/>
    <w:rsid w:val="005A4C04"/>
    <w:rsid w:val="005A4DB1"/>
    <w:rsid w:val="005A4FDE"/>
    <w:rsid w:val="005A6464"/>
    <w:rsid w:val="005A6E7A"/>
    <w:rsid w:val="005B0592"/>
    <w:rsid w:val="005B0EA1"/>
    <w:rsid w:val="005B39FA"/>
    <w:rsid w:val="005B5956"/>
    <w:rsid w:val="005B6911"/>
    <w:rsid w:val="005B6B53"/>
    <w:rsid w:val="005C205F"/>
    <w:rsid w:val="005C2D89"/>
    <w:rsid w:val="005C4CE4"/>
    <w:rsid w:val="005C6341"/>
    <w:rsid w:val="005D05CF"/>
    <w:rsid w:val="005D3CF7"/>
    <w:rsid w:val="005D4417"/>
    <w:rsid w:val="005D4F99"/>
    <w:rsid w:val="005D52FD"/>
    <w:rsid w:val="005D5512"/>
    <w:rsid w:val="005D5CF6"/>
    <w:rsid w:val="005D77DA"/>
    <w:rsid w:val="005E03AF"/>
    <w:rsid w:val="005E3501"/>
    <w:rsid w:val="005E64D5"/>
    <w:rsid w:val="005E65DB"/>
    <w:rsid w:val="005F1968"/>
    <w:rsid w:val="005F1CDE"/>
    <w:rsid w:val="005F2159"/>
    <w:rsid w:val="005F2C8D"/>
    <w:rsid w:val="005F3082"/>
    <w:rsid w:val="005F3D7B"/>
    <w:rsid w:val="005F525A"/>
    <w:rsid w:val="005F54F5"/>
    <w:rsid w:val="005F5563"/>
    <w:rsid w:val="005F5A7D"/>
    <w:rsid w:val="005F5F5B"/>
    <w:rsid w:val="005F68FD"/>
    <w:rsid w:val="005F74C0"/>
    <w:rsid w:val="00601161"/>
    <w:rsid w:val="006023A0"/>
    <w:rsid w:val="00602782"/>
    <w:rsid w:val="00604D90"/>
    <w:rsid w:val="00605199"/>
    <w:rsid w:val="00605C16"/>
    <w:rsid w:val="0061057F"/>
    <w:rsid w:val="00610D63"/>
    <w:rsid w:val="00611821"/>
    <w:rsid w:val="00612222"/>
    <w:rsid w:val="006144AD"/>
    <w:rsid w:val="00621D34"/>
    <w:rsid w:val="00624AB9"/>
    <w:rsid w:val="00624C5E"/>
    <w:rsid w:val="00626FD8"/>
    <w:rsid w:val="006316A8"/>
    <w:rsid w:val="006320DB"/>
    <w:rsid w:val="006325C6"/>
    <w:rsid w:val="00633BD0"/>
    <w:rsid w:val="00634260"/>
    <w:rsid w:val="0063441D"/>
    <w:rsid w:val="006346F9"/>
    <w:rsid w:val="00634F2D"/>
    <w:rsid w:val="0063693E"/>
    <w:rsid w:val="00636F50"/>
    <w:rsid w:val="00640E86"/>
    <w:rsid w:val="00641C24"/>
    <w:rsid w:val="006436E5"/>
    <w:rsid w:val="006464CD"/>
    <w:rsid w:val="00650D85"/>
    <w:rsid w:val="006528C9"/>
    <w:rsid w:val="006540ED"/>
    <w:rsid w:val="0065467D"/>
    <w:rsid w:val="00655889"/>
    <w:rsid w:val="006578D7"/>
    <w:rsid w:val="00657E9F"/>
    <w:rsid w:val="006609D8"/>
    <w:rsid w:val="00660C0C"/>
    <w:rsid w:val="00661EAF"/>
    <w:rsid w:val="00662DAD"/>
    <w:rsid w:val="0066395C"/>
    <w:rsid w:val="00665515"/>
    <w:rsid w:val="006673E8"/>
    <w:rsid w:val="00671645"/>
    <w:rsid w:val="00671CBD"/>
    <w:rsid w:val="00671EC0"/>
    <w:rsid w:val="006759E4"/>
    <w:rsid w:val="00675ACB"/>
    <w:rsid w:val="00676F48"/>
    <w:rsid w:val="0067770B"/>
    <w:rsid w:val="00680A72"/>
    <w:rsid w:val="00684A9E"/>
    <w:rsid w:val="00684B44"/>
    <w:rsid w:val="006855C0"/>
    <w:rsid w:val="006856D4"/>
    <w:rsid w:val="00685E83"/>
    <w:rsid w:val="00686056"/>
    <w:rsid w:val="00686763"/>
    <w:rsid w:val="00690C1E"/>
    <w:rsid w:val="00691C32"/>
    <w:rsid w:val="006944FB"/>
    <w:rsid w:val="00695590"/>
    <w:rsid w:val="00695628"/>
    <w:rsid w:val="00695F18"/>
    <w:rsid w:val="006A27B4"/>
    <w:rsid w:val="006A27FF"/>
    <w:rsid w:val="006A2D40"/>
    <w:rsid w:val="006A3A79"/>
    <w:rsid w:val="006A473D"/>
    <w:rsid w:val="006A579E"/>
    <w:rsid w:val="006B0513"/>
    <w:rsid w:val="006B06F3"/>
    <w:rsid w:val="006B16E0"/>
    <w:rsid w:val="006B1D99"/>
    <w:rsid w:val="006B24BB"/>
    <w:rsid w:val="006B30D1"/>
    <w:rsid w:val="006B3C11"/>
    <w:rsid w:val="006B4816"/>
    <w:rsid w:val="006B6D9C"/>
    <w:rsid w:val="006B729F"/>
    <w:rsid w:val="006C02E4"/>
    <w:rsid w:val="006C0B23"/>
    <w:rsid w:val="006C1B91"/>
    <w:rsid w:val="006C37CF"/>
    <w:rsid w:val="006C392F"/>
    <w:rsid w:val="006C439F"/>
    <w:rsid w:val="006C4A21"/>
    <w:rsid w:val="006C4B84"/>
    <w:rsid w:val="006C5AD3"/>
    <w:rsid w:val="006C617F"/>
    <w:rsid w:val="006C647F"/>
    <w:rsid w:val="006C6C33"/>
    <w:rsid w:val="006D01E3"/>
    <w:rsid w:val="006D1220"/>
    <w:rsid w:val="006D1346"/>
    <w:rsid w:val="006D1F76"/>
    <w:rsid w:val="006D6A17"/>
    <w:rsid w:val="006D77C7"/>
    <w:rsid w:val="006D7902"/>
    <w:rsid w:val="006E0085"/>
    <w:rsid w:val="006E34F5"/>
    <w:rsid w:val="006E6FAC"/>
    <w:rsid w:val="006F0DBC"/>
    <w:rsid w:val="006F65CA"/>
    <w:rsid w:val="006F6F8B"/>
    <w:rsid w:val="006F72B6"/>
    <w:rsid w:val="006F7F45"/>
    <w:rsid w:val="007013A8"/>
    <w:rsid w:val="00701494"/>
    <w:rsid w:val="00702E31"/>
    <w:rsid w:val="00705766"/>
    <w:rsid w:val="0070591E"/>
    <w:rsid w:val="00705A50"/>
    <w:rsid w:val="00705E85"/>
    <w:rsid w:val="007066F2"/>
    <w:rsid w:val="007071A0"/>
    <w:rsid w:val="0071077B"/>
    <w:rsid w:val="00713E1F"/>
    <w:rsid w:val="00714470"/>
    <w:rsid w:val="007144F4"/>
    <w:rsid w:val="00714778"/>
    <w:rsid w:val="0071610A"/>
    <w:rsid w:val="007172D9"/>
    <w:rsid w:val="00717D06"/>
    <w:rsid w:val="00720888"/>
    <w:rsid w:val="0072138D"/>
    <w:rsid w:val="007237AF"/>
    <w:rsid w:val="00724194"/>
    <w:rsid w:val="00725323"/>
    <w:rsid w:val="00725CA5"/>
    <w:rsid w:val="007263D5"/>
    <w:rsid w:val="0072746D"/>
    <w:rsid w:val="007303A8"/>
    <w:rsid w:val="00730CCA"/>
    <w:rsid w:val="007312AA"/>
    <w:rsid w:val="007339D0"/>
    <w:rsid w:val="00734C1B"/>
    <w:rsid w:val="00734EAB"/>
    <w:rsid w:val="00736A98"/>
    <w:rsid w:val="0074207A"/>
    <w:rsid w:val="00743491"/>
    <w:rsid w:val="00744F8E"/>
    <w:rsid w:val="00745DF4"/>
    <w:rsid w:val="007460A4"/>
    <w:rsid w:val="0075094A"/>
    <w:rsid w:val="00750D3B"/>
    <w:rsid w:val="0075159B"/>
    <w:rsid w:val="007516F0"/>
    <w:rsid w:val="00751A2E"/>
    <w:rsid w:val="007525D3"/>
    <w:rsid w:val="00753A99"/>
    <w:rsid w:val="0075409A"/>
    <w:rsid w:val="007550AB"/>
    <w:rsid w:val="007553AA"/>
    <w:rsid w:val="0076022E"/>
    <w:rsid w:val="007640E7"/>
    <w:rsid w:val="007653DA"/>
    <w:rsid w:val="0076614E"/>
    <w:rsid w:val="007667B1"/>
    <w:rsid w:val="00772986"/>
    <w:rsid w:val="00773725"/>
    <w:rsid w:val="00774BBB"/>
    <w:rsid w:val="007752A1"/>
    <w:rsid w:val="00777313"/>
    <w:rsid w:val="00777893"/>
    <w:rsid w:val="007815C1"/>
    <w:rsid w:val="00782608"/>
    <w:rsid w:val="007844FD"/>
    <w:rsid w:val="0078478C"/>
    <w:rsid w:val="00785215"/>
    <w:rsid w:val="0078691E"/>
    <w:rsid w:val="00787D33"/>
    <w:rsid w:val="00790AF8"/>
    <w:rsid w:val="0079305A"/>
    <w:rsid w:val="007947A4"/>
    <w:rsid w:val="00795F3B"/>
    <w:rsid w:val="00796A12"/>
    <w:rsid w:val="00796B77"/>
    <w:rsid w:val="007A1421"/>
    <w:rsid w:val="007A3B2F"/>
    <w:rsid w:val="007A4FB4"/>
    <w:rsid w:val="007A543C"/>
    <w:rsid w:val="007A6B2B"/>
    <w:rsid w:val="007A7786"/>
    <w:rsid w:val="007A7918"/>
    <w:rsid w:val="007B0AB5"/>
    <w:rsid w:val="007B0CF2"/>
    <w:rsid w:val="007B11EC"/>
    <w:rsid w:val="007B29C4"/>
    <w:rsid w:val="007B2FB1"/>
    <w:rsid w:val="007B343F"/>
    <w:rsid w:val="007B4243"/>
    <w:rsid w:val="007B4261"/>
    <w:rsid w:val="007B4321"/>
    <w:rsid w:val="007C008A"/>
    <w:rsid w:val="007C0A4D"/>
    <w:rsid w:val="007C0C20"/>
    <w:rsid w:val="007C1087"/>
    <w:rsid w:val="007C1289"/>
    <w:rsid w:val="007C4E2C"/>
    <w:rsid w:val="007C60E0"/>
    <w:rsid w:val="007C6EB8"/>
    <w:rsid w:val="007C7944"/>
    <w:rsid w:val="007C7C55"/>
    <w:rsid w:val="007D2207"/>
    <w:rsid w:val="007D58A7"/>
    <w:rsid w:val="007D5ED1"/>
    <w:rsid w:val="007D6B43"/>
    <w:rsid w:val="007D72F6"/>
    <w:rsid w:val="007E03C0"/>
    <w:rsid w:val="007E0DF3"/>
    <w:rsid w:val="007E2034"/>
    <w:rsid w:val="007E2836"/>
    <w:rsid w:val="007E4060"/>
    <w:rsid w:val="007E568A"/>
    <w:rsid w:val="007E62E6"/>
    <w:rsid w:val="007F0AFF"/>
    <w:rsid w:val="007F0D03"/>
    <w:rsid w:val="007F14C1"/>
    <w:rsid w:val="007F1B61"/>
    <w:rsid w:val="007F4828"/>
    <w:rsid w:val="007F57DA"/>
    <w:rsid w:val="008005C8"/>
    <w:rsid w:val="008006BE"/>
    <w:rsid w:val="00800C1E"/>
    <w:rsid w:val="0080397A"/>
    <w:rsid w:val="00803BBF"/>
    <w:rsid w:val="00804059"/>
    <w:rsid w:val="00807054"/>
    <w:rsid w:val="0080728A"/>
    <w:rsid w:val="00813086"/>
    <w:rsid w:val="0081335F"/>
    <w:rsid w:val="00813DBC"/>
    <w:rsid w:val="00813F7A"/>
    <w:rsid w:val="0081481E"/>
    <w:rsid w:val="00814D86"/>
    <w:rsid w:val="008159D8"/>
    <w:rsid w:val="00815EBA"/>
    <w:rsid w:val="00816491"/>
    <w:rsid w:val="0082155F"/>
    <w:rsid w:val="00821DD2"/>
    <w:rsid w:val="00821F18"/>
    <w:rsid w:val="00822203"/>
    <w:rsid w:val="00822995"/>
    <w:rsid w:val="00822FC7"/>
    <w:rsid w:val="00825CB7"/>
    <w:rsid w:val="00827A4F"/>
    <w:rsid w:val="00827B37"/>
    <w:rsid w:val="00827CCD"/>
    <w:rsid w:val="008311FE"/>
    <w:rsid w:val="008312BF"/>
    <w:rsid w:val="00833378"/>
    <w:rsid w:val="008376C0"/>
    <w:rsid w:val="0083779A"/>
    <w:rsid w:val="00837F81"/>
    <w:rsid w:val="00840081"/>
    <w:rsid w:val="00840F1B"/>
    <w:rsid w:val="008424E8"/>
    <w:rsid w:val="00842866"/>
    <w:rsid w:val="00845238"/>
    <w:rsid w:val="00846875"/>
    <w:rsid w:val="00847AD7"/>
    <w:rsid w:val="00853C21"/>
    <w:rsid w:val="00854AD0"/>
    <w:rsid w:val="00855368"/>
    <w:rsid w:val="00855A9A"/>
    <w:rsid w:val="00856A0E"/>
    <w:rsid w:val="00857388"/>
    <w:rsid w:val="00860174"/>
    <w:rsid w:val="0086185E"/>
    <w:rsid w:val="008630F5"/>
    <w:rsid w:val="008631CE"/>
    <w:rsid w:val="00863209"/>
    <w:rsid w:val="00863DEC"/>
    <w:rsid w:val="0086409B"/>
    <w:rsid w:val="0086443E"/>
    <w:rsid w:val="0086541B"/>
    <w:rsid w:val="00870271"/>
    <w:rsid w:val="00871B4E"/>
    <w:rsid w:val="00872809"/>
    <w:rsid w:val="00872FD2"/>
    <w:rsid w:val="00873D35"/>
    <w:rsid w:val="0087436F"/>
    <w:rsid w:val="00874675"/>
    <w:rsid w:val="0087651F"/>
    <w:rsid w:val="00876869"/>
    <w:rsid w:val="00876B01"/>
    <w:rsid w:val="008817CC"/>
    <w:rsid w:val="00882E5D"/>
    <w:rsid w:val="00883BB1"/>
    <w:rsid w:val="008841C9"/>
    <w:rsid w:val="008845D6"/>
    <w:rsid w:val="008872F5"/>
    <w:rsid w:val="00887516"/>
    <w:rsid w:val="0088764F"/>
    <w:rsid w:val="00887A0C"/>
    <w:rsid w:val="008918F4"/>
    <w:rsid w:val="00891CB1"/>
    <w:rsid w:val="00894AFA"/>
    <w:rsid w:val="00894F9A"/>
    <w:rsid w:val="00895D5E"/>
    <w:rsid w:val="00896925"/>
    <w:rsid w:val="00896BD0"/>
    <w:rsid w:val="008A1D1E"/>
    <w:rsid w:val="008A23EF"/>
    <w:rsid w:val="008A3416"/>
    <w:rsid w:val="008A3A8C"/>
    <w:rsid w:val="008A3FD3"/>
    <w:rsid w:val="008A4970"/>
    <w:rsid w:val="008A4CAC"/>
    <w:rsid w:val="008A4FF3"/>
    <w:rsid w:val="008B0472"/>
    <w:rsid w:val="008B121C"/>
    <w:rsid w:val="008B26FD"/>
    <w:rsid w:val="008B2D10"/>
    <w:rsid w:val="008B2E86"/>
    <w:rsid w:val="008B6334"/>
    <w:rsid w:val="008B6CA1"/>
    <w:rsid w:val="008B7285"/>
    <w:rsid w:val="008B7A37"/>
    <w:rsid w:val="008C06C2"/>
    <w:rsid w:val="008C0CF0"/>
    <w:rsid w:val="008C0EAA"/>
    <w:rsid w:val="008C2CBB"/>
    <w:rsid w:val="008C3676"/>
    <w:rsid w:val="008C41C4"/>
    <w:rsid w:val="008C469B"/>
    <w:rsid w:val="008C5A91"/>
    <w:rsid w:val="008C638F"/>
    <w:rsid w:val="008C6F86"/>
    <w:rsid w:val="008C7B07"/>
    <w:rsid w:val="008D1146"/>
    <w:rsid w:val="008D1403"/>
    <w:rsid w:val="008D1BBA"/>
    <w:rsid w:val="008D1CBD"/>
    <w:rsid w:val="008D2A44"/>
    <w:rsid w:val="008D2E5B"/>
    <w:rsid w:val="008D3AA6"/>
    <w:rsid w:val="008D3D9D"/>
    <w:rsid w:val="008D5CCB"/>
    <w:rsid w:val="008D772A"/>
    <w:rsid w:val="008E1E5B"/>
    <w:rsid w:val="008E2BE9"/>
    <w:rsid w:val="008E3123"/>
    <w:rsid w:val="008E784F"/>
    <w:rsid w:val="008E7B8E"/>
    <w:rsid w:val="008E7ED3"/>
    <w:rsid w:val="008F0F12"/>
    <w:rsid w:val="008F31BA"/>
    <w:rsid w:val="008F3793"/>
    <w:rsid w:val="008F6942"/>
    <w:rsid w:val="00904097"/>
    <w:rsid w:val="009045C9"/>
    <w:rsid w:val="009053F7"/>
    <w:rsid w:val="00905422"/>
    <w:rsid w:val="00905A5C"/>
    <w:rsid w:val="00906283"/>
    <w:rsid w:val="00906505"/>
    <w:rsid w:val="0091035D"/>
    <w:rsid w:val="009108CC"/>
    <w:rsid w:val="00911AE1"/>
    <w:rsid w:val="00916949"/>
    <w:rsid w:val="00923BF5"/>
    <w:rsid w:val="0092418C"/>
    <w:rsid w:val="00925EA9"/>
    <w:rsid w:val="00926C2B"/>
    <w:rsid w:val="009273C8"/>
    <w:rsid w:val="00930258"/>
    <w:rsid w:val="00930A39"/>
    <w:rsid w:val="009350F0"/>
    <w:rsid w:val="0094113A"/>
    <w:rsid w:val="009419A4"/>
    <w:rsid w:val="00942658"/>
    <w:rsid w:val="009427F1"/>
    <w:rsid w:val="0094400C"/>
    <w:rsid w:val="009443AA"/>
    <w:rsid w:val="00944C63"/>
    <w:rsid w:val="00950E5E"/>
    <w:rsid w:val="00951207"/>
    <w:rsid w:val="00952D6E"/>
    <w:rsid w:val="009534DE"/>
    <w:rsid w:val="00953C25"/>
    <w:rsid w:val="009544EB"/>
    <w:rsid w:val="00954DA2"/>
    <w:rsid w:val="009569ED"/>
    <w:rsid w:val="009574E3"/>
    <w:rsid w:val="00957BA0"/>
    <w:rsid w:val="00960D1D"/>
    <w:rsid w:val="00961697"/>
    <w:rsid w:val="009648C5"/>
    <w:rsid w:val="00966540"/>
    <w:rsid w:val="00971EDF"/>
    <w:rsid w:val="0097280D"/>
    <w:rsid w:val="00972D96"/>
    <w:rsid w:val="0097413B"/>
    <w:rsid w:val="009749C6"/>
    <w:rsid w:val="00976FDD"/>
    <w:rsid w:val="00977BEA"/>
    <w:rsid w:val="00980D10"/>
    <w:rsid w:val="00981061"/>
    <w:rsid w:val="0098171B"/>
    <w:rsid w:val="00982C63"/>
    <w:rsid w:val="0098596A"/>
    <w:rsid w:val="0098739F"/>
    <w:rsid w:val="009902E0"/>
    <w:rsid w:val="00991230"/>
    <w:rsid w:val="00991538"/>
    <w:rsid w:val="009917EA"/>
    <w:rsid w:val="00993041"/>
    <w:rsid w:val="0099372E"/>
    <w:rsid w:val="00994438"/>
    <w:rsid w:val="0099461B"/>
    <w:rsid w:val="00994C96"/>
    <w:rsid w:val="00995104"/>
    <w:rsid w:val="0099689F"/>
    <w:rsid w:val="009A0464"/>
    <w:rsid w:val="009A0909"/>
    <w:rsid w:val="009A0DE3"/>
    <w:rsid w:val="009A2C42"/>
    <w:rsid w:val="009A302B"/>
    <w:rsid w:val="009A44A5"/>
    <w:rsid w:val="009A5B1A"/>
    <w:rsid w:val="009A7585"/>
    <w:rsid w:val="009A758F"/>
    <w:rsid w:val="009B058D"/>
    <w:rsid w:val="009B139F"/>
    <w:rsid w:val="009B1A70"/>
    <w:rsid w:val="009B2B48"/>
    <w:rsid w:val="009B2D95"/>
    <w:rsid w:val="009B4048"/>
    <w:rsid w:val="009B57C3"/>
    <w:rsid w:val="009B588C"/>
    <w:rsid w:val="009B5EF0"/>
    <w:rsid w:val="009B60B8"/>
    <w:rsid w:val="009B7940"/>
    <w:rsid w:val="009C2AFC"/>
    <w:rsid w:val="009C3447"/>
    <w:rsid w:val="009C403B"/>
    <w:rsid w:val="009C51F2"/>
    <w:rsid w:val="009C5691"/>
    <w:rsid w:val="009C5B69"/>
    <w:rsid w:val="009C67F5"/>
    <w:rsid w:val="009D3564"/>
    <w:rsid w:val="009D5174"/>
    <w:rsid w:val="009D57E3"/>
    <w:rsid w:val="009E006D"/>
    <w:rsid w:val="009E042B"/>
    <w:rsid w:val="009E0A65"/>
    <w:rsid w:val="009E0E00"/>
    <w:rsid w:val="009E24F0"/>
    <w:rsid w:val="009E265C"/>
    <w:rsid w:val="009E3BD6"/>
    <w:rsid w:val="009E3D88"/>
    <w:rsid w:val="009E5122"/>
    <w:rsid w:val="009F1507"/>
    <w:rsid w:val="009F40A1"/>
    <w:rsid w:val="009F420E"/>
    <w:rsid w:val="00A01182"/>
    <w:rsid w:val="00A02087"/>
    <w:rsid w:val="00A04195"/>
    <w:rsid w:val="00A0456E"/>
    <w:rsid w:val="00A05548"/>
    <w:rsid w:val="00A063EE"/>
    <w:rsid w:val="00A11DDF"/>
    <w:rsid w:val="00A161A4"/>
    <w:rsid w:val="00A16962"/>
    <w:rsid w:val="00A17957"/>
    <w:rsid w:val="00A20A30"/>
    <w:rsid w:val="00A22C63"/>
    <w:rsid w:val="00A23EE9"/>
    <w:rsid w:val="00A242F0"/>
    <w:rsid w:val="00A268FE"/>
    <w:rsid w:val="00A275D2"/>
    <w:rsid w:val="00A32258"/>
    <w:rsid w:val="00A33333"/>
    <w:rsid w:val="00A33567"/>
    <w:rsid w:val="00A34500"/>
    <w:rsid w:val="00A36C76"/>
    <w:rsid w:val="00A37554"/>
    <w:rsid w:val="00A40396"/>
    <w:rsid w:val="00A428E5"/>
    <w:rsid w:val="00A433FF"/>
    <w:rsid w:val="00A43B3E"/>
    <w:rsid w:val="00A4659B"/>
    <w:rsid w:val="00A47263"/>
    <w:rsid w:val="00A50A1F"/>
    <w:rsid w:val="00A52411"/>
    <w:rsid w:val="00A555F7"/>
    <w:rsid w:val="00A55F8F"/>
    <w:rsid w:val="00A57077"/>
    <w:rsid w:val="00A57241"/>
    <w:rsid w:val="00A57617"/>
    <w:rsid w:val="00A6059A"/>
    <w:rsid w:val="00A60D48"/>
    <w:rsid w:val="00A61755"/>
    <w:rsid w:val="00A622A2"/>
    <w:rsid w:val="00A63114"/>
    <w:rsid w:val="00A63338"/>
    <w:rsid w:val="00A64AAC"/>
    <w:rsid w:val="00A64CF0"/>
    <w:rsid w:val="00A659E1"/>
    <w:rsid w:val="00A66F12"/>
    <w:rsid w:val="00A67918"/>
    <w:rsid w:val="00A70055"/>
    <w:rsid w:val="00A70401"/>
    <w:rsid w:val="00A70FC3"/>
    <w:rsid w:val="00A7281A"/>
    <w:rsid w:val="00A73B67"/>
    <w:rsid w:val="00A74D5C"/>
    <w:rsid w:val="00A75C5F"/>
    <w:rsid w:val="00A76BB7"/>
    <w:rsid w:val="00A8060B"/>
    <w:rsid w:val="00A80E0A"/>
    <w:rsid w:val="00A80E26"/>
    <w:rsid w:val="00A82D46"/>
    <w:rsid w:val="00A830B5"/>
    <w:rsid w:val="00A85445"/>
    <w:rsid w:val="00A900CC"/>
    <w:rsid w:val="00A9095F"/>
    <w:rsid w:val="00A90D78"/>
    <w:rsid w:val="00A9425C"/>
    <w:rsid w:val="00A944FA"/>
    <w:rsid w:val="00A947AC"/>
    <w:rsid w:val="00A97CA0"/>
    <w:rsid w:val="00A97EDE"/>
    <w:rsid w:val="00AA0521"/>
    <w:rsid w:val="00AA21DE"/>
    <w:rsid w:val="00AA3442"/>
    <w:rsid w:val="00AA34E3"/>
    <w:rsid w:val="00AA40CD"/>
    <w:rsid w:val="00AA4905"/>
    <w:rsid w:val="00AA6542"/>
    <w:rsid w:val="00AB1D46"/>
    <w:rsid w:val="00AB2538"/>
    <w:rsid w:val="00AB32A9"/>
    <w:rsid w:val="00AB3C32"/>
    <w:rsid w:val="00AB3DD5"/>
    <w:rsid w:val="00AB4C8D"/>
    <w:rsid w:val="00AB7D43"/>
    <w:rsid w:val="00AC02AA"/>
    <w:rsid w:val="00AC1A43"/>
    <w:rsid w:val="00AC1D94"/>
    <w:rsid w:val="00AC2081"/>
    <w:rsid w:val="00AC4A49"/>
    <w:rsid w:val="00AC5C42"/>
    <w:rsid w:val="00AC6D57"/>
    <w:rsid w:val="00AD3290"/>
    <w:rsid w:val="00AE05E4"/>
    <w:rsid w:val="00AE0FC7"/>
    <w:rsid w:val="00AE1162"/>
    <w:rsid w:val="00AE16C3"/>
    <w:rsid w:val="00AE2E4D"/>
    <w:rsid w:val="00AE369B"/>
    <w:rsid w:val="00AE3DF8"/>
    <w:rsid w:val="00AE4BC5"/>
    <w:rsid w:val="00AE6C40"/>
    <w:rsid w:val="00AE710A"/>
    <w:rsid w:val="00AE724D"/>
    <w:rsid w:val="00AF0076"/>
    <w:rsid w:val="00AF1CE5"/>
    <w:rsid w:val="00AF27DD"/>
    <w:rsid w:val="00AF3446"/>
    <w:rsid w:val="00AF585D"/>
    <w:rsid w:val="00AF7A91"/>
    <w:rsid w:val="00B0035E"/>
    <w:rsid w:val="00B00C60"/>
    <w:rsid w:val="00B01AB7"/>
    <w:rsid w:val="00B020E4"/>
    <w:rsid w:val="00B02432"/>
    <w:rsid w:val="00B04C34"/>
    <w:rsid w:val="00B055B1"/>
    <w:rsid w:val="00B065A2"/>
    <w:rsid w:val="00B0660D"/>
    <w:rsid w:val="00B06697"/>
    <w:rsid w:val="00B10920"/>
    <w:rsid w:val="00B10A72"/>
    <w:rsid w:val="00B134B9"/>
    <w:rsid w:val="00B13EA2"/>
    <w:rsid w:val="00B14890"/>
    <w:rsid w:val="00B14E48"/>
    <w:rsid w:val="00B1516F"/>
    <w:rsid w:val="00B160F8"/>
    <w:rsid w:val="00B176C3"/>
    <w:rsid w:val="00B20167"/>
    <w:rsid w:val="00B202AD"/>
    <w:rsid w:val="00B20E03"/>
    <w:rsid w:val="00B22103"/>
    <w:rsid w:val="00B22F4F"/>
    <w:rsid w:val="00B2534C"/>
    <w:rsid w:val="00B253A1"/>
    <w:rsid w:val="00B2599F"/>
    <w:rsid w:val="00B262AB"/>
    <w:rsid w:val="00B26C06"/>
    <w:rsid w:val="00B30DD4"/>
    <w:rsid w:val="00B33CB7"/>
    <w:rsid w:val="00B33D34"/>
    <w:rsid w:val="00B352FA"/>
    <w:rsid w:val="00B36B5C"/>
    <w:rsid w:val="00B36D31"/>
    <w:rsid w:val="00B41E21"/>
    <w:rsid w:val="00B43146"/>
    <w:rsid w:val="00B44208"/>
    <w:rsid w:val="00B44442"/>
    <w:rsid w:val="00B44EDB"/>
    <w:rsid w:val="00B46969"/>
    <w:rsid w:val="00B47A1D"/>
    <w:rsid w:val="00B515B7"/>
    <w:rsid w:val="00B53183"/>
    <w:rsid w:val="00B5356B"/>
    <w:rsid w:val="00B539F7"/>
    <w:rsid w:val="00B53B6A"/>
    <w:rsid w:val="00B544D6"/>
    <w:rsid w:val="00B56812"/>
    <w:rsid w:val="00B57491"/>
    <w:rsid w:val="00B617CD"/>
    <w:rsid w:val="00B662EA"/>
    <w:rsid w:val="00B666AD"/>
    <w:rsid w:val="00B667DA"/>
    <w:rsid w:val="00B66A05"/>
    <w:rsid w:val="00B66C5A"/>
    <w:rsid w:val="00B672A8"/>
    <w:rsid w:val="00B7210C"/>
    <w:rsid w:val="00B726CB"/>
    <w:rsid w:val="00B7473F"/>
    <w:rsid w:val="00B76AF5"/>
    <w:rsid w:val="00B76E4D"/>
    <w:rsid w:val="00B775D9"/>
    <w:rsid w:val="00B77EDB"/>
    <w:rsid w:val="00B800FB"/>
    <w:rsid w:val="00B80124"/>
    <w:rsid w:val="00B805E0"/>
    <w:rsid w:val="00B82026"/>
    <w:rsid w:val="00B8513F"/>
    <w:rsid w:val="00B9021B"/>
    <w:rsid w:val="00B91705"/>
    <w:rsid w:val="00B91C47"/>
    <w:rsid w:val="00B92DE1"/>
    <w:rsid w:val="00B93599"/>
    <w:rsid w:val="00B943CD"/>
    <w:rsid w:val="00B955FF"/>
    <w:rsid w:val="00B962CB"/>
    <w:rsid w:val="00B9789C"/>
    <w:rsid w:val="00B97A47"/>
    <w:rsid w:val="00BA04C9"/>
    <w:rsid w:val="00BA097E"/>
    <w:rsid w:val="00BA2902"/>
    <w:rsid w:val="00BA3BD8"/>
    <w:rsid w:val="00BA3CE4"/>
    <w:rsid w:val="00BB0829"/>
    <w:rsid w:val="00BB0A6C"/>
    <w:rsid w:val="00BB0B97"/>
    <w:rsid w:val="00BB1C84"/>
    <w:rsid w:val="00BB30E7"/>
    <w:rsid w:val="00BB352B"/>
    <w:rsid w:val="00BB393D"/>
    <w:rsid w:val="00BB4A7A"/>
    <w:rsid w:val="00BB6CB3"/>
    <w:rsid w:val="00BC0047"/>
    <w:rsid w:val="00BC0348"/>
    <w:rsid w:val="00BC0E09"/>
    <w:rsid w:val="00BC1978"/>
    <w:rsid w:val="00BC266F"/>
    <w:rsid w:val="00BC3585"/>
    <w:rsid w:val="00BC43FE"/>
    <w:rsid w:val="00BD29F2"/>
    <w:rsid w:val="00BD2C34"/>
    <w:rsid w:val="00BD6BA2"/>
    <w:rsid w:val="00BD7D55"/>
    <w:rsid w:val="00BE06B8"/>
    <w:rsid w:val="00BE0C60"/>
    <w:rsid w:val="00BE2616"/>
    <w:rsid w:val="00BE3A2C"/>
    <w:rsid w:val="00BE3C9C"/>
    <w:rsid w:val="00BE48D2"/>
    <w:rsid w:val="00BE77B1"/>
    <w:rsid w:val="00BE7998"/>
    <w:rsid w:val="00BF3A1D"/>
    <w:rsid w:val="00BF3A20"/>
    <w:rsid w:val="00BF67EE"/>
    <w:rsid w:val="00BF6F8B"/>
    <w:rsid w:val="00BF7F3F"/>
    <w:rsid w:val="00C01B6B"/>
    <w:rsid w:val="00C045D7"/>
    <w:rsid w:val="00C048F6"/>
    <w:rsid w:val="00C04DCF"/>
    <w:rsid w:val="00C0558D"/>
    <w:rsid w:val="00C05AB3"/>
    <w:rsid w:val="00C06177"/>
    <w:rsid w:val="00C075EA"/>
    <w:rsid w:val="00C13046"/>
    <w:rsid w:val="00C14605"/>
    <w:rsid w:val="00C153B0"/>
    <w:rsid w:val="00C158DA"/>
    <w:rsid w:val="00C208C3"/>
    <w:rsid w:val="00C234A9"/>
    <w:rsid w:val="00C23990"/>
    <w:rsid w:val="00C2589D"/>
    <w:rsid w:val="00C25A46"/>
    <w:rsid w:val="00C25EC1"/>
    <w:rsid w:val="00C276AF"/>
    <w:rsid w:val="00C30276"/>
    <w:rsid w:val="00C30625"/>
    <w:rsid w:val="00C3221F"/>
    <w:rsid w:val="00C32525"/>
    <w:rsid w:val="00C32AC1"/>
    <w:rsid w:val="00C32E41"/>
    <w:rsid w:val="00C33F51"/>
    <w:rsid w:val="00C34C43"/>
    <w:rsid w:val="00C34CE7"/>
    <w:rsid w:val="00C357DE"/>
    <w:rsid w:val="00C404B4"/>
    <w:rsid w:val="00C41774"/>
    <w:rsid w:val="00C41BEB"/>
    <w:rsid w:val="00C41FB6"/>
    <w:rsid w:val="00C449F1"/>
    <w:rsid w:val="00C44E92"/>
    <w:rsid w:val="00C47550"/>
    <w:rsid w:val="00C50A26"/>
    <w:rsid w:val="00C54295"/>
    <w:rsid w:val="00C544F7"/>
    <w:rsid w:val="00C60217"/>
    <w:rsid w:val="00C6163D"/>
    <w:rsid w:val="00C61AC6"/>
    <w:rsid w:val="00C62D3A"/>
    <w:rsid w:val="00C65763"/>
    <w:rsid w:val="00C702C7"/>
    <w:rsid w:val="00C716C4"/>
    <w:rsid w:val="00C73EF7"/>
    <w:rsid w:val="00C7429C"/>
    <w:rsid w:val="00C74A63"/>
    <w:rsid w:val="00C762EB"/>
    <w:rsid w:val="00C80598"/>
    <w:rsid w:val="00C81CB1"/>
    <w:rsid w:val="00C82674"/>
    <w:rsid w:val="00C8300C"/>
    <w:rsid w:val="00C84045"/>
    <w:rsid w:val="00C844EE"/>
    <w:rsid w:val="00C8703B"/>
    <w:rsid w:val="00C87F99"/>
    <w:rsid w:val="00C9266D"/>
    <w:rsid w:val="00C928F2"/>
    <w:rsid w:val="00C9432A"/>
    <w:rsid w:val="00CA1D00"/>
    <w:rsid w:val="00CA21E5"/>
    <w:rsid w:val="00CA2345"/>
    <w:rsid w:val="00CA32FE"/>
    <w:rsid w:val="00CA40EE"/>
    <w:rsid w:val="00CA4E63"/>
    <w:rsid w:val="00CA5B05"/>
    <w:rsid w:val="00CA69A2"/>
    <w:rsid w:val="00CB0366"/>
    <w:rsid w:val="00CB0632"/>
    <w:rsid w:val="00CB5F8A"/>
    <w:rsid w:val="00CB6B4C"/>
    <w:rsid w:val="00CB7B1A"/>
    <w:rsid w:val="00CC08D4"/>
    <w:rsid w:val="00CC1C20"/>
    <w:rsid w:val="00CC2122"/>
    <w:rsid w:val="00CC2A1A"/>
    <w:rsid w:val="00CC2AAA"/>
    <w:rsid w:val="00CC34A3"/>
    <w:rsid w:val="00CC3BFA"/>
    <w:rsid w:val="00CC5E8F"/>
    <w:rsid w:val="00CC67BC"/>
    <w:rsid w:val="00CC73BC"/>
    <w:rsid w:val="00CC75C4"/>
    <w:rsid w:val="00CC7831"/>
    <w:rsid w:val="00CD3AE2"/>
    <w:rsid w:val="00CE0487"/>
    <w:rsid w:val="00CE1517"/>
    <w:rsid w:val="00CE1D9F"/>
    <w:rsid w:val="00CE3028"/>
    <w:rsid w:val="00CE3FD7"/>
    <w:rsid w:val="00CE7312"/>
    <w:rsid w:val="00CF0727"/>
    <w:rsid w:val="00CF259A"/>
    <w:rsid w:val="00CF2BF2"/>
    <w:rsid w:val="00CF3CA4"/>
    <w:rsid w:val="00CF546E"/>
    <w:rsid w:val="00CF560A"/>
    <w:rsid w:val="00CF73AA"/>
    <w:rsid w:val="00CF7F7F"/>
    <w:rsid w:val="00D00238"/>
    <w:rsid w:val="00D0023B"/>
    <w:rsid w:val="00D01239"/>
    <w:rsid w:val="00D02FDA"/>
    <w:rsid w:val="00D11120"/>
    <w:rsid w:val="00D13397"/>
    <w:rsid w:val="00D16095"/>
    <w:rsid w:val="00D21B5F"/>
    <w:rsid w:val="00D23114"/>
    <w:rsid w:val="00D236E8"/>
    <w:rsid w:val="00D23F08"/>
    <w:rsid w:val="00D250E5"/>
    <w:rsid w:val="00D251C6"/>
    <w:rsid w:val="00D25E33"/>
    <w:rsid w:val="00D27B73"/>
    <w:rsid w:val="00D307ED"/>
    <w:rsid w:val="00D326FE"/>
    <w:rsid w:val="00D329DF"/>
    <w:rsid w:val="00D33A2B"/>
    <w:rsid w:val="00D35465"/>
    <w:rsid w:val="00D35D23"/>
    <w:rsid w:val="00D36E73"/>
    <w:rsid w:val="00D410C4"/>
    <w:rsid w:val="00D4280C"/>
    <w:rsid w:val="00D42B09"/>
    <w:rsid w:val="00D42DC8"/>
    <w:rsid w:val="00D43BD9"/>
    <w:rsid w:val="00D45746"/>
    <w:rsid w:val="00D50A5B"/>
    <w:rsid w:val="00D50C6A"/>
    <w:rsid w:val="00D5297D"/>
    <w:rsid w:val="00D52A6A"/>
    <w:rsid w:val="00D55683"/>
    <w:rsid w:val="00D61599"/>
    <w:rsid w:val="00D61886"/>
    <w:rsid w:val="00D61DFC"/>
    <w:rsid w:val="00D62704"/>
    <w:rsid w:val="00D62DBA"/>
    <w:rsid w:val="00D63E89"/>
    <w:rsid w:val="00D6603F"/>
    <w:rsid w:val="00D6677C"/>
    <w:rsid w:val="00D66B91"/>
    <w:rsid w:val="00D73889"/>
    <w:rsid w:val="00D75260"/>
    <w:rsid w:val="00D75925"/>
    <w:rsid w:val="00D768FD"/>
    <w:rsid w:val="00D76972"/>
    <w:rsid w:val="00D7725A"/>
    <w:rsid w:val="00D7732D"/>
    <w:rsid w:val="00D802C3"/>
    <w:rsid w:val="00D80A5C"/>
    <w:rsid w:val="00D80E1A"/>
    <w:rsid w:val="00D815D0"/>
    <w:rsid w:val="00D82425"/>
    <w:rsid w:val="00D82E12"/>
    <w:rsid w:val="00D842C8"/>
    <w:rsid w:val="00D84F13"/>
    <w:rsid w:val="00D86BB8"/>
    <w:rsid w:val="00D916CE"/>
    <w:rsid w:val="00D92FCD"/>
    <w:rsid w:val="00DA132B"/>
    <w:rsid w:val="00DA1962"/>
    <w:rsid w:val="00DA29BD"/>
    <w:rsid w:val="00DA5A7B"/>
    <w:rsid w:val="00DA5DCD"/>
    <w:rsid w:val="00DA7085"/>
    <w:rsid w:val="00DA7D20"/>
    <w:rsid w:val="00DB0CB1"/>
    <w:rsid w:val="00DB39FE"/>
    <w:rsid w:val="00DB4410"/>
    <w:rsid w:val="00DB5601"/>
    <w:rsid w:val="00DB5D79"/>
    <w:rsid w:val="00DC17C0"/>
    <w:rsid w:val="00DC2522"/>
    <w:rsid w:val="00DC3F57"/>
    <w:rsid w:val="00DC4A60"/>
    <w:rsid w:val="00DC4D91"/>
    <w:rsid w:val="00DC59F1"/>
    <w:rsid w:val="00DC65D0"/>
    <w:rsid w:val="00DC7AC4"/>
    <w:rsid w:val="00DD14B3"/>
    <w:rsid w:val="00DD5A1B"/>
    <w:rsid w:val="00DD6590"/>
    <w:rsid w:val="00DD715C"/>
    <w:rsid w:val="00DE111C"/>
    <w:rsid w:val="00DE18BC"/>
    <w:rsid w:val="00DE3A92"/>
    <w:rsid w:val="00DE5E02"/>
    <w:rsid w:val="00DE7898"/>
    <w:rsid w:val="00DF1DFC"/>
    <w:rsid w:val="00DF396F"/>
    <w:rsid w:val="00DF3B35"/>
    <w:rsid w:val="00DF41FD"/>
    <w:rsid w:val="00DF4B62"/>
    <w:rsid w:val="00DF70E8"/>
    <w:rsid w:val="00E00726"/>
    <w:rsid w:val="00E0265A"/>
    <w:rsid w:val="00E0285E"/>
    <w:rsid w:val="00E03F8C"/>
    <w:rsid w:val="00E0517E"/>
    <w:rsid w:val="00E066EC"/>
    <w:rsid w:val="00E078DE"/>
    <w:rsid w:val="00E10A53"/>
    <w:rsid w:val="00E12A43"/>
    <w:rsid w:val="00E14380"/>
    <w:rsid w:val="00E14799"/>
    <w:rsid w:val="00E15DEF"/>
    <w:rsid w:val="00E15E9E"/>
    <w:rsid w:val="00E16394"/>
    <w:rsid w:val="00E165D1"/>
    <w:rsid w:val="00E17868"/>
    <w:rsid w:val="00E17BFF"/>
    <w:rsid w:val="00E23B3D"/>
    <w:rsid w:val="00E2493C"/>
    <w:rsid w:val="00E26113"/>
    <w:rsid w:val="00E266A4"/>
    <w:rsid w:val="00E271AE"/>
    <w:rsid w:val="00E35306"/>
    <w:rsid w:val="00E35619"/>
    <w:rsid w:val="00E356F7"/>
    <w:rsid w:val="00E35847"/>
    <w:rsid w:val="00E35D1B"/>
    <w:rsid w:val="00E36C7A"/>
    <w:rsid w:val="00E37C6C"/>
    <w:rsid w:val="00E406E2"/>
    <w:rsid w:val="00E41D21"/>
    <w:rsid w:val="00E4362E"/>
    <w:rsid w:val="00E43AB6"/>
    <w:rsid w:val="00E43B9E"/>
    <w:rsid w:val="00E457C4"/>
    <w:rsid w:val="00E461D9"/>
    <w:rsid w:val="00E51605"/>
    <w:rsid w:val="00E51B83"/>
    <w:rsid w:val="00E52964"/>
    <w:rsid w:val="00E54BEF"/>
    <w:rsid w:val="00E55A41"/>
    <w:rsid w:val="00E56993"/>
    <w:rsid w:val="00E56F4A"/>
    <w:rsid w:val="00E606D2"/>
    <w:rsid w:val="00E6082C"/>
    <w:rsid w:val="00E60DD4"/>
    <w:rsid w:val="00E6123E"/>
    <w:rsid w:val="00E61D81"/>
    <w:rsid w:val="00E625F2"/>
    <w:rsid w:val="00E62625"/>
    <w:rsid w:val="00E64078"/>
    <w:rsid w:val="00E665E4"/>
    <w:rsid w:val="00E67729"/>
    <w:rsid w:val="00E70359"/>
    <w:rsid w:val="00E70874"/>
    <w:rsid w:val="00E70D8F"/>
    <w:rsid w:val="00E7300D"/>
    <w:rsid w:val="00E73CCD"/>
    <w:rsid w:val="00E73D0A"/>
    <w:rsid w:val="00E757D0"/>
    <w:rsid w:val="00E758D3"/>
    <w:rsid w:val="00E77210"/>
    <w:rsid w:val="00E77DC1"/>
    <w:rsid w:val="00E822FE"/>
    <w:rsid w:val="00E82807"/>
    <w:rsid w:val="00E83736"/>
    <w:rsid w:val="00E84F40"/>
    <w:rsid w:val="00E8725A"/>
    <w:rsid w:val="00E87432"/>
    <w:rsid w:val="00E87451"/>
    <w:rsid w:val="00E9014D"/>
    <w:rsid w:val="00E91549"/>
    <w:rsid w:val="00E9198A"/>
    <w:rsid w:val="00E93DF1"/>
    <w:rsid w:val="00E943B8"/>
    <w:rsid w:val="00E94C20"/>
    <w:rsid w:val="00E96336"/>
    <w:rsid w:val="00EA1305"/>
    <w:rsid w:val="00EA3916"/>
    <w:rsid w:val="00EA56E6"/>
    <w:rsid w:val="00EB0AA3"/>
    <w:rsid w:val="00EB172B"/>
    <w:rsid w:val="00EB209E"/>
    <w:rsid w:val="00EB467A"/>
    <w:rsid w:val="00EB5CD1"/>
    <w:rsid w:val="00EB6255"/>
    <w:rsid w:val="00EC0331"/>
    <w:rsid w:val="00EC1D8B"/>
    <w:rsid w:val="00EC1F27"/>
    <w:rsid w:val="00EC6CC9"/>
    <w:rsid w:val="00EC6F5A"/>
    <w:rsid w:val="00EC7D17"/>
    <w:rsid w:val="00ED508D"/>
    <w:rsid w:val="00ED50D9"/>
    <w:rsid w:val="00ED5A75"/>
    <w:rsid w:val="00ED7C26"/>
    <w:rsid w:val="00EE0535"/>
    <w:rsid w:val="00EE05FF"/>
    <w:rsid w:val="00EE08F4"/>
    <w:rsid w:val="00EE16D4"/>
    <w:rsid w:val="00EE1CD8"/>
    <w:rsid w:val="00EE2C87"/>
    <w:rsid w:val="00EE5CDC"/>
    <w:rsid w:val="00EE61A2"/>
    <w:rsid w:val="00EE6DE6"/>
    <w:rsid w:val="00EF0925"/>
    <w:rsid w:val="00EF2CF0"/>
    <w:rsid w:val="00EF4086"/>
    <w:rsid w:val="00EF71AC"/>
    <w:rsid w:val="00F01B72"/>
    <w:rsid w:val="00F024A8"/>
    <w:rsid w:val="00F045B9"/>
    <w:rsid w:val="00F048D1"/>
    <w:rsid w:val="00F106CC"/>
    <w:rsid w:val="00F10CCB"/>
    <w:rsid w:val="00F12904"/>
    <w:rsid w:val="00F12D25"/>
    <w:rsid w:val="00F1516F"/>
    <w:rsid w:val="00F1518C"/>
    <w:rsid w:val="00F153A6"/>
    <w:rsid w:val="00F15F5C"/>
    <w:rsid w:val="00F20845"/>
    <w:rsid w:val="00F22015"/>
    <w:rsid w:val="00F23266"/>
    <w:rsid w:val="00F24A14"/>
    <w:rsid w:val="00F25383"/>
    <w:rsid w:val="00F3081C"/>
    <w:rsid w:val="00F3150F"/>
    <w:rsid w:val="00F3249F"/>
    <w:rsid w:val="00F32F9F"/>
    <w:rsid w:val="00F37276"/>
    <w:rsid w:val="00F37880"/>
    <w:rsid w:val="00F41009"/>
    <w:rsid w:val="00F4301C"/>
    <w:rsid w:val="00F431E3"/>
    <w:rsid w:val="00F43238"/>
    <w:rsid w:val="00F448EC"/>
    <w:rsid w:val="00F44E7C"/>
    <w:rsid w:val="00F46119"/>
    <w:rsid w:val="00F47AD4"/>
    <w:rsid w:val="00F50048"/>
    <w:rsid w:val="00F50545"/>
    <w:rsid w:val="00F506EF"/>
    <w:rsid w:val="00F5140D"/>
    <w:rsid w:val="00F51C6F"/>
    <w:rsid w:val="00F5299F"/>
    <w:rsid w:val="00F53B09"/>
    <w:rsid w:val="00F5528F"/>
    <w:rsid w:val="00F55BB9"/>
    <w:rsid w:val="00F565A3"/>
    <w:rsid w:val="00F56953"/>
    <w:rsid w:val="00F611A5"/>
    <w:rsid w:val="00F64334"/>
    <w:rsid w:val="00F646E9"/>
    <w:rsid w:val="00F648EB"/>
    <w:rsid w:val="00F7103E"/>
    <w:rsid w:val="00F71D35"/>
    <w:rsid w:val="00F7435C"/>
    <w:rsid w:val="00F7744A"/>
    <w:rsid w:val="00F84690"/>
    <w:rsid w:val="00F846E1"/>
    <w:rsid w:val="00F87517"/>
    <w:rsid w:val="00F9119D"/>
    <w:rsid w:val="00F958B9"/>
    <w:rsid w:val="00F973D7"/>
    <w:rsid w:val="00FA1392"/>
    <w:rsid w:val="00FA1B33"/>
    <w:rsid w:val="00FA2818"/>
    <w:rsid w:val="00FA40EA"/>
    <w:rsid w:val="00FA6EC4"/>
    <w:rsid w:val="00FA7C9A"/>
    <w:rsid w:val="00FB1C50"/>
    <w:rsid w:val="00FB25C1"/>
    <w:rsid w:val="00FB33F3"/>
    <w:rsid w:val="00FB579B"/>
    <w:rsid w:val="00FB6C38"/>
    <w:rsid w:val="00FC0514"/>
    <w:rsid w:val="00FC205C"/>
    <w:rsid w:val="00FC2104"/>
    <w:rsid w:val="00FC2B0D"/>
    <w:rsid w:val="00FC3A87"/>
    <w:rsid w:val="00FC3F37"/>
    <w:rsid w:val="00FC42B6"/>
    <w:rsid w:val="00FC5C06"/>
    <w:rsid w:val="00FC68E2"/>
    <w:rsid w:val="00FD2E1D"/>
    <w:rsid w:val="00FD3AC7"/>
    <w:rsid w:val="00FD505C"/>
    <w:rsid w:val="00FD5421"/>
    <w:rsid w:val="00FD5772"/>
    <w:rsid w:val="00FE3386"/>
    <w:rsid w:val="00FE366A"/>
    <w:rsid w:val="00FE4270"/>
    <w:rsid w:val="00FE4366"/>
    <w:rsid w:val="00FE5BE7"/>
    <w:rsid w:val="00FE7E6F"/>
    <w:rsid w:val="00FF0F52"/>
    <w:rsid w:val="00FF147F"/>
    <w:rsid w:val="00FF1A79"/>
    <w:rsid w:val="00FF1E39"/>
    <w:rsid w:val="00FF1E8D"/>
    <w:rsid w:val="00FF4083"/>
    <w:rsid w:val="00FF4664"/>
    <w:rsid w:val="00FF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37464574"/>
  <w15:docId w15:val="{2ECA58AB-C2CD-4087-B67E-ED6C18698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3EB"/>
    <w:pPr>
      <w:spacing w:before="120" w:after="120" w:line="288" w:lineRule="auto"/>
      <w:jc w:val="both"/>
    </w:pPr>
    <w:rPr>
      <w:sz w:val="18"/>
      <w:lang w:val="sk-SK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41009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color w:val="62B5E5" w:themeColor="accent3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B0035E"/>
    <w:pPr>
      <w:keepNext/>
      <w:keepLines/>
      <w:spacing w:before="240" w:after="0"/>
      <w:contextualSpacing/>
      <w:outlineLvl w:val="1"/>
    </w:pPr>
    <w:rPr>
      <w:rFonts w:asciiTheme="majorHAnsi" w:eastAsiaTheme="majorEastAsia" w:hAnsiTheme="majorHAnsi" w:cstheme="majorBidi"/>
      <w:b/>
      <w:bC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CC08D4"/>
    <w:pPr>
      <w:keepNext/>
      <w:keepLines/>
      <w:spacing w:before="240" w:after="240"/>
      <w:outlineLvl w:val="2"/>
    </w:pPr>
    <w:rPr>
      <w:rFonts w:asciiTheme="majorHAnsi" w:eastAsiaTheme="majorEastAsia" w:hAnsiTheme="majorHAnsi" w:cstheme="majorBidi"/>
      <w:b/>
      <w:bCs/>
      <w:color w:val="75787B" w:themeColor="accent6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255D53"/>
    <w:pPr>
      <w:keepNext/>
      <w:keepLines/>
      <w:tabs>
        <w:tab w:val="left" w:pos="340"/>
      </w:tabs>
      <w:outlineLvl w:val="3"/>
    </w:pPr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1009"/>
    <w:rPr>
      <w:rFonts w:asciiTheme="majorHAnsi" w:eastAsiaTheme="majorEastAsia" w:hAnsiTheme="majorHAnsi" w:cstheme="majorBidi"/>
      <w:b/>
      <w:bCs/>
      <w:color w:val="62B5E5" w:themeColor="accent3"/>
      <w:sz w:val="18"/>
      <w:szCs w:val="28"/>
      <w:lang w:val="sk-SK"/>
    </w:rPr>
  </w:style>
  <w:style w:type="character" w:customStyle="1" w:styleId="Heading2Char">
    <w:name w:val="Heading 2 Char"/>
    <w:basedOn w:val="DefaultParagraphFont"/>
    <w:link w:val="Heading2"/>
    <w:uiPriority w:val="9"/>
    <w:rsid w:val="00B0035E"/>
    <w:rPr>
      <w:rFonts w:asciiTheme="majorHAnsi" w:eastAsiaTheme="majorEastAsia" w:hAnsiTheme="majorHAnsi" w:cstheme="majorBidi"/>
      <w:b/>
      <w:bCs/>
      <w:color w:val="000000" w:themeColor="text1"/>
      <w:sz w:val="18"/>
      <w:szCs w:val="26"/>
      <w:lang w:val="sk-SK"/>
    </w:rPr>
  </w:style>
  <w:style w:type="table" w:styleId="TableGrid">
    <w:name w:val="Table Grid"/>
    <w:basedOn w:val="TableNormal"/>
    <w:rsid w:val="001E016B"/>
    <w:pPr>
      <w:spacing w:after="0" w:line="240" w:lineRule="auto"/>
    </w:pPr>
    <w:tblPr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link w:val="HeaderChar"/>
    <w:uiPriority w:val="99"/>
    <w:rsid w:val="008631CE"/>
    <w:pPr>
      <w:tabs>
        <w:tab w:val="center" w:pos="4513"/>
        <w:tab w:val="right" w:pos="9026"/>
      </w:tabs>
      <w:spacing w:after="0" w:line="240" w:lineRule="auto"/>
    </w:pPr>
    <w:rPr>
      <w:b/>
      <w:sz w:val="1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631CE"/>
    <w:rPr>
      <w:b/>
      <w:sz w:val="14"/>
      <w:lang w:val="en-US"/>
    </w:rPr>
  </w:style>
  <w:style w:type="paragraph" w:styleId="Footer">
    <w:name w:val="footer"/>
    <w:basedOn w:val="Normal"/>
    <w:link w:val="FooterChar"/>
    <w:uiPriority w:val="99"/>
    <w:rsid w:val="001975EF"/>
    <w:pPr>
      <w:tabs>
        <w:tab w:val="right" w:pos="7371"/>
      </w:tabs>
      <w:spacing w:line="200" w:lineRule="atLeast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7550AB"/>
    <w:rPr>
      <w:sz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C702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2C7"/>
    <w:rPr>
      <w:rFonts w:ascii="Tahoma" w:hAnsi="Tahoma" w:cs="Tahoma"/>
      <w:sz w:val="16"/>
      <w:szCs w:val="16"/>
    </w:rPr>
  </w:style>
  <w:style w:type="paragraph" w:customStyle="1" w:styleId="Subject">
    <w:name w:val="Subject"/>
    <w:basedOn w:val="Normal"/>
    <w:semiHidden/>
    <w:qFormat/>
    <w:rsid w:val="00A43B3E"/>
    <w:rPr>
      <w:b/>
    </w:rPr>
  </w:style>
  <w:style w:type="character" w:styleId="PlaceholderText">
    <w:name w:val="Placeholder Text"/>
    <w:basedOn w:val="DefaultParagraphFont"/>
    <w:uiPriority w:val="99"/>
    <w:semiHidden/>
    <w:rsid w:val="001975EF"/>
    <w:rPr>
      <w:color w:val="808080"/>
    </w:rPr>
  </w:style>
  <w:style w:type="paragraph" w:styleId="ListBullet">
    <w:name w:val="List Bullet"/>
    <w:basedOn w:val="Normal"/>
    <w:autoRedefine/>
    <w:uiPriority w:val="99"/>
    <w:qFormat/>
    <w:rsid w:val="004E7BDE"/>
    <w:pPr>
      <w:numPr>
        <w:numId w:val="1"/>
      </w:numPr>
      <w:tabs>
        <w:tab w:val="clear" w:pos="360"/>
      </w:tabs>
      <w:ind w:left="284" w:hanging="284"/>
      <w:contextualSpacing/>
    </w:pPr>
  </w:style>
  <w:style w:type="paragraph" w:styleId="ListBullet2">
    <w:name w:val="List Bullet 2"/>
    <w:basedOn w:val="Normal"/>
    <w:autoRedefine/>
    <w:uiPriority w:val="99"/>
    <w:qFormat/>
    <w:rsid w:val="004E7BDE"/>
    <w:pPr>
      <w:numPr>
        <w:numId w:val="2"/>
      </w:numPr>
      <w:ind w:left="568" w:hanging="284"/>
      <w:contextualSpacing/>
    </w:pPr>
  </w:style>
  <w:style w:type="paragraph" w:styleId="ListNumber">
    <w:name w:val="List Number"/>
    <w:basedOn w:val="Normal"/>
    <w:autoRedefine/>
    <w:uiPriority w:val="99"/>
    <w:qFormat/>
    <w:rsid w:val="004E7BDE"/>
    <w:pPr>
      <w:numPr>
        <w:numId w:val="3"/>
      </w:numPr>
      <w:tabs>
        <w:tab w:val="clear" w:pos="360"/>
      </w:tabs>
      <w:ind w:left="284" w:hanging="284"/>
      <w:contextualSpacing/>
    </w:pPr>
  </w:style>
  <w:style w:type="paragraph" w:styleId="ListNumber2">
    <w:name w:val="List Number 2"/>
    <w:basedOn w:val="Normal"/>
    <w:uiPriority w:val="99"/>
    <w:qFormat/>
    <w:rsid w:val="004E7BDE"/>
    <w:pPr>
      <w:numPr>
        <w:numId w:val="4"/>
      </w:numPr>
      <w:ind w:left="568" w:hanging="284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C08D4"/>
    <w:rPr>
      <w:rFonts w:asciiTheme="majorHAnsi" w:eastAsiaTheme="majorEastAsia" w:hAnsiTheme="majorHAnsi" w:cstheme="majorBidi"/>
      <w:b/>
      <w:bCs/>
      <w:color w:val="75787B" w:themeColor="accent6"/>
      <w:sz w:val="18"/>
      <w:lang w:val="sk-SK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50AB"/>
    <w:rPr>
      <w:rFonts w:asciiTheme="majorHAnsi" w:eastAsiaTheme="majorEastAsia" w:hAnsiTheme="majorHAnsi" w:cstheme="majorBidi"/>
      <w:b/>
      <w:bCs/>
      <w:iCs/>
      <w:color w:val="000000" w:themeColor="text1"/>
      <w:sz w:val="18"/>
      <w:lang w:val="en-US"/>
    </w:rPr>
  </w:style>
  <w:style w:type="paragraph" w:styleId="FootnoteText">
    <w:name w:val="footnote text"/>
    <w:aliases w:val="Text poznámky pod čiarou 007,_Poznámka pod čiarou,Text poznámky pod èiarou 007,Stinking Styles2,Tekst przypisu- dokt,Char Char Char,Char Char Char Char Char Char Char Char Char,Char Char Ch,Car"/>
    <w:basedOn w:val="Normal"/>
    <w:link w:val="FootnoteTextChar"/>
    <w:uiPriority w:val="99"/>
    <w:rsid w:val="00F3081C"/>
    <w:rPr>
      <w:sz w:val="16"/>
      <w:szCs w:val="20"/>
    </w:rPr>
  </w:style>
  <w:style w:type="character" w:customStyle="1" w:styleId="FootnoteTextChar">
    <w:name w:val="Footnote Text Char"/>
    <w:aliases w:val="Text poznámky pod čiarou 007 Char,_Poznámka pod čiarou Char,Text poznámky pod èiarou 007 Char,Stinking Styles2 Char,Tekst przypisu- dokt Char,Char Char Char Char,Char Char Char Char Char Char Char Char Char Char,Char Char Ch Char"/>
    <w:basedOn w:val="DefaultParagraphFont"/>
    <w:link w:val="FootnoteText"/>
    <w:uiPriority w:val="99"/>
    <w:rsid w:val="007550AB"/>
    <w:rPr>
      <w:sz w:val="16"/>
      <w:szCs w:val="20"/>
      <w:lang w:val="en-US"/>
    </w:rPr>
  </w:style>
  <w:style w:type="paragraph" w:customStyle="1" w:styleId="Documenttitle">
    <w:name w:val="Document title"/>
    <w:next w:val="Documentsubtitle"/>
    <w:qFormat/>
    <w:rsid w:val="00A7281A"/>
    <w:pPr>
      <w:spacing w:after="0" w:line="440" w:lineRule="atLeast"/>
    </w:pPr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customStyle="1" w:styleId="Subheading">
    <w:name w:val="Subheading"/>
    <w:basedOn w:val="Normal"/>
    <w:next w:val="Normal"/>
    <w:semiHidden/>
    <w:qFormat/>
    <w:rsid w:val="00D236E8"/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,Ref"/>
    <w:basedOn w:val="DefaultParagraphFont"/>
    <w:uiPriority w:val="99"/>
    <w:rsid w:val="00412EA0"/>
    <w:rPr>
      <w:vertAlign w:val="superscript"/>
    </w:rPr>
  </w:style>
  <w:style w:type="paragraph" w:customStyle="1" w:styleId="Sectionintro">
    <w:name w:val="Section intro"/>
    <w:basedOn w:val="Normal"/>
    <w:next w:val="Normal"/>
    <w:autoRedefine/>
    <w:qFormat/>
    <w:rsid w:val="004E7BDE"/>
    <w:rPr>
      <w:sz w:val="28"/>
    </w:rPr>
  </w:style>
  <w:style w:type="paragraph" w:customStyle="1" w:styleId="Documentdate">
    <w:name w:val="Document date"/>
    <w:qFormat/>
    <w:rsid w:val="007550AB"/>
    <w:pPr>
      <w:spacing w:after="0" w:line="240" w:lineRule="atLeast"/>
    </w:pPr>
    <w:rPr>
      <w:sz w:val="18"/>
      <w:lang w:val="en-US"/>
    </w:rPr>
  </w:style>
  <w:style w:type="paragraph" w:customStyle="1" w:styleId="Sectiontitle">
    <w:name w:val="Section title"/>
    <w:basedOn w:val="Normal"/>
    <w:next w:val="Normal"/>
    <w:link w:val="SectiontitleChar"/>
    <w:qFormat/>
    <w:rsid w:val="00EE61A2"/>
    <w:pPr>
      <w:spacing w:after="480" w:line="720" w:lineRule="atLeast"/>
    </w:pPr>
    <w:rPr>
      <w:sz w:val="60"/>
    </w:rPr>
  </w:style>
  <w:style w:type="paragraph" w:customStyle="1" w:styleId="PulloutBlue">
    <w:name w:val="Pullout Blue"/>
    <w:basedOn w:val="Normal"/>
    <w:next w:val="Normal"/>
    <w:qFormat/>
    <w:rsid w:val="00DD5A1B"/>
    <w:pPr>
      <w:spacing w:line="360" w:lineRule="atLeast"/>
    </w:pPr>
    <w:rPr>
      <w:color w:val="62B5E5" w:themeColor="accent3"/>
      <w:sz w:val="28"/>
    </w:rPr>
  </w:style>
  <w:style w:type="paragraph" w:customStyle="1" w:styleId="Contacttext">
    <w:name w:val="Contact text"/>
    <w:basedOn w:val="Normal"/>
    <w:qFormat/>
    <w:rsid w:val="00D7732D"/>
  </w:style>
  <w:style w:type="paragraph" w:customStyle="1" w:styleId="Contactus">
    <w:name w:val="Contact us"/>
    <w:basedOn w:val="Contacttext"/>
    <w:next w:val="Contacttext"/>
    <w:qFormat/>
    <w:rsid w:val="00D7732D"/>
    <w:pPr>
      <w:spacing w:after="240" w:line="340" w:lineRule="atLeast"/>
    </w:pPr>
    <w:rPr>
      <w:sz w:val="28"/>
    </w:rPr>
  </w:style>
  <w:style w:type="paragraph" w:styleId="Caption">
    <w:name w:val="caption"/>
    <w:basedOn w:val="Normal"/>
    <w:next w:val="Normal"/>
    <w:uiPriority w:val="35"/>
    <w:qFormat/>
    <w:rsid w:val="00B46969"/>
    <w:pPr>
      <w:keepNext/>
    </w:pPr>
    <w:rPr>
      <w:iCs/>
      <w:color w:val="75787B" w:themeColor="accent6"/>
      <w:sz w:val="17"/>
      <w:szCs w:val="18"/>
    </w:rPr>
  </w:style>
  <w:style w:type="character" w:styleId="Hyperlink">
    <w:name w:val="Hyperlink"/>
    <w:basedOn w:val="DefaultParagraphFont"/>
    <w:uiPriority w:val="99"/>
    <w:unhideWhenUsed/>
    <w:rsid w:val="00E94C20"/>
    <w:rPr>
      <w:color w:val="00A3E0" w:themeColor="hyperlink"/>
      <w:u w:val="single"/>
    </w:rPr>
  </w:style>
  <w:style w:type="paragraph" w:customStyle="1" w:styleId="PulloutGreen">
    <w:name w:val="Pullout Green"/>
    <w:basedOn w:val="PulloutBlue"/>
    <w:next w:val="Normal"/>
    <w:autoRedefine/>
    <w:qFormat/>
    <w:rsid w:val="004E7BDE"/>
    <w:pPr>
      <w:spacing w:line="240" w:lineRule="auto"/>
    </w:pPr>
    <w:rPr>
      <w:color w:val="86BC25" w:themeColor="accent1"/>
    </w:rPr>
  </w:style>
  <w:style w:type="paragraph" w:customStyle="1" w:styleId="QuotesourceBlue">
    <w:name w:val="Quote source Blue"/>
    <w:basedOn w:val="Normal"/>
    <w:next w:val="Normal"/>
    <w:qFormat/>
    <w:rsid w:val="000516C4"/>
    <w:pPr>
      <w:spacing w:line="200" w:lineRule="atLeast"/>
      <w:contextualSpacing/>
    </w:pPr>
    <w:rPr>
      <w:b/>
      <w:color w:val="62B5E5" w:themeColor="accent3"/>
      <w:sz w:val="17"/>
    </w:rPr>
  </w:style>
  <w:style w:type="paragraph" w:customStyle="1" w:styleId="QuotesourceGreen">
    <w:name w:val="Quote source Green"/>
    <w:basedOn w:val="QuotesourceBlue"/>
    <w:next w:val="Normal"/>
    <w:qFormat/>
    <w:rsid w:val="007B4261"/>
    <w:rPr>
      <w:color w:val="86BC25" w:themeColor="accent1"/>
    </w:rPr>
  </w:style>
  <w:style w:type="paragraph" w:customStyle="1" w:styleId="Paneltext">
    <w:name w:val="Panel text"/>
    <w:basedOn w:val="Normal"/>
    <w:qFormat/>
    <w:rsid w:val="00AE0FC7"/>
    <w:rPr>
      <w:color w:val="FFFFFF" w:themeColor="background1"/>
      <w:sz w:val="17"/>
    </w:rPr>
  </w:style>
  <w:style w:type="paragraph" w:customStyle="1" w:styleId="Paneltitle">
    <w:name w:val="Panel title"/>
    <w:basedOn w:val="Paneltext"/>
    <w:next w:val="Paneltext"/>
    <w:qFormat/>
    <w:rsid w:val="00D0023B"/>
    <w:pPr>
      <w:spacing w:line="360" w:lineRule="atLeast"/>
    </w:pPr>
    <w:rPr>
      <w:b/>
      <w:sz w:val="28"/>
    </w:rPr>
  </w:style>
  <w:style w:type="paragraph" w:customStyle="1" w:styleId="Formoreinfocalloutwhite8512ptPullOutStyles">
    <w:name w:val="For more info call out (white 8.5/12pt) (Pull Out Styles)"/>
    <w:basedOn w:val="Normal"/>
    <w:uiPriority w:val="99"/>
    <w:rsid w:val="00AE0FC7"/>
    <w:pPr>
      <w:tabs>
        <w:tab w:val="left" w:pos="283"/>
        <w:tab w:val="left" w:pos="567"/>
      </w:tabs>
      <w:suppressAutoHyphens/>
      <w:autoSpaceDE w:val="0"/>
      <w:autoSpaceDN w:val="0"/>
      <w:adjustRightInd w:val="0"/>
      <w:textAlignment w:val="center"/>
    </w:pPr>
    <w:rPr>
      <w:rFonts w:ascii="OpenSans-Bold" w:hAnsi="OpenSans-Bold" w:cs="OpenSans-Bold"/>
      <w:b/>
      <w:bCs/>
      <w:color w:val="FFFFFF"/>
      <w:spacing w:val="-2"/>
      <w:sz w:val="17"/>
      <w:szCs w:val="17"/>
    </w:rPr>
  </w:style>
  <w:style w:type="paragraph" w:customStyle="1" w:styleId="Documentsubtitle">
    <w:name w:val="Document subtitle"/>
    <w:basedOn w:val="Normal"/>
    <w:qFormat/>
    <w:rsid w:val="006528C9"/>
    <w:pPr>
      <w:spacing w:line="440" w:lineRule="atLeast"/>
    </w:pPr>
    <w:rPr>
      <w:sz w:val="36"/>
    </w:rPr>
  </w:style>
  <w:style w:type="paragraph" w:customStyle="1" w:styleId="Contentstitle">
    <w:name w:val="Contents title"/>
    <w:basedOn w:val="Sectiontitle"/>
    <w:next w:val="Normal"/>
    <w:autoRedefine/>
    <w:qFormat/>
    <w:rsid w:val="00244010"/>
  </w:style>
  <w:style w:type="paragraph" w:styleId="TOC1">
    <w:name w:val="toc 1"/>
    <w:basedOn w:val="Normal"/>
    <w:next w:val="Normal"/>
    <w:autoRedefine/>
    <w:uiPriority w:val="39"/>
    <w:rsid w:val="00DC7AC4"/>
    <w:pPr>
      <w:spacing w:line="360" w:lineRule="atLeast"/>
      <w:ind w:right="84"/>
    </w:pPr>
    <w:rPr>
      <w:sz w:val="28"/>
    </w:rPr>
  </w:style>
  <w:style w:type="paragraph" w:customStyle="1" w:styleId="Quotetext">
    <w:name w:val="Quote text"/>
    <w:basedOn w:val="PulloutBlue"/>
    <w:autoRedefine/>
    <w:qFormat/>
    <w:rsid w:val="00A70055"/>
    <w:pPr>
      <w:spacing w:line="240" w:lineRule="auto"/>
    </w:pPr>
    <w:rPr>
      <w:color w:val="FFFFFF" w:themeColor="background1"/>
      <w:sz w:val="18"/>
    </w:rPr>
  </w:style>
  <w:style w:type="paragraph" w:customStyle="1" w:styleId="Legaltext">
    <w:name w:val="Legal text"/>
    <w:basedOn w:val="Normal"/>
    <w:qFormat/>
    <w:rsid w:val="00BF6F8B"/>
    <w:pPr>
      <w:spacing w:line="180" w:lineRule="atLeast"/>
      <w:ind w:right="5387"/>
    </w:pPr>
    <w:rPr>
      <w:sz w:val="14"/>
    </w:rPr>
  </w:style>
  <w:style w:type="table" w:customStyle="1" w:styleId="Deloittetable">
    <w:name w:val="Deloitte table"/>
    <w:basedOn w:val="TableNormal"/>
    <w:uiPriority w:val="99"/>
    <w:rsid w:val="003B3379"/>
    <w:pPr>
      <w:spacing w:after="0" w:line="240" w:lineRule="auto"/>
    </w:pPr>
    <w:rPr>
      <w:sz w:val="17"/>
    </w:rPr>
    <w:tblPr>
      <w:tblBorders>
        <w:top w:val="single" w:sz="4" w:space="0" w:color="62B5E5" w:themeColor="accent3"/>
        <w:bottom w:val="single" w:sz="4" w:space="0" w:color="000000" w:themeColor="text1"/>
        <w:insideH w:val="single" w:sz="4" w:space="0" w:color="000000" w:themeColor="text1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tblPr/>
      <w:tcPr>
        <w:tcBorders>
          <w:top w:val="single" w:sz="24" w:space="0" w:color="62B5E5" w:themeColor="accent3"/>
        </w:tcBorders>
      </w:tcPr>
    </w:tblStylePr>
  </w:style>
  <w:style w:type="paragraph" w:customStyle="1" w:styleId="Tabletext">
    <w:name w:val="Table text"/>
    <w:basedOn w:val="Normal"/>
    <w:qFormat/>
    <w:rsid w:val="004D1F57"/>
    <w:pPr>
      <w:spacing w:line="200" w:lineRule="atLeast"/>
    </w:pPr>
    <w:rPr>
      <w:sz w:val="17"/>
    </w:rPr>
  </w:style>
  <w:style w:type="paragraph" w:customStyle="1" w:styleId="Tabletitle">
    <w:name w:val="Table title"/>
    <w:basedOn w:val="Tabletext"/>
    <w:qFormat/>
    <w:rsid w:val="004D1F57"/>
    <w:rPr>
      <w:b/>
      <w:color w:val="62B5E5" w:themeColor="accent3"/>
    </w:rPr>
  </w:style>
  <w:style w:type="paragraph" w:customStyle="1" w:styleId="SourcetextTableorChart">
    <w:name w:val="Source text Table or Chart"/>
    <w:basedOn w:val="Caption"/>
    <w:next w:val="Normal"/>
    <w:qFormat/>
    <w:rsid w:val="003B3379"/>
    <w:rPr>
      <w:sz w:val="14"/>
    </w:rPr>
  </w:style>
  <w:style w:type="paragraph" w:customStyle="1" w:styleId="Tablebullets">
    <w:name w:val="Table bullets"/>
    <w:basedOn w:val="Tabletext"/>
    <w:qFormat/>
    <w:rsid w:val="00DB4410"/>
    <w:pPr>
      <w:framePr w:hSpace="180" w:wrap="around" w:vAnchor="text" w:hAnchor="text" w:y="1"/>
      <w:numPr>
        <w:numId w:val="5"/>
      </w:numPr>
      <w:ind w:left="284" w:hanging="284"/>
      <w:suppressOverlap/>
    </w:pPr>
  </w:style>
  <w:style w:type="paragraph" w:customStyle="1" w:styleId="Tablenumbered">
    <w:name w:val="Table numbered"/>
    <w:basedOn w:val="Tabletext"/>
    <w:qFormat/>
    <w:rsid w:val="00DB4410"/>
    <w:pPr>
      <w:framePr w:hSpace="180" w:wrap="around" w:vAnchor="text" w:hAnchor="text" w:y="1"/>
      <w:numPr>
        <w:numId w:val="6"/>
      </w:numPr>
      <w:ind w:left="284" w:hanging="284"/>
      <w:suppressOverlap/>
    </w:pPr>
  </w:style>
  <w:style w:type="paragraph" w:customStyle="1" w:styleId="Charttitle">
    <w:name w:val="Chart title"/>
    <w:basedOn w:val="Heading2"/>
    <w:qFormat/>
    <w:rsid w:val="009E24F0"/>
    <w:pPr>
      <w:framePr w:hSpace="181" w:wrap="around" w:vAnchor="text" w:hAnchor="text" w:y="1"/>
      <w:suppressOverlap/>
    </w:pPr>
  </w:style>
  <w:style w:type="table" w:customStyle="1" w:styleId="Style1">
    <w:name w:val="Style1"/>
    <w:basedOn w:val="TableNormal"/>
    <w:rsid w:val="008F3793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/>
  </w:style>
  <w:style w:type="paragraph" w:styleId="ListParagraph">
    <w:name w:val="List Paragraph"/>
    <w:aliases w:val="body,Odsek zoznamu2,A-Odrážky1,Odstavec_muj,Nad,_Odstavec se seznamem,Odstavec_muj1,Odstavec_muj2,Odstavec_muj3,Nad1,Odstavec_muj4,Nad2,List Paragraph2,Odstavec_muj5,Odstavec_muj6,Odstavec_muj7,Odstavec_muj8,Odstavec_muj9,List Paragraph1"/>
    <w:basedOn w:val="Normal"/>
    <w:link w:val="ListParagraphChar"/>
    <w:uiPriority w:val="34"/>
    <w:qFormat/>
    <w:rsid w:val="00B0035E"/>
    <w:rPr>
      <w:rFonts w:ascii="Verdana" w:eastAsia="Times New Roman" w:hAnsi="Verdana" w:cs="Times New Roman"/>
      <w:szCs w:val="24"/>
      <w:lang w:eastAsia="sk-SK"/>
    </w:rPr>
  </w:style>
  <w:style w:type="table" w:customStyle="1" w:styleId="Svetlzoznamzvraznenie11">
    <w:name w:val="Svetlý zoznam – zvýraznenie 11"/>
    <w:basedOn w:val="TableNormal"/>
    <w:uiPriority w:val="61"/>
    <w:rsid w:val="00F32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sk-SK"/>
    </w:rPr>
    <w:tblPr>
      <w:tblStyleRowBandSize w:val="1"/>
      <w:tblStyleColBandSize w:val="1"/>
      <w:tblBorders>
        <w:top w:val="single" w:sz="8" w:space="0" w:color="86BC25" w:themeColor="accent1"/>
        <w:left w:val="single" w:sz="8" w:space="0" w:color="86BC25" w:themeColor="accent1"/>
        <w:bottom w:val="single" w:sz="8" w:space="0" w:color="86BC25" w:themeColor="accent1"/>
        <w:right w:val="single" w:sz="8" w:space="0" w:color="86BC2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6BC2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BC25" w:themeColor="accent1"/>
          <w:left w:val="single" w:sz="8" w:space="0" w:color="86BC25" w:themeColor="accent1"/>
          <w:bottom w:val="single" w:sz="8" w:space="0" w:color="86BC25" w:themeColor="accent1"/>
          <w:right w:val="single" w:sz="8" w:space="0" w:color="86BC2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BC25" w:themeColor="accent1"/>
          <w:left w:val="single" w:sz="8" w:space="0" w:color="86BC25" w:themeColor="accent1"/>
          <w:bottom w:val="single" w:sz="8" w:space="0" w:color="86BC25" w:themeColor="accent1"/>
          <w:right w:val="single" w:sz="8" w:space="0" w:color="86BC25" w:themeColor="accent1"/>
        </w:tcBorders>
      </w:tcPr>
    </w:tblStylePr>
    <w:tblStylePr w:type="band1Horz">
      <w:tblPr/>
      <w:tcPr>
        <w:tcBorders>
          <w:top w:val="single" w:sz="8" w:space="0" w:color="86BC25" w:themeColor="accent1"/>
          <w:left w:val="single" w:sz="8" w:space="0" w:color="86BC25" w:themeColor="accent1"/>
          <w:bottom w:val="single" w:sz="8" w:space="0" w:color="86BC25" w:themeColor="accent1"/>
          <w:right w:val="single" w:sz="8" w:space="0" w:color="86BC25" w:themeColor="accent1"/>
        </w:tcBorders>
      </w:tcPr>
    </w:tblStylePr>
  </w:style>
  <w:style w:type="paragraph" w:customStyle="1" w:styleId="06Normal">
    <w:name w:val="06_Normal"/>
    <w:link w:val="06NormalChar"/>
    <w:qFormat/>
    <w:rsid w:val="00F846E1"/>
    <w:pPr>
      <w:spacing w:before="120" w:after="120" w:line="288" w:lineRule="auto"/>
      <w:jc w:val="both"/>
    </w:pPr>
    <w:rPr>
      <w:rFonts w:ascii="Verdana" w:eastAsia="Times New Roman" w:hAnsi="Verdana" w:cs="Times New Roman"/>
      <w:sz w:val="18"/>
      <w:szCs w:val="20"/>
      <w:lang w:val="sk-SK"/>
    </w:rPr>
  </w:style>
  <w:style w:type="character" w:customStyle="1" w:styleId="06NormalChar">
    <w:name w:val="06_Normal Char"/>
    <w:link w:val="06Normal"/>
    <w:rsid w:val="00F846E1"/>
    <w:rPr>
      <w:rFonts w:ascii="Verdana" w:eastAsia="Times New Roman" w:hAnsi="Verdana" w:cs="Times New Roman"/>
      <w:sz w:val="18"/>
      <w:szCs w:val="20"/>
      <w:lang w:val="sk-SK"/>
    </w:rPr>
  </w:style>
  <w:style w:type="character" w:customStyle="1" w:styleId="ListParagraphChar">
    <w:name w:val="List Paragraph Char"/>
    <w:aliases w:val="body Char,Odsek zoznamu2 Char,A-Odrážky1 Char,Odstavec_muj Char,Nad Char,_Odstavec se seznamem Char,Odstavec_muj1 Char,Odstavec_muj2 Char,Odstavec_muj3 Char,Nad1 Char,Odstavec_muj4 Char,Nad2 Char,List Paragraph2 Char"/>
    <w:basedOn w:val="DefaultParagraphFont"/>
    <w:link w:val="ListParagraph"/>
    <w:uiPriority w:val="34"/>
    <w:qFormat/>
    <w:rsid w:val="00B0035E"/>
    <w:rPr>
      <w:rFonts w:ascii="Verdana" w:eastAsia="Times New Roman" w:hAnsi="Verdana" w:cs="Times New Roman"/>
      <w:sz w:val="18"/>
      <w:szCs w:val="24"/>
      <w:lang w:val="sk-SK" w:eastAsia="sk-SK"/>
    </w:rPr>
  </w:style>
  <w:style w:type="table" w:styleId="ListTable3-Accent1">
    <w:name w:val="List Table 3 Accent 1"/>
    <w:basedOn w:val="TableNormal"/>
    <w:uiPriority w:val="48"/>
    <w:rsid w:val="00F50048"/>
    <w:pPr>
      <w:spacing w:after="0" w:line="240" w:lineRule="auto"/>
    </w:pPr>
    <w:rPr>
      <w:rFonts w:ascii="Verdana" w:eastAsia="Verdana" w:hAnsi="Verdana" w:cs="Times New Roman"/>
      <w:sz w:val="20"/>
      <w:szCs w:val="20"/>
      <w:lang w:val="cs-CZ" w:eastAsia="cs-CZ"/>
    </w:rPr>
    <w:tblPr>
      <w:tblStyleRowBandSize w:val="1"/>
      <w:tblStyleColBandSize w:val="1"/>
      <w:tblBorders>
        <w:top w:val="single" w:sz="4" w:space="0" w:color="86BC25" w:themeColor="accent1"/>
        <w:left w:val="single" w:sz="4" w:space="0" w:color="86BC25" w:themeColor="accent1"/>
        <w:bottom w:val="single" w:sz="4" w:space="0" w:color="86BC25" w:themeColor="accent1"/>
        <w:right w:val="single" w:sz="4" w:space="0" w:color="86BC2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6BC25" w:themeFill="accent1"/>
      </w:tcPr>
    </w:tblStylePr>
    <w:tblStylePr w:type="lastRow">
      <w:rPr>
        <w:b/>
        <w:bCs/>
      </w:rPr>
      <w:tblPr/>
      <w:tcPr>
        <w:tcBorders>
          <w:top w:val="double" w:sz="4" w:space="0" w:color="86BC2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6BC25" w:themeColor="accent1"/>
          <w:right w:val="single" w:sz="4" w:space="0" w:color="86BC25" w:themeColor="accent1"/>
        </w:tcBorders>
      </w:tcPr>
    </w:tblStylePr>
    <w:tblStylePr w:type="band1Horz">
      <w:tblPr/>
      <w:tcPr>
        <w:tcBorders>
          <w:top w:val="single" w:sz="4" w:space="0" w:color="86BC25" w:themeColor="accent1"/>
          <w:bottom w:val="single" w:sz="4" w:space="0" w:color="86BC2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6BC25" w:themeColor="accent1"/>
          <w:left w:val="nil"/>
        </w:tcBorders>
      </w:tcPr>
    </w:tblStylePr>
    <w:tblStylePr w:type="swCell">
      <w:tblPr/>
      <w:tcPr>
        <w:tcBorders>
          <w:top w:val="double" w:sz="4" w:space="0" w:color="86BC25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500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00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0048"/>
    <w:rPr>
      <w:sz w:val="20"/>
      <w:szCs w:val="20"/>
      <w:lang w:val="en-US"/>
    </w:rPr>
  </w:style>
  <w:style w:type="paragraph" w:customStyle="1" w:styleId="Style30">
    <w:name w:val="Style30"/>
    <w:basedOn w:val="Normal"/>
    <w:uiPriority w:val="99"/>
    <w:rsid w:val="00F5004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3"/>
      <w:szCs w:val="24"/>
      <w:lang w:eastAsia="sk-SK"/>
    </w:rPr>
  </w:style>
  <w:style w:type="table" w:styleId="GridTable1Light-Accent1">
    <w:name w:val="Grid Table 1 Light Accent 1"/>
    <w:basedOn w:val="TableNormal"/>
    <w:uiPriority w:val="46"/>
    <w:rsid w:val="00F41009"/>
    <w:pPr>
      <w:spacing w:after="0" w:line="240" w:lineRule="auto"/>
    </w:pPr>
    <w:tblPr>
      <w:tblStyleRowBandSize w:val="1"/>
      <w:tblStyleColBandSize w:val="1"/>
      <w:tblBorders>
        <w:top w:val="single" w:sz="4" w:space="0" w:color="D0EC9F" w:themeColor="accent1" w:themeTint="66"/>
        <w:left w:val="single" w:sz="4" w:space="0" w:color="D0EC9F" w:themeColor="accent1" w:themeTint="66"/>
        <w:bottom w:val="single" w:sz="4" w:space="0" w:color="D0EC9F" w:themeColor="accent1" w:themeTint="66"/>
        <w:right w:val="single" w:sz="4" w:space="0" w:color="D0EC9F" w:themeColor="accent1" w:themeTint="66"/>
        <w:insideH w:val="single" w:sz="4" w:space="0" w:color="D0EC9F" w:themeColor="accent1" w:themeTint="66"/>
        <w:insideV w:val="single" w:sz="4" w:space="0" w:color="D0EC9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9E37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9E3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4">
    <w:name w:val="Plain Table 4"/>
    <w:basedOn w:val="TableNormal"/>
    <w:uiPriority w:val="44"/>
    <w:rsid w:val="00F410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4260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SectiontitleChar">
    <w:name w:val="Section title Char"/>
    <w:basedOn w:val="DefaultParagraphFont"/>
    <w:link w:val="Sectiontitle"/>
    <w:rsid w:val="000A39BD"/>
    <w:rPr>
      <w:sz w:val="6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6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6A1"/>
    <w:rPr>
      <w:b/>
      <w:bCs/>
      <w:sz w:val="20"/>
      <w:szCs w:val="20"/>
      <w:lang w:val="sk-SK"/>
    </w:rPr>
  </w:style>
  <w:style w:type="paragraph" w:styleId="TableofFigures">
    <w:name w:val="table of figures"/>
    <w:basedOn w:val="Normal"/>
    <w:next w:val="Normal"/>
    <w:uiPriority w:val="99"/>
    <w:unhideWhenUsed/>
    <w:rsid w:val="00BB0829"/>
    <w:pPr>
      <w:spacing w:after="0"/>
    </w:pPr>
  </w:style>
  <w:style w:type="paragraph" w:styleId="TOCHeading">
    <w:name w:val="TOC Heading"/>
    <w:basedOn w:val="Heading1"/>
    <w:next w:val="Normal"/>
    <w:uiPriority w:val="39"/>
    <w:unhideWhenUsed/>
    <w:qFormat/>
    <w:rsid w:val="006C392F"/>
    <w:pPr>
      <w:spacing w:after="0" w:line="259" w:lineRule="auto"/>
      <w:jc w:val="left"/>
      <w:outlineLvl w:val="9"/>
    </w:pPr>
    <w:rPr>
      <w:b w:val="0"/>
      <w:bCs w:val="0"/>
      <w:color w:val="638C1B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6C392F"/>
    <w:pPr>
      <w:spacing w:after="100"/>
      <w:ind w:left="180"/>
    </w:pPr>
  </w:style>
  <w:style w:type="paragraph" w:styleId="TOC3">
    <w:name w:val="toc 3"/>
    <w:basedOn w:val="Normal"/>
    <w:next w:val="Normal"/>
    <w:autoRedefine/>
    <w:uiPriority w:val="39"/>
    <w:unhideWhenUsed/>
    <w:rsid w:val="00B57491"/>
    <w:pPr>
      <w:spacing w:before="0" w:after="100" w:line="259" w:lineRule="auto"/>
      <w:ind w:left="440"/>
      <w:jc w:val="left"/>
    </w:pPr>
    <w:rPr>
      <w:rFonts w:eastAsiaTheme="minorEastAsia" w:cs="Times New Roman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95F15"/>
    <w:rPr>
      <w:color w:val="53565A" w:themeColor="followedHyperlink"/>
      <w:u w:val="single"/>
    </w:rPr>
  </w:style>
  <w:style w:type="table" w:styleId="ListTable3-Accent6">
    <w:name w:val="List Table 3 Accent 6"/>
    <w:basedOn w:val="TableNormal"/>
    <w:uiPriority w:val="48"/>
    <w:rsid w:val="006E0085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5787B" w:themeColor="accent6"/>
        <w:left w:val="single" w:sz="4" w:space="0" w:color="75787B" w:themeColor="accent6"/>
        <w:bottom w:val="single" w:sz="4" w:space="0" w:color="75787B" w:themeColor="accent6"/>
        <w:right w:val="single" w:sz="4" w:space="0" w:color="75787B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5787B" w:themeFill="accent6"/>
      </w:tcPr>
    </w:tblStylePr>
    <w:tblStylePr w:type="lastRow">
      <w:rPr>
        <w:b/>
        <w:bCs/>
      </w:rPr>
      <w:tblPr/>
      <w:tcPr>
        <w:tcBorders>
          <w:top w:val="double" w:sz="4" w:space="0" w:color="75787B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5787B" w:themeColor="accent6"/>
          <w:right w:val="single" w:sz="4" w:space="0" w:color="75787B" w:themeColor="accent6"/>
        </w:tcBorders>
      </w:tcPr>
    </w:tblStylePr>
    <w:tblStylePr w:type="band1Horz">
      <w:tblPr/>
      <w:tcPr>
        <w:tcBorders>
          <w:top w:val="single" w:sz="4" w:space="0" w:color="75787B" w:themeColor="accent6"/>
          <w:bottom w:val="single" w:sz="4" w:space="0" w:color="75787B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5787B" w:themeColor="accent6"/>
          <w:left w:val="nil"/>
        </w:tcBorders>
      </w:tcPr>
    </w:tblStylePr>
    <w:tblStylePr w:type="swCell">
      <w:tblPr/>
      <w:tcPr>
        <w:tcBorders>
          <w:top w:val="double" w:sz="4" w:space="0" w:color="75787B" w:themeColor="accent6"/>
          <w:right w:val="nil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981061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81061"/>
    <w:rPr>
      <w:sz w:val="20"/>
      <w:szCs w:val="20"/>
      <w:lang w:val="sk-SK"/>
    </w:rPr>
  </w:style>
  <w:style w:type="character" w:styleId="EndnoteReference">
    <w:name w:val="endnote reference"/>
    <w:basedOn w:val="DefaultParagraphFont"/>
    <w:uiPriority w:val="99"/>
    <w:semiHidden/>
    <w:unhideWhenUsed/>
    <w:rsid w:val="00981061"/>
    <w:rPr>
      <w:vertAlign w:val="superscript"/>
    </w:rPr>
  </w:style>
  <w:style w:type="paragraph" w:styleId="Revision">
    <w:name w:val="Revision"/>
    <w:hidden/>
    <w:uiPriority w:val="99"/>
    <w:semiHidden/>
    <w:rsid w:val="00A16962"/>
    <w:pPr>
      <w:spacing w:after="0" w:line="240" w:lineRule="auto"/>
    </w:pPr>
    <w:rPr>
      <w:sz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840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1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Deloitte colors">
      <a:dk1>
        <a:sysClr val="windowText" lastClr="000000"/>
      </a:dk1>
      <a:lt1>
        <a:sysClr val="window" lastClr="FFFFFF"/>
      </a:lt1>
      <a:dk2>
        <a:srgbClr val="53565A"/>
      </a:dk2>
      <a:lt2>
        <a:srgbClr val="D0D0CE"/>
      </a:lt2>
      <a:accent1>
        <a:srgbClr val="86BC25"/>
      </a:accent1>
      <a:accent2>
        <a:srgbClr val="046A38"/>
      </a:accent2>
      <a:accent3>
        <a:srgbClr val="62B5E5"/>
      </a:accent3>
      <a:accent4>
        <a:srgbClr val="012169"/>
      </a:accent4>
      <a:accent5>
        <a:srgbClr val="0097A9"/>
      </a:accent5>
      <a:accent6>
        <a:srgbClr val="75787B"/>
      </a:accent6>
      <a:hlink>
        <a:srgbClr val="00A3E0"/>
      </a:hlink>
      <a:folHlink>
        <a:srgbClr val="53565A"/>
      </a:folHlink>
    </a:clrScheme>
    <a:fontScheme name="Deloitte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3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lt1"/>
        </a:solidFill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C7FCF-0784-4AF9-9447-DC29A8178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4084</Words>
  <Characters>23279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Proposal_A4_3col</vt:lpstr>
    </vt:vector>
  </TitlesOfParts>
  <Company/>
  <LinksUpToDate>false</LinksUpToDate>
  <CharactersWithSpaces>27309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Proposal_A4_3col</dc:title>
  <dc:subject/>
  <dc:creator>Katerina Slovakova Filipkova</dc:creator>
  <cp:keywords/>
  <dc:description/>
  <cp:lastModifiedBy>Slovakova Filipkova, Katerina</cp:lastModifiedBy>
  <cp:revision>4</cp:revision>
  <cp:lastPrinted>2019-06-27T12:56:00Z</cp:lastPrinted>
  <dcterms:created xsi:type="dcterms:W3CDTF">2019-06-05T13:54:00Z</dcterms:created>
  <dcterms:modified xsi:type="dcterms:W3CDTF">2019-06-27T12:57:00Z</dcterms:modified>
</cp:coreProperties>
</file>