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853401442"/>
        <w:docPartObj>
          <w:docPartGallery w:val="Cover Pages"/>
          <w:docPartUnique/>
        </w:docPartObj>
      </w:sdtPr>
      <w:sdtEndPr>
        <w:rPr>
          <w:sz w:val="6"/>
          <w:szCs w:val="6"/>
        </w:rPr>
      </w:sdtEndPr>
      <w:sdtContent>
        <w:tbl>
          <w:tblPr>
            <w:tblStyle w:val="TableGrid"/>
            <w:tblW w:w="10115" w:type="dxa"/>
            <w:tblLayout w:type="fixed"/>
            <w:tblLook w:val="04A0" w:firstRow="1" w:lastRow="0" w:firstColumn="1" w:lastColumn="0" w:noHBand="0" w:noVBand="1"/>
          </w:tblPr>
          <w:tblGrid>
            <w:gridCol w:w="10115"/>
          </w:tblGrid>
          <w:tr w:rsidR="00065D26" w:rsidRPr="00DD6590" w14:paraId="37523DA4" w14:textId="77777777" w:rsidTr="0023344F">
            <w:trPr>
              <w:cnfStyle w:val="100000000000" w:firstRow="1" w:lastRow="0" w:firstColumn="0" w:lastColumn="0" w:oddVBand="0" w:evenVBand="0" w:oddHBand="0" w:evenHBand="0" w:firstRowFirstColumn="0" w:firstRowLastColumn="0" w:lastRowFirstColumn="0" w:lastRowLastColumn="0"/>
              <w:trHeight w:hRule="exact" w:val="10435"/>
            </w:trPr>
            <w:tc>
              <w:tcPr>
                <w:tcW w:w="10115" w:type="dxa"/>
                <w:vAlign w:val="center"/>
              </w:tcPr>
              <w:p w14:paraId="62ECF3CF" w14:textId="77777777" w:rsidR="00065D26" w:rsidRPr="00DD6590" w:rsidRDefault="008C6F86" w:rsidP="00011550">
                <w:pPr>
                  <w:jc w:val="center"/>
                </w:pPr>
                <w:r w:rsidRPr="00DD6590">
                  <w:rPr>
                    <w:noProof/>
                    <w:sz w:val="22"/>
                    <w:lang w:eastAsia="sk-SK"/>
                  </w:rPr>
                  <w:drawing>
                    <wp:inline distT="0" distB="0" distL="0" distR="0" wp14:anchorId="26333277" wp14:editId="1523B867">
                      <wp:extent cx="3763174" cy="4206240"/>
                      <wp:effectExtent l="0" t="0" r="889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hutterstock_260874602_l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63174" cy="4206240"/>
                              </a:xfrm>
                              <a:prstGeom prst="rect">
                                <a:avLst/>
                              </a:prstGeom>
                            </pic:spPr>
                          </pic:pic>
                        </a:graphicData>
                      </a:graphic>
                    </wp:inline>
                  </w:drawing>
                </w:r>
              </w:p>
            </w:tc>
          </w:tr>
        </w:tbl>
        <w:tbl>
          <w:tblPr>
            <w:tblStyle w:val="TableGridDeloitte1"/>
            <w:tblW w:w="9590"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86"/>
            <w:gridCol w:w="222"/>
            <w:gridCol w:w="222"/>
          </w:tblGrid>
          <w:tr w:rsidR="007D7881" w14:paraId="7EA1D793" w14:textId="77777777" w:rsidTr="00066F34">
            <w:trPr>
              <w:jc w:val="center"/>
            </w:trPr>
            <w:tc>
              <w:tcPr>
                <w:tcW w:w="7579" w:type="dxa"/>
                <w:vAlign w:val="center"/>
                <w:hideMark/>
              </w:tcPr>
              <w:tbl>
                <w:tblPr>
                  <w:tblStyle w:val="TableGrid"/>
                  <w:tblpPr w:leftFromText="141" w:rightFromText="141" w:vertAnchor="text" w:horzAnchor="margin" w:tblpY="-526"/>
                  <w:tblW w:w="9270" w:type="dxa"/>
                  <w:tblLook w:val="04A0" w:firstRow="1" w:lastRow="0" w:firstColumn="1" w:lastColumn="0" w:noHBand="0" w:noVBand="1"/>
                </w:tblPr>
                <w:tblGrid>
                  <w:gridCol w:w="9270"/>
                </w:tblGrid>
                <w:tr w:rsidR="007D7881" w:rsidRPr="00DD6590" w14:paraId="35DC6419" w14:textId="77777777" w:rsidTr="007D7881">
                  <w:trPr>
                    <w:cnfStyle w:val="100000000000" w:firstRow="1" w:lastRow="0" w:firstColumn="0" w:lastColumn="0" w:oddVBand="0" w:evenVBand="0" w:oddHBand="0" w:evenHBand="0" w:firstRowFirstColumn="0" w:firstRowLastColumn="0" w:lastRowFirstColumn="0" w:lastRowLastColumn="0"/>
                    <w:trHeight w:hRule="exact" w:val="2485"/>
                  </w:trPr>
                  <w:tc>
                    <w:tcPr>
                      <w:tcW w:w="9270" w:type="dxa"/>
                      <w:vAlign w:val="bottom"/>
                    </w:tcPr>
                    <w:p w14:paraId="69139691" w14:textId="77777777" w:rsidR="007D7881" w:rsidRPr="00DD6590" w:rsidRDefault="007D7881" w:rsidP="007D7881">
                      <w:pPr>
                        <w:pStyle w:val="Documenttitle"/>
                        <w:spacing w:after="120"/>
                        <w:jc w:val="both"/>
                        <w:rPr>
                          <w:rFonts w:ascii="Verdana" w:hAnsi="Verdana"/>
                          <w:lang w:val="sk-SK"/>
                        </w:rPr>
                      </w:pPr>
                      <w:r w:rsidRPr="00DD6590">
                        <w:rPr>
                          <w:rFonts w:ascii="Verdana" w:hAnsi="Verdana"/>
                          <w:lang w:val="sk-SK"/>
                        </w:rPr>
                        <w:t>Záverečná správa</w:t>
                      </w:r>
                    </w:p>
                    <w:p w14:paraId="2F841849" w14:textId="77777777" w:rsidR="007D7881" w:rsidRPr="00066F34" w:rsidRDefault="007D7881" w:rsidP="007D7881">
                      <w:pPr>
                        <w:spacing w:before="0" w:line="440" w:lineRule="atLeast"/>
                        <w:jc w:val="left"/>
                        <w:rPr>
                          <w:rFonts w:ascii="Verdana" w:hAnsi="Verdana"/>
                          <w:color w:val="75787B" w:themeColor="accent6"/>
                        </w:rPr>
                      </w:pPr>
                      <w:r w:rsidRPr="00066F34">
                        <w:rPr>
                          <w:rFonts w:ascii="Verdana" w:hAnsi="Verdana"/>
                          <w:color w:val="75787B" w:themeColor="accent6"/>
                          <w:sz w:val="36"/>
                        </w:rPr>
                        <w:t xml:space="preserve">Hodnotenie plnenia zámerov a očakávaných výsledkov a identifikácia možných úprav OPII </w:t>
                      </w:r>
                    </w:p>
                    <w:p w14:paraId="79A479AA" w14:textId="77777777" w:rsidR="007D7881" w:rsidRPr="00066F34" w:rsidRDefault="007D7881" w:rsidP="007D7881">
                      <w:pPr>
                        <w:spacing w:before="0" w:line="440" w:lineRule="atLeast"/>
                        <w:rPr>
                          <w:rFonts w:ascii="Verdana" w:hAnsi="Verdana"/>
                          <w:sz w:val="24"/>
                          <w:szCs w:val="24"/>
                        </w:rPr>
                      </w:pPr>
                      <w:r w:rsidRPr="00066F34">
                        <w:rPr>
                          <w:rFonts w:ascii="Verdana" w:hAnsi="Verdana"/>
                          <w:color w:val="75787B" w:themeColor="accent6"/>
                          <w:sz w:val="24"/>
                          <w:szCs w:val="24"/>
                        </w:rPr>
                        <w:t>Jún 2019</w:t>
                      </w:r>
                    </w:p>
                  </w:tc>
                </w:tr>
              </w:tbl>
              <w:p w14:paraId="62F8D7F0" w14:textId="77777777" w:rsidR="007D7881" w:rsidRDefault="007D7881" w:rsidP="00066F34">
                <w:pPr>
                  <w:spacing w:after="0" w:line="240" w:lineRule="auto"/>
                  <w:ind w:left="-227"/>
                  <w:rPr>
                    <w:rFonts w:ascii="Times New Roman" w:eastAsia="Times New Roman" w:hAnsi="Times New Roman" w:cs="Calibri"/>
                    <w:b/>
                    <w:bCs/>
                    <w:color w:val="000000"/>
                    <w:sz w:val="20"/>
                    <w:lang w:val="en-US"/>
                  </w:rPr>
                </w:pPr>
              </w:p>
            </w:tc>
            <w:tc>
              <w:tcPr>
                <w:tcW w:w="222" w:type="dxa"/>
              </w:tcPr>
              <w:p w14:paraId="7F810F9D" w14:textId="77777777" w:rsidR="007D7881" w:rsidRDefault="007D7881" w:rsidP="00066F34">
                <w:pPr>
                  <w:spacing w:after="0" w:line="240" w:lineRule="auto"/>
                  <w:ind w:left="-227"/>
                  <w:jc w:val="right"/>
                  <w:rPr>
                    <w:rFonts w:eastAsia="Times New Roman" w:cs="Calibri"/>
                    <w:b/>
                    <w:bCs/>
                    <w:color w:val="000000"/>
                    <w:sz w:val="20"/>
                    <w:lang w:val="en-US"/>
                  </w:rPr>
                </w:pPr>
              </w:p>
            </w:tc>
            <w:tc>
              <w:tcPr>
                <w:tcW w:w="1789" w:type="dxa"/>
                <w:vAlign w:val="center"/>
              </w:tcPr>
              <w:p w14:paraId="1540FCCA" w14:textId="77777777" w:rsidR="007D7881" w:rsidRDefault="007D7881" w:rsidP="00066F34">
                <w:pPr>
                  <w:spacing w:after="0" w:line="240" w:lineRule="auto"/>
                  <w:ind w:left="-227"/>
                  <w:jc w:val="right"/>
                  <w:rPr>
                    <w:rFonts w:eastAsia="Times New Roman" w:cs="Calibri"/>
                    <w:b/>
                    <w:bCs/>
                    <w:color w:val="000000"/>
                    <w:sz w:val="20"/>
                    <w:lang w:val="en-US"/>
                  </w:rPr>
                </w:pPr>
              </w:p>
              <w:p w14:paraId="792E8382" w14:textId="77777777" w:rsidR="007D7881" w:rsidRDefault="007D7881" w:rsidP="00066F34">
                <w:pPr>
                  <w:spacing w:after="0" w:line="240" w:lineRule="auto"/>
                  <w:ind w:left="-227"/>
                  <w:jc w:val="right"/>
                  <w:rPr>
                    <w:rFonts w:eastAsia="Times New Roman" w:cs="Calibri"/>
                    <w:b/>
                    <w:bCs/>
                    <w:color w:val="000000"/>
                    <w:sz w:val="20"/>
                    <w:lang w:val="en-US"/>
                  </w:rPr>
                </w:pPr>
              </w:p>
              <w:p w14:paraId="0877FFED" w14:textId="77777777" w:rsidR="007D7881" w:rsidRDefault="007D7881" w:rsidP="00066F34">
                <w:pPr>
                  <w:spacing w:after="0" w:line="240" w:lineRule="auto"/>
                  <w:ind w:left="-227"/>
                  <w:rPr>
                    <w:rFonts w:eastAsia="Times New Roman" w:cs="Calibri"/>
                    <w:b/>
                    <w:bCs/>
                    <w:color w:val="000000"/>
                    <w:sz w:val="20"/>
                    <w:lang w:val="en-US"/>
                  </w:rPr>
                </w:pPr>
              </w:p>
            </w:tc>
          </w:tr>
        </w:tbl>
        <w:p w14:paraId="21D81040" w14:textId="77777777" w:rsidR="007D7881" w:rsidRDefault="007D7881" w:rsidP="007D7881">
          <w:pPr>
            <w:pStyle w:val="Header"/>
          </w:pPr>
        </w:p>
        <w:p w14:paraId="78F425D0" w14:textId="77777777" w:rsidR="007D7881" w:rsidRDefault="007D7881" w:rsidP="007D7881">
          <w:pPr>
            <w:pStyle w:val="Header"/>
          </w:pPr>
        </w:p>
        <w:p w14:paraId="495B901A" w14:textId="77777777" w:rsidR="00065D26" w:rsidRDefault="00DC3C97">
          <w:pPr>
            <w:spacing w:after="200" w:line="276" w:lineRule="auto"/>
            <w:rPr>
              <w:sz w:val="6"/>
              <w:szCs w:val="6"/>
            </w:rPr>
          </w:pPr>
        </w:p>
      </w:sdtContent>
    </w:sdt>
    <w:p w14:paraId="58B412E1" w14:textId="77777777" w:rsidR="00BA4F89" w:rsidRPr="00DD6590" w:rsidRDefault="00BA4F89" w:rsidP="00BA4F89">
      <w:pPr>
        <w:pStyle w:val="Sectiontitle"/>
        <w:outlineLvl w:val="0"/>
      </w:pPr>
      <w:bookmarkStart w:id="0" w:name="_Toc10709697"/>
      <w:r>
        <w:lastRenderedPageBreak/>
        <w:t>Obsah</w:t>
      </w:r>
      <w:bookmarkEnd w:id="0"/>
    </w:p>
    <w:sdt>
      <w:sdtPr>
        <w:rPr>
          <w:sz w:val="18"/>
        </w:rPr>
        <w:id w:val="2085184084"/>
        <w:docPartObj>
          <w:docPartGallery w:val="Table of Contents"/>
          <w:docPartUnique/>
        </w:docPartObj>
      </w:sdtPr>
      <w:sdtEndPr>
        <w:rPr>
          <w:rFonts w:ascii="Verdana" w:hAnsi="Verdana"/>
          <w:b/>
          <w:bCs/>
          <w:noProof/>
          <w:szCs w:val="18"/>
        </w:rPr>
      </w:sdtEndPr>
      <w:sdtContent>
        <w:p w14:paraId="0F452EFD" w14:textId="781DB374" w:rsidR="004E3E7D" w:rsidRPr="004E3E7D" w:rsidRDefault="00DC7AC4" w:rsidP="004E3E7D">
          <w:pPr>
            <w:pStyle w:val="TOC1"/>
            <w:tabs>
              <w:tab w:val="right" w:leader="dot" w:pos="9344"/>
            </w:tabs>
            <w:spacing w:after="0" w:line="288" w:lineRule="auto"/>
            <w:rPr>
              <w:rFonts w:eastAsiaTheme="minorEastAsia"/>
              <w:noProof/>
              <w:sz w:val="18"/>
              <w:szCs w:val="18"/>
              <w:lang w:eastAsia="sk-SK"/>
            </w:rPr>
          </w:pPr>
          <w:r w:rsidRPr="004E3E7D">
            <w:rPr>
              <w:rFonts w:ascii="Verdana" w:hAnsi="Verdana"/>
              <w:b/>
              <w:bCs/>
              <w:noProof/>
              <w:sz w:val="18"/>
              <w:szCs w:val="18"/>
            </w:rPr>
            <w:fldChar w:fldCharType="begin"/>
          </w:r>
          <w:r w:rsidRPr="004E3E7D">
            <w:rPr>
              <w:rFonts w:ascii="Verdana" w:hAnsi="Verdana"/>
              <w:b/>
              <w:bCs/>
              <w:noProof/>
              <w:sz w:val="18"/>
              <w:szCs w:val="18"/>
            </w:rPr>
            <w:instrText xml:space="preserve"> TOC \o "1-3" \h \z \u </w:instrText>
          </w:r>
          <w:r w:rsidRPr="004E3E7D">
            <w:rPr>
              <w:rFonts w:ascii="Verdana" w:hAnsi="Verdana"/>
              <w:b/>
              <w:bCs/>
              <w:noProof/>
              <w:sz w:val="18"/>
              <w:szCs w:val="18"/>
            </w:rPr>
            <w:fldChar w:fldCharType="separate"/>
          </w:r>
          <w:hyperlink w:anchor="_Toc10709697" w:history="1">
            <w:r w:rsidR="004E3E7D" w:rsidRPr="004E3E7D">
              <w:rPr>
                <w:rStyle w:val="Hyperlink"/>
                <w:noProof/>
                <w:sz w:val="18"/>
                <w:szCs w:val="18"/>
              </w:rPr>
              <w:t>Obsah</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_Toc10709697 \h </w:instrText>
            </w:r>
            <w:r w:rsidR="004E3E7D" w:rsidRPr="004E3E7D">
              <w:rPr>
                <w:noProof/>
                <w:webHidden/>
                <w:sz w:val="18"/>
                <w:szCs w:val="18"/>
              </w:rPr>
            </w:r>
            <w:r w:rsidR="004E3E7D" w:rsidRPr="004E3E7D">
              <w:rPr>
                <w:noProof/>
                <w:webHidden/>
                <w:sz w:val="18"/>
                <w:szCs w:val="18"/>
              </w:rPr>
              <w:fldChar w:fldCharType="separate"/>
            </w:r>
            <w:r w:rsidR="00DC3C97">
              <w:rPr>
                <w:noProof/>
                <w:webHidden/>
                <w:sz w:val="18"/>
                <w:szCs w:val="18"/>
              </w:rPr>
              <w:t>1</w:t>
            </w:r>
            <w:r w:rsidR="004E3E7D" w:rsidRPr="004E3E7D">
              <w:rPr>
                <w:noProof/>
                <w:webHidden/>
                <w:sz w:val="18"/>
                <w:szCs w:val="18"/>
              </w:rPr>
              <w:fldChar w:fldCharType="end"/>
            </w:r>
          </w:hyperlink>
        </w:p>
        <w:p w14:paraId="6C284CF1" w14:textId="01BE4A64"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698" w:history="1">
            <w:r w:rsidR="004E3E7D" w:rsidRPr="004E3E7D">
              <w:rPr>
                <w:rStyle w:val="Hyperlink"/>
                <w:noProof/>
                <w:sz w:val="18"/>
                <w:szCs w:val="18"/>
              </w:rPr>
              <w:t>Manažérske zhrnutie</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_Toc10709698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4</w:t>
            </w:r>
            <w:r w:rsidR="004E3E7D" w:rsidRPr="004E3E7D">
              <w:rPr>
                <w:noProof/>
                <w:webHidden/>
                <w:sz w:val="18"/>
                <w:szCs w:val="18"/>
              </w:rPr>
              <w:fldChar w:fldCharType="end"/>
            </w:r>
          </w:hyperlink>
        </w:p>
        <w:p w14:paraId="611C99C2" w14:textId="1F52D3A1"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699" w:history="1">
            <w:r w:rsidR="004E3E7D" w:rsidRPr="004E3E7D">
              <w:rPr>
                <w:rStyle w:val="Hyperlink"/>
                <w:noProof/>
                <w:sz w:val="18"/>
                <w:szCs w:val="18"/>
                <w:lang w:val="en-GB"/>
              </w:rPr>
              <w:t>Executive Summary</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_Toc10709699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9</w:t>
            </w:r>
            <w:r w:rsidR="004E3E7D" w:rsidRPr="004E3E7D">
              <w:rPr>
                <w:noProof/>
                <w:webHidden/>
                <w:sz w:val="18"/>
                <w:szCs w:val="18"/>
              </w:rPr>
              <w:fldChar w:fldCharType="end"/>
            </w:r>
          </w:hyperlink>
        </w:p>
        <w:p w14:paraId="21438A02" w14:textId="1973EA40"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00" w:history="1">
            <w:r w:rsidR="004E3E7D" w:rsidRPr="004E3E7D">
              <w:rPr>
                <w:rStyle w:val="Hyperlink"/>
                <w:noProof/>
                <w:sz w:val="18"/>
                <w:szCs w:val="18"/>
              </w:rPr>
              <w:t>Úvod</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_Toc10709700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14</w:t>
            </w:r>
            <w:r w:rsidR="004E3E7D" w:rsidRPr="004E3E7D">
              <w:rPr>
                <w:noProof/>
                <w:webHidden/>
                <w:sz w:val="18"/>
                <w:szCs w:val="18"/>
              </w:rPr>
              <w:fldChar w:fldCharType="end"/>
            </w:r>
          </w:hyperlink>
        </w:p>
        <w:p w14:paraId="37124319" w14:textId="6907B5F6"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01" w:history="1">
            <w:r w:rsidR="004E3E7D" w:rsidRPr="004E3E7D">
              <w:rPr>
                <w:rStyle w:val="Hyperlink"/>
                <w:noProof/>
                <w:sz w:val="18"/>
                <w:szCs w:val="18"/>
              </w:rPr>
              <w:t>Predmet a cieľ hodnotenia</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_Toc10709701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14</w:t>
            </w:r>
            <w:r w:rsidR="004E3E7D" w:rsidRPr="004E3E7D">
              <w:rPr>
                <w:noProof/>
                <w:webHidden/>
                <w:sz w:val="18"/>
                <w:szCs w:val="18"/>
              </w:rPr>
              <w:fldChar w:fldCharType="end"/>
            </w:r>
          </w:hyperlink>
        </w:p>
        <w:p w14:paraId="52A4DDCA" w14:textId="13BC6FBC"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02" w:history="1">
            <w:r w:rsidR="004E3E7D" w:rsidRPr="004E3E7D">
              <w:rPr>
                <w:rStyle w:val="Hyperlink"/>
                <w:noProof/>
                <w:sz w:val="18"/>
                <w:szCs w:val="18"/>
              </w:rPr>
              <w:t>Štruktúra dokumentu</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_Toc10709702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14</w:t>
            </w:r>
            <w:r w:rsidR="004E3E7D" w:rsidRPr="004E3E7D">
              <w:rPr>
                <w:noProof/>
                <w:webHidden/>
                <w:sz w:val="18"/>
                <w:szCs w:val="18"/>
              </w:rPr>
              <w:fldChar w:fldCharType="end"/>
            </w:r>
          </w:hyperlink>
        </w:p>
        <w:p w14:paraId="19DD61B5" w14:textId="78A4A05B"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03" w:history="1">
            <w:r w:rsidR="004E3E7D" w:rsidRPr="004E3E7D">
              <w:rPr>
                <w:rStyle w:val="Hyperlink"/>
                <w:noProof/>
                <w:sz w:val="18"/>
                <w:szCs w:val="18"/>
              </w:rPr>
              <w:t>Metodika</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_Toc10709703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15</w:t>
            </w:r>
            <w:r w:rsidR="004E3E7D" w:rsidRPr="004E3E7D">
              <w:rPr>
                <w:noProof/>
                <w:webHidden/>
                <w:sz w:val="18"/>
                <w:szCs w:val="18"/>
              </w:rPr>
              <w:fldChar w:fldCharType="end"/>
            </w:r>
          </w:hyperlink>
        </w:p>
        <w:p w14:paraId="5CFA0FA1" w14:textId="0B2F74E7"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04" w:history="1">
            <w:r w:rsidR="004E3E7D" w:rsidRPr="004E3E7D">
              <w:rPr>
                <w:rStyle w:val="Hyperlink"/>
                <w:noProof/>
                <w:sz w:val="18"/>
                <w:szCs w:val="18"/>
              </w:rPr>
              <w:t>Zber sekundárnych dát</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_Toc10709704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16</w:t>
            </w:r>
            <w:r w:rsidR="004E3E7D" w:rsidRPr="004E3E7D">
              <w:rPr>
                <w:noProof/>
                <w:webHidden/>
                <w:sz w:val="18"/>
                <w:szCs w:val="18"/>
              </w:rPr>
              <w:fldChar w:fldCharType="end"/>
            </w:r>
          </w:hyperlink>
        </w:p>
        <w:p w14:paraId="00367A25" w14:textId="5C586AF6"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05" w:history="1">
            <w:r w:rsidR="004E3E7D" w:rsidRPr="004E3E7D">
              <w:rPr>
                <w:rStyle w:val="Hyperlink"/>
                <w:noProof/>
                <w:sz w:val="18"/>
                <w:szCs w:val="18"/>
              </w:rPr>
              <w:t>Terénny prieskum – primárne dáta</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_Toc10709705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16</w:t>
            </w:r>
            <w:r w:rsidR="004E3E7D" w:rsidRPr="004E3E7D">
              <w:rPr>
                <w:noProof/>
                <w:webHidden/>
                <w:sz w:val="18"/>
                <w:szCs w:val="18"/>
              </w:rPr>
              <w:fldChar w:fldCharType="end"/>
            </w:r>
          </w:hyperlink>
        </w:p>
        <w:p w14:paraId="44F88B13" w14:textId="3A911CB6" w:rsidR="004E3E7D" w:rsidRPr="004E3E7D" w:rsidRDefault="00DC3C97" w:rsidP="004E3E7D">
          <w:pPr>
            <w:pStyle w:val="TOC2"/>
            <w:tabs>
              <w:tab w:val="right" w:leader="dot" w:pos="9344"/>
            </w:tabs>
            <w:spacing w:after="0"/>
            <w:rPr>
              <w:rFonts w:eastAsiaTheme="minorEastAsia"/>
              <w:noProof/>
              <w:szCs w:val="18"/>
              <w:lang w:eastAsia="sk-SK"/>
            </w:rPr>
          </w:pPr>
          <w:hyperlink w:anchor="_Toc10709706" w:history="1">
            <w:r w:rsidR="004E3E7D" w:rsidRPr="004E3E7D">
              <w:rPr>
                <w:rStyle w:val="Hyperlink"/>
                <w:noProof/>
                <w:szCs w:val="18"/>
              </w:rPr>
              <w:t>Dotazníkový prieskum</w:t>
            </w:r>
            <w:r w:rsidR="004E3E7D" w:rsidRPr="004E3E7D">
              <w:rPr>
                <w:noProof/>
                <w:webHidden/>
                <w:szCs w:val="18"/>
              </w:rPr>
              <w:tab/>
            </w:r>
            <w:r w:rsidR="004E3E7D" w:rsidRPr="004E3E7D">
              <w:rPr>
                <w:noProof/>
                <w:webHidden/>
                <w:szCs w:val="18"/>
              </w:rPr>
              <w:fldChar w:fldCharType="begin"/>
            </w:r>
            <w:r w:rsidR="004E3E7D" w:rsidRPr="004E3E7D">
              <w:rPr>
                <w:noProof/>
                <w:webHidden/>
                <w:szCs w:val="18"/>
              </w:rPr>
              <w:instrText xml:space="preserve"> PAGEREF _Toc10709706 \h </w:instrText>
            </w:r>
            <w:r w:rsidR="004E3E7D" w:rsidRPr="004E3E7D">
              <w:rPr>
                <w:noProof/>
                <w:webHidden/>
                <w:szCs w:val="18"/>
              </w:rPr>
            </w:r>
            <w:r w:rsidR="004E3E7D" w:rsidRPr="004E3E7D">
              <w:rPr>
                <w:noProof/>
                <w:webHidden/>
                <w:szCs w:val="18"/>
              </w:rPr>
              <w:fldChar w:fldCharType="separate"/>
            </w:r>
            <w:r>
              <w:rPr>
                <w:noProof/>
                <w:webHidden/>
                <w:szCs w:val="18"/>
              </w:rPr>
              <w:t>16</w:t>
            </w:r>
            <w:r w:rsidR="004E3E7D" w:rsidRPr="004E3E7D">
              <w:rPr>
                <w:noProof/>
                <w:webHidden/>
                <w:szCs w:val="18"/>
              </w:rPr>
              <w:fldChar w:fldCharType="end"/>
            </w:r>
          </w:hyperlink>
        </w:p>
        <w:p w14:paraId="0DFC2323" w14:textId="6EC32A21" w:rsidR="004E3E7D" w:rsidRPr="004E3E7D" w:rsidRDefault="00DC3C97" w:rsidP="004E3E7D">
          <w:pPr>
            <w:pStyle w:val="TOC2"/>
            <w:tabs>
              <w:tab w:val="right" w:leader="dot" w:pos="9344"/>
            </w:tabs>
            <w:spacing w:after="0"/>
            <w:rPr>
              <w:rFonts w:eastAsiaTheme="minorEastAsia"/>
              <w:noProof/>
              <w:szCs w:val="18"/>
              <w:lang w:eastAsia="sk-SK"/>
            </w:rPr>
          </w:pPr>
          <w:hyperlink w:anchor="_Toc10709707" w:history="1">
            <w:r w:rsidR="004E3E7D" w:rsidRPr="004E3E7D">
              <w:rPr>
                <w:rStyle w:val="Hyperlink"/>
                <w:noProof/>
                <w:szCs w:val="18"/>
              </w:rPr>
              <w:t>Individuálne rozhovory</w:t>
            </w:r>
            <w:r w:rsidR="004E3E7D" w:rsidRPr="004E3E7D">
              <w:rPr>
                <w:noProof/>
                <w:webHidden/>
                <w:szCs w:val="18"/>
              </w:rPr>
              <w:tab/>
            </w:r>
            <w:r w:rsidR="004E3E7D" w:rsidRPr="004E3E7D">
              <w:rPr>
                <w:noProof/>
                <w:webHidden/>
                <w:szCs w:val="18"/>
              </w:rPr>
              <w:fldChar w:fldCharType="begin"/>
            </w:r>
            <w:r w:rsidR="004E3E7D" w:rsidRPr="004E3E7D">
              <w:rPr>
                <w:noProof/>
                <w:webHidden/>
                <w:szCs w:val="18"/>
              </w:rPr>
              <w:instrText xml:space="preserve"> PAGEREF _Toc10709707 \h </w:instrText>
            </w:r>
            <w:r w:rsidR="004E3E7D" w:rsidRPr="004E3E7D">
              <w:rPr>
                <w:noProof/>
                <w:webHidden/>
                <w:szCs w:val="18"/>
              </w:rPr>
            </w:r>
            <w:r w:rsidR="004E3E7D" w:rsidRPr="004E3E7D">
              <w:rPr>
                <w:noProof/>
                <w:webHidden/>
                <w:szCs w:val="18"/>
              </w:rPr>
              <w:fldChar w:fldCharType="separate"/>
            </w:r>
            <w:r>
              <w:rPr>
                <w:noProof/>
                <w:webHidden/>
                <w:szCs w:val="18"/>
              </w:rPr>
              <w:t>17</w:t>
            </w:r>
            <w:r w:rsidR="004E3E7D" w:rsidRPr="004E3E7D">
              <w:rPr>
                <w:noProof/>
                <w:webHidden/>
                <w:szCs w:val="18"/>
              </w:rPr>
              <w:fldChar w:fldCharType="end"/>
            </w:r>
          </w:hyperlink>
        </w:p>
        <w:p w14:paraId="1CDC9F4D" w14:textId="7DF10B7A"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08" w:history="1">
            <w:r w:rsidR="004E3E7D" w:rsidRPr="004E3E7D">
              <w:rPr>
                <w:rStyle w:val="Hyperlink"/>
                <w:noProof/>
                <w:sz w:val="18"/>
                <w:szCs w:val="18"/>
                <w:lang w:val="en-US"/>
              </w:rPr>
              <w:t>Desk research</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_Toc10709708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17</w:t>
            </w:r>
            <w:r w:rsidR="004E3E7D" w:rsidRPr="004E3E7D">
              <w:rPr>
                <w:noProof/>
                <w:webHidden/>
                <w:sz w:val="18"/>
                <w:szCs w:val="18"/>
              </w:rPr>
              <w:fldChar w:fldCharType="end"/>
            </w:r>
          </w:hyperlink>
        </w:p>
        <w:p w14:paraId="56D81F8B" w14:textId="2366F5D8"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09" w:history="1">
            <w:r w:rsidR="004E3E7D" w:rsidRPr="004E3E7D">
              <w:rPr>
                <w:rStyle w:val="Hyperlink"/>
                <w:noProof/>
                <w:sz w:val="18"/>
                <w:szCs w:val="18"/>
              </w:rPr>
              <w:t>Výsledky analýzy</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_Toc10709709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19</w:t>
            </w:r>
            <w:r w:rsidR="004E3E7D" w:rsidRPr="004E3E7D">
              <w:rPr>
                <w:noProof/>
                <w:webHidden/>
                <w:sz w:val="18"/>
                <w:szCs w:val="18"/>
              </w:rPr>
              <w:fldChar w:fldCharType="end"/>
            </w:r>
          </w:hyperlink>
        </w:p>
        <w:p w14:paraId="3C3EF7C8" w14:textId="47E41C05"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10" w:history="1">
            <w:r w:rsidR="004E3E7D" w:rsidRPr="004E3E7D">
              <w:rPr>
                <w:rStyle w:val="Hyperlink"/>
                <w:noProof/>
                <w:sz w:val="18"/>
                <w:szCs w:val="18"/>
              </w:rPr>
              <w:t>Zistenia</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_Toc10709710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22</w:t>
            </w:r>
            <w:r w:rsidR="004E3E7D" w:rsidRPr="004E3E7D">
              <w:rPr>
                <w:noProof/>
                <w:webHidden/>
                <w:sz w:val="18"/>
                <w:szCs w:val="18"/>
              </w:rPr>
              <w:fldChar w:fldCharType="end"/>
            </w:r>
          </w:hyperlink>
        </w:p>
        <w:p w14:paraId="56B476CA" w14:textId="3524D217"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11" w:history="1">
            <w:r w:rsidR="004E3E7D" w:rsidRPr="004E3E7D">
              <w:rPr>
                <w:rStyle w:val="Hyperlink"/>
                <w:noProof/>
                <w:sz w:val="18"/>
                <w:szCs w:val="18"/>
              </w:rPr>
              <w:t>Hlavné zistenia analýzy Prioritnej osi 1 – Železničná infraštruktúra (TEN-T CORE) a obnova mobilných prostriedkov</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_Toc10709711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22</w:t>
            </w:r>
            <w:r w:rsidR="004E3E7D" w:rsidRPr="004E3E7D">
              <w:rPr>
                <w:noProof/>
                <w:webHidden/>
                <w:sz w:val="18"/>
                <w:szCs w:val="18"/>
              </w:rPr>
              <w:fldChar w:fldCharType="end"/>
            </w:r>
          </w:hyperlink>
        </w:p>
        <w:p w14:paraId="643E19FE" w14:textId="6EB71650"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12" w:history="1">
            <w:r w:rsidR="004E3E7D" w:rsidRPr="004E3E7D">
              <w:rPr>
                <w:rStyle w:val="Hyperlink"/>
                <w:noProof/>
                <w:sz w:val="18"/>
                <w:szCs w:val="18"/>
              </w:rPr>
              <w:t>Hlavné zistenia analýzy Prioritnej osi 2 – Cestná infraštruktúra (TEN-T)</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_Toc10709712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25</w:t>
            </w:r>
            <w:r w:rsidR="004E3E7D" w:rsidRPr="004E3E7D">
              <w:rPr>
                <w:noProof/>
                <w:webHidden/>
                <w:sz w:val="18"/>
                <w:szCs w:val="18"/>
              </w:rPr>
              <w:fldChar w:fldCharType="end"/>
            </w:r>
          </w:hyperlink>
        </w:p>
        <w:p w14:paraId="3D7813B8" w14:textId="297B2B1D"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13" w:history="1">
            <w:r w:rsidR="004E3E7D" w:rsidRPr="004E3E7D">
              <w:rPr>
                <w:rStyle w:val="Hyperlink"/>
                <w:noProof/>
                <w:sz w:val="18"/>
                <w:szCs w:val="18"/>
              </w:rPr>
              <w:t>Hlavné zistenia analýzy Prioritnej osi 3 – Verejná osobná doprava</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_Toc10709713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25</w:t>
            </w:r>
            <w:r w:rsidR="004E3E7D" w:rsidRPr="004E3E7D">
              <w:rPr>
                <w:noProof/>
                <w:webHidden/>
                <w:sz w:val="18"/>
                <w:szCs w:val="18"/>
              </w:rPr>
              <w:fldChar w:fldCharType="end"/>
            </w:r>
          </w:hyperlink>
        </w:p>
        <w:p w14:paraId="429949A4" w14:textId="0F93F715"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14" w:history="1">
            <w:r w:rsidR="004E3E7D" w:rsidRPr="004E3E7D">
              <w:rPr>
                <w:rStyle w:val="Hyperlink"/>
                <w:noProof/>
                <w:sz w:val="18"/>
                <w:szCs w:val="18"/>
              </w:rPr>
              <w:t>Hlavné zistenie analýzy Prioritnej osi 4 – Infraštruktúra vodnej dopravy (TEN-T CORE)</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_Toc10709714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28</w:t>
            </w:r>
            <w:r w:rsidR="004E3E7D" w:rsidRPr="004E3E7D">
              <w:rPr>
                <w:noProof/>
                <w:webHidden/>
                <w:sz w:val="18"/>
                <w:szCs w:val="18"/>
              </w:rPr>
              <w:fldChar w:fldCharType="end"/>
            </w:r>
          </w:hyperlink>
        </w:p>
        <w:p w14:paraId="0DAB0394" w14:textId="0D344E9A"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15" w:history="1">
            <w:r w:rsidR="004E3E7D" w:rsidRPr="004E3E7D">
              <w:rPr>
                <w:rStyle w:val="Hyperlink"/>
                <w:noProof/>
                <w:sz w:val="18"/>
                <w:szCs w:val="18"/>
              </w:rPr>
              <w:t>Hlavné zistenia analýzy Prioritnej osi 5 – Železničná infraštruktúra</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_Toc10709715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29</w:t>
            </w:r>
            <w:r w:rsidR="004E3E7D" w:rsidRPr="004E3E7D">
              <w:rPr>
                <w:noProof/>
                <w:webHidden/>
                <w:sz w:val="18"/>
                <w:szCs w:val="18"/>
              </w:rPr>
              <w:fldChar w:fldCharType="end"/>
            </w:r>
          </w:hyperlink>
        </w:p>
        <w:p w14:paraId="74B506ED" w14:textId="760DF5BA"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16" w:history="1">
            <w:r w:rsidR="004E3E7D" w:rsidRPr="004E3E7D">
              <w:rPr>
                <w:rStyle w:val="Hyperlink"/>
                <w:noProof/>
                <w:sz w:val="18"/>
                <w:szCs w:val="18"/>
              </w:rPr>
              <w:t>Hlavné zistenia analýzy Prioritnej osi 6 – Cestná infraštruktúra (mimo TEN-T CORE)</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_Toc10709716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32</w:t>
            </w:r>
            <w:r w:rsidR="004E3E7D" w:rsidRPr="004E3E7D">
              <w:rPr>
                <w:noProof/>
                <w:webHidden/>
                <w:sz w:val="18"/>
                <w:szCs w:val="18"/>
              </w:rPr>
              <w:fldChar w:fldCharType="end"/>
            </w:r>
          </w:hyperlink>
        </w:p>
        <w:p w14:paraId="5FD79AD9" w14:textId="55470E6A"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17" w:history="1">
            <w:r w:rsidR="004E3E7D" w:rsidRPr="004E3E7D">
              <w:rPr>
                <w:rStyle w:val="Hyperlink"/>
                <w:noProof/>
                <w:sz w:val="18"/>
                <w:szCs w:val="18"/>
              </w:rPr>
              <w:t>Hlavné zistenia analýzy Prioritnej osi 7 – Informačná spoločnosť</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_Toc10709717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35</w:t>
            </w:r>
            <w:r w:rsidR="004E3E7D" w:rsidRPr="004E3E7D">
              <w:rPr>
                <w:noProof/>
                <w:webHidden/>
                <w:sz w:val="18"/>
                <w:szCs w:val="18"/>
              </w:rPr>
              <w:fldChar w:fldCharType="end"/>
            </w:r>
          </w:hyperlink>
        </w:p>
        <w:p w14:paraId="6D5C4E45" w14:textId="1769B14A"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18" w:history="1">
            <w:r w:rsidR="004E3E7D" w:rsidRPr="004E3E7D">
              <w:rPr>
                <w:rStyle w:val="Hyperlink"/>
                <w:noProof/>
                <w:sz w:val="18"/>
                <w:szCs w:val="18"/>
              </w:rPr>
              <w:t>Závery a odporúčania</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_Toc10709718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37</w:t>
            </w:r>
            <w:r w:rsidR="004E3E7D" w:rsidRPr="004E3E7D">
              <w:rPr>
                <w:noProof/>
                <w:webHidden/>
                <w:sz w:val="18"/>
                <w:szCs w:val="18"/>
              </w:rPr>
              <w:fldChar w:fldCharType="end"/>
            </w:r>
          </w:hyperlink>
        </w:p>
        <w:p w14:paraId="0933AC4C" w14:textId="724D22A3"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19" w:history="1">
            <w:r w:rsidR="004E3E7D" w:rsidRPr="004E3E7D">
              <w:rPr>
                <w:rStyle w:val="Hyperlink"/>
                <w:noProof/>
                <w:sz w:val="18"/>
                <w:szCs w:val="18"/>
              </w:rPr>
              <w:t>Hodnotiaca otázka 1</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_Toc10709719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37</w:t>
            </w:r>
            <w:r w:rsidR="004E3E7D" w:rsidRPr="004E3E7D">
              <w:rPr>
                <w:noProof/>
                <w:webHidden/>
                <w:sz w:val="18"/>
                <w:szCs w:val="18"/>
              </w:rPr>
              <w:fldChar w:fldCharType="end"/>
            </w:r>
          </w:hyperlink>
        </w:p>
        <w:p w14:paraId="1E65A392" w14:textId="11262CBB"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20" w:history="1">
            <w:r w:rsidR="004E3E7D" w:rsidRPr="004E3E7D">
              <w:rPr>
                <w:rStyle w:val="Hyperlink"/>
                <w:noProof/>
                <w:sz w:val="18"/>
                <w:szCs w:val="18"/>
              </w:rPr>
              <w:t>Hodnotiaca otázka 2</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_Toc10709720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40</w:t>
            </w:r>
            <w:r w:rsidR="004E3E7D" w:rsidRPr="004E3E7D">
              <w:rPr>
                <w:noProof/>
                <w:webHidden/>
                <w:sz w:val="18"/>
                <w:szCs w:val="18"/>
              </w:rPr>
              <w:fldChar w:fldCharType="end"/>
            </w:r>
          </w:hyperlink>
        </w:p>
        <w:p w14:paraId="3C40E836" w14:textId="00E8CB42"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21" w:history="1">
            <w:r w:rsidR="004E3E7D" w:rsidRPr="004E3E7D">
              <w:rPr>
                <w:rStyle w:val="Hyperlink"/>
                <w:noProof/>
                <w:sz w:val="18"/>
                <w:szCs w:val="18"/>
              </w:rPr>
              <w:t>Hodnotiaca otázka 3</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_Toc10709721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44</w:t>
            </w:r>
            <w:r w:rsidR="004E3E7D" w:rsidRPr="004E3E7D">
              <w:rPr>
                <w:noProof/>
                <w:webHidden/>
                <w:sz w:val="18"/>
                <w:szCs w:val="18"/>
              </w:rPr>
              <w:fldChar w:fldCharType="end"/>
            </w:r>
          </w:hyperlink>
        </w:p>
        <w:p w14:paraId="21194718" w14:textId="533601E9"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22" w:history="1">
            <w:r w:rsidR="004E3E7D" w:rsidRPr="004E3E7D">
              <w:rPr>
                <w:rStyle w:val="Hyperlink"/>
                <w:noProof/>
                <w:sz w:val="18"/>
                <w:szCs w:val="18"/>
              </w:rPr>
              <w:t>Hodnotiaca otázka 4</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_Toc10709722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50</w:t>
            </w:r>
            <w:r w:rsidR="004E3E7D" w:rsidRPr="004E3E7D">
              <w:rPr>
                <w:noProof/>
                <w:webHidden/>
                <w:sz w:val="18"/>
                <w:szCs w:val="18"/>
              </w:rPr>
              <w:fldChar w:fldCharType="end"/>
            </w:r>
          </w:hyperlink>
        </w:p>
        <w:p w14:paraId="61C937A3" w14:textId="06B25858"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23" w:history="1">
            <w:r w:rsidR="004E3E7D" w:rsidRPr="004E3E7D">
              <w:rPr>
                <w:rStyle w:val="Hyperlink"/>
                <w:noProof/>
                <w:sz w:val="18"/>
                <w:szCs w:val="18"/>
              </w:rPr>
              <w:t>Kľúčové zistenia a odporúčania</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_Toc10709723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52</w:t>
            </w:r>
            <w:r w:rsidR="004E3E7D" w:rsidRPr="004E3E7D">
              <w:rPr>
                <w:noProof/>
                <w:webHidden/>
                <w:sz w:val="18"/>
                <w:szCs w:val="18"/>
              </w:rPr>
              <w:fldChar w:fldCharType="end"/>
            </w:r>
          </w:hyperlink>
        </w:p>
        <w:p w14:paraId="7F6852D6" w14:textId="5D8A54DD" w:rsidR="004E3E7D" w:rsidRPr="004E3E7D" w:rsidRDefault="00DC3C97" w:rsidP="004E3E7D">
          <w:pPr>
            <w:pStyle w:val="TOC1"/>
            <w:tabs>
              <w:tab w:val="right" w:leader="dot" w:pos="9344"/>
            </w:tabs>
            <w:spacing w:after="0" w:line="288" w:lineRule="auto"/>
            <w:rPr>
              <w:rFonts w:eastAsiaTheme="minorEastAsia"/>
              <w:noProof/>
              <w:sz w:val="18"/>
              <w:szCs w:val="18"/>
              <w:lang w:eastAsia="sk-SK"/>
            </w:rPr>
          </w:pPr>
          <w:hyperlink w:anchor="_Toc10709724" w:history="1">
            <w:r w:rsidR="004E3E7D" w:rsidRPr="004E3E7D">
              <w:rPr>
                <w:rStyle w:val="Hyperlink"/>
                <w:noProof/>
                <w:sz w:val="18"/>
                <w:szCs w:val="18"/>
              </w:rPr>
              <w:t>Prílohy</w:t>
            </w:r>
            <w:r w:rsidR="004E3E7D" w:rsidRPr="004E3E7D">
              <w:rPr>
                <w:noProof/>
                <w:webHidden/>
                <w:sz w:val="18"/>
                <w:szCs w:val="18"/>
              </w:rPr>
              <w:tab/>
            </w:r>
            <w:r w:rsidR="004E3E7D" w:rsidRPr="004E3E7D">
              <w:rPr>
                <w:noProof/>
                <w:webHidden/>
                <w:sz w:val="18"/>
                <w:szCs w:val="18"/>
              </w:rPr>
              <w:fldChar w:fldCharType="begin"/>
            </w:r>
            <w:r w:rsidR="004E3E7D" w:rsidRPr="004E3E7D">
              <w:rPr>
                <w:noProof/>
                <w:webHidden/>
                <w:sz w:val="18"/>
                <w:szCs w:val="18"/>
              </w:rPr>
              <w:instrText xml:space="preserve"> PAGEREF _Toc10709724 \h </w:instrText>
            </w:r>
            <w:r w:rsidR="004E3E7D" w:rsidRPr="004E3E7D">
              <w:rPr>
                <w:noProof/>
                <w:webHidden/>
                <w:sz w:val="18"/>
                <w:szCs w:val="18"/>
              </w:rPr>
            </w:r>
            <w:r w:rsidR="004E3E7D" w:rsidRPr="004E3E7D">
              <w:rPr>
                <w:noProof/>
                <w:webHidden/>
                <w:sz w:val="18"/>
                <w:szCs w:val="18"/>
              </w:rPr>
              <w:fldChar w:fldCharType="separate"/>
            </w:r>
            <w:r>
              <w:rPr>
                <w:noProof/>
                <w:webHidden/>
                <w:sz w:val="18"/>
                <w:szCs w:val="18"/>
              </w:rPr>
              <w:t>53</w:t>
            </w:r>
            <w:r w:rsidR="004E3E7D" w:rsidRPr="004E3E7D">
              <w:rPr>
                <w:noProof/>
                <w:webHidden/>
                <w:sz w:val="18"/>
                <w:szCs w:val="18"/>
              </w:rPr>
              <w:fldChar w:fldCharType="end"/>
            </w:r>
          </w:hyperlink>
        </w:p>
        <w:p w14:paraId="603EC7CA" w14:textId="77777777" w:rsidR="00DC7AC4" w:rsidRPr="004E3E7D" w:rsidRDefault="00DC7AC4" w:rsidP="004E3E7D">
          <w:pPr>
            <w:tabs>
              <w:tab w:val="left" w:pos="8820"/>
            </w:tabs>
            <w:spacing w:after="0"/>
            <w:ind w:right="84"/>
            <w:jc w:val="left"/>
            <w:rPr>
              <w:rFonts w:ascii="Verdana" w:hAnsi="Verdana"/>
              <w:szCs w:val="18"/>
            </w:rPr>
          </w:pPr>
          <w:r w:rsidRPr="004E3E7D">
            <w:rPr>
              <w:rFonts w:ascii="Verdana" w:hAnsi="Verdana"/>
              <w:b/>
              <w:bCs/>
              <w:noProof/>
              <w:szCs w:val="18"/>
            </w:rPr>
            <w:fldChar w:fldCharType="end"/>
          </w:r>
        </w:p>
      </w:sdtContent>
    </w:sdt>
    <w:p w14:paraId="63836786" w14:textId="77777777" w:rsidR="007D7881" w:rsidRDefault="007D7881">
      <w:pPr>
        <w:spacing w:before="0" w:after="200" w:line="276" w:lineRule="auto"/>
        <w:jc w:val="left"/>
        <w:rPr>
          <w:rFonts w:ascii="Verdana" w:hAnsi="Verdana"/>
          <w:b/>
          <w:color w:val="62B5E5" w:themeColor="accent3"/>
        </w:rPr>
      </w:pPr>
      <w:r>
        <w:rPr>
          <w:rFonts w:ascii="Verdana" w:hAnsi="Verdana"/>
          <w:b/>
          <w:color w:val="62B5E5" w:themeColor="accent3"/>
        </w:rPr>
        <w:br w:type="page"/>
      </w:r>
    </w:p>
    <w:p w14:paraId="43276309" w14:textId="77777777" w:rsidR="000063C9" w:rsidRPr="007C1DC5" w:rsidRDefault="000C1BB4" w:rsidP="006C392F">
      <w:pPr>
        <w:rPr>
          <w:rFonts w:ascii="Verdana" w:hAnsi="Verdana"/>
          <w:b/>
          <w:color w:val="62B5E5" w:themeColor="accent3"/>
        </w:rPr>
      </w:pPr>
      <w:r w:rsidRPr="007C1DC5">
        <w:rPr>
          <w:rFonts w:ascii="Verdana" w:hAnsi="Verdana"/>
          <w:b/>
          <w:color w:val="62B5E5" w:themeColor="accent3"/>
        </w:rPr>
        <w:lastRenderedPageBreak/>
        <w:t>Zoznam tabuliek:</w:t>
      </w:r>
    </w:p>
    <w:p w14:paraId="590F2490" w14:textId="7DF8DE56" w:rsidR="00E664D0" w:rsidRDefault="00BB0829">
      <w:pPr>
        <w:pStyle w:val="TableofFigures"/>
        <w:tabs>
          <w:tab w:val="right" w:leader="dot" w:pos="9344"/>
        </w:tabs>
        <w:rPr>
          <w:rFonts w:eastAsiaTheme="minorEastAsia"/>
          <w:noProof/>
          <w:sz w:val="22"/>
          <w:lang w:eastAsia="sk-SK"/>
        </w:rPr>
      </w:pPr>
      <w:r w:rsidRPr="007C1DC5">
        <w:rPr>
          <w:rFonts w:ascii="Verdana" w:hAnsi="Verdana"/>
        </w:rPr>
        <w:fldChar w:fldCharType="begin"/>
      </w:r>
      <w:r w:rsidRPr="007C1DC5">
        <w:rPr>
          <w:rFonts w:ascii="Verdana" w:hAnsi="Verdana"/>
        </w:rPr>
        <w:instrText xml:space="preserve"> TOC \h \z \c "Tabuľka" </w:instrText>
      </w:r>
      <w:r w:rsidRPr="007C1DC5">
        <w:rPr>
          <w:rFonts w:ascii="Verdana" w:hAnsi="Verdana"/>
        </w:rPr>
        <w:fldChar w:fldCharType="separate"/>
      </w:r>
      <w:hyperlink w:anchor="_Toc9855878" w:history="1">
        <w:r w:rsidR="00E664D0" w:rsidRPr="00E21F66">
          <w:rPr>
            <w:rStyle w:val="Hyperlink"/>
            <w:noProof/>
          </w:rPr>
          <w:t>Tabuľka 1 Alokácia OPII</w:t>
        </w:r>
        <w:r w:rsidR="00E664D0">
          <w:rPr>
            <w:noProof/>
            <w:webHidden/>
          </w:rPr>
          <w:tab/>
        </w:r>
        <w:r w:rsidR="00E664D0">
          <w:rPr>
            <w:noProof/>
            <w:webHidden/>
          </w:rPr>
          <w:fldChar w:fldCharType="begin"/>
        </w:r>
        <w:r w:rsidR="00E664D0">
          <w:rPr>
            <w:noProof/>
            <w:webHidden/>
          </w:rPr>
          <w:instrText xml:space="preserve"> PAGEREF _Toc9855878 \h </w:instrText>
        </w:r>
        <w:r w:rsidR="00E664D0">
          <w:rPr>
            <w:noProof/>
            <w:webHidden/>
          </w:rPr>
        </w:r>
        <w:r w:rsidR="00E664D0">
          <w:rPr>
            <w:noProof/>
            <w:webHidden/>
          </w:rPr>
          <w:fldChar w:fldCharType="separate"/>
        </w:r>
        <w:r w:rsidR="00DC3C97">
          <w:rPr>
            <w:noProof/>
            <w:webHidden/>
          </w:rPr>
          <w:t>19</w:t>
        </w:r>
        <w:r w:rsidR="00E664D0">
          <w:rPr>
            <w:noProof/>
            <w:webHidden/>
          </w:rPr>
          <w:fldChar w:fldCharType="end"/>
        </w:r>
      </w:hyperlink>
    </w:p>
    <w:p w14:paraId="34FA8F6A" w14:textId="126F618F" w:rsidR="00E664D0" w:rsidRDefault="00DC3C97">
      <w:pPr>
        <w:pStyle w:val="TableofFigures"/>
        <w:tabs>
          <w:tab w:val="right" w:leader="dot" w:pos="9344"/>
        </w:tabs>
        <w:rPr>
          <w:rFonts w:eastAsiaTheme="minorEastAsia"/>
          <w:noProof/>
          <w:sz w:val="22"/>
          <w:lang w:eastAsia="sk-SK"/>
        </w:rPr>
      </w:pPr>
      <w:hyperlink w:anchor="_Toc9855879" w:history="1">
        <w:r w:rsidR="00E664D0" w:rsidRPr="00E21F66">
          <w:rPr>
            <w:rStyle w:val="Hyperlink"/>
            <w:noProof/>
          </w:rPr>
          <w:t>Tabuľka 2 Finančné ukazovatele výkonnostného rámca OPII</w:t>
        </w:r>
        <w:r w:rsidR="00E664D0">
          <w:rPr>
            <w:noProof/>
            <w:webHidden/>
          </w:rPr>
          <w:tab/>
        </w:r>
        <w:r w:rsidR="00E664D0">
          <w:rPr>
            <w:noProof/>
            <w:webHidden/>
          </w:rPr>
          <w:fldChar w:fldCharType="begin"/>
        </w:r>
        <w:r w:rsidR="00E664D0">
          <w:rPr>
            <w:noProof/>
            <w:webHidden/>
          </w:rPr>
          <w:instrText xml:space="preserve"> PAGEREF _Toc9855879 \h </w:instrText>
        </w:r>
        <w:r w:rsidR="00E664D0">
          <w:rPr>
            <w:noProof/>
            <w:webHidden/>
          </w:rPr>
        </w:r>
        <w:r w:rsidR="00E664D0">
          <w:rPr>
            <w:noProof/>
            <w:webHidden/>
          </w:rPr>
          <w:fldChar w:fldCharType="separate"/>
        </w:r>
        <w:r>
          <w:rPr>
            <w:noProof/>
            <w:webHidden/>
          </w:rPr>
          <w:t>20</w:t>
        </w:r>
        <w:r w:rsidR="00E664D0">
          <w:rPr>
            <w:noProof/>
            <w:webHidden/>
          </w:rPr>
          <w:fldChar w:fldCharType="end"/>
        </w:r>
      </w:hyperlink>
    </w:p>
    <w:p w14:paraId="0B5CACF4" w14:textId="1C8D1559" w:rsidR="00E664D0" w:rsidRDefault="00DC3C97">
      <w:pPr>
        <w:pStyle w:val="TableofFigures"/>
        <w:tabs>
          <w:tab w:val="right" w:leader="dot" w:pos="9344"/>
        </w:tabs>
        <w:rPr>
          <w:rFonts w:eastAsiaTheme="minorEastAsia"/>
          <w:noProof/>
          <w:sz w:val="22"/>
          <w:lang w:eastAsia="sk-SK"/>
        </w:rPr>
      </w:pPr>
      <w:hyperlink w:anchor="_Toc9855880" w:history="1">
        <w:r w:rsidR="00E664D0" w:rsidRPr="00E21F66">
          <w:rPr>
            <w:rStyle w:val="Hyperlink"/>
            <w:noProof/>
          </w:rPr>
          <w:t>Tabuľka 3 Porovnanie certifikovaných výdavkov a finančných záväzkov</w:t>
        </w:r>
        <w:r w:rsidR="00E664D0">
          <w:rPr>
            <w:noProof/>
            <w:webHidden/>
          </w:rPr>
          <w:tab/>
        </w:r>
        <w:r w:rsidR="00E664D0">
          <w:rPr>
            <w:noProof/>
            <w:webHidden/>
          </w:rPr>
          <w:fldChar w:fldCharType="begin"/>
        </w:r>
        <w:r w:rsidR="00E664D0">
          <w:rPr>
            <w:noProof/>
            <w:webHidden/>
          </w:rPr>
          <w:instrText xml:space="preserve"> PAGEREF _Toc9855880 \h </w:instrText>
        </w:r>
        <w:r w:rsidR="00E664D0">
          <w:rPr>
            <w:noProof/>
            <w:webHidden/>
          </w:rPr>
        </w:r>
        <w:r w:rsidR="00E664D0">
          <w:rPr>
            <w:noProof/>
            <w:webHidden/>
          </w:rPr>
          <w:fldChar w:fldCharType="separate"/>
        </w:r>
        <w:r>
          <w:rPr>
            <w:noProof/>
            <w:webHidden/>
          </w:rPr>
          <w:t>41</w:t>
        </w:r>
        <w:r w:rsidR="00E664D0">
          <w:rPr>
            <w:noProof/>
            <w:webHidden/>
          </w:rPr>
          <w:fldChar w:fldCharType="end"/>
        </w:r>
      </w:hyperlink>
    </w:p>
    <w:p w14:paraId="7D63BF24" w14:textId="0FE7313E" w:rsidR="00E664D0" w:rsidRDefault="00DC3C97">
      <w:pPr>
        <w:pStyle w:val="TableofFigures"/>
        <w:tabs>
          <w:tab w:val="right" w:leader="dot" w:pos="9344"/>
        </w:tabs>
        <w:rPr>
          <w:rFonts w:eastAsiaTheme="minorEastAsia"/>
          <w:noProof/>
          <w:sz w:val="22"/>
          <w:lang w:eastAsia="sk-SK"/>
        </w:rPr>
      </w:pPr>
      <w:hyperlink w:anchor="_Toc9855881" w:history="1">
        <w:r w:rsidR="00E664D0" w:rsidRPr="00E21F66">
          <w:rPr>
            <w:rStyle w:val="Hyperlink"/>
            <w:noProof/>
          </w:rPr>
          <w:t>Tabuľka 4 Odhadované čerpanie zazmluvnených projektov a plnenie finančných záväzkov</w:t>
        </w:r>
        <w:r w:rsidR="00E664D0">
          <w:rPr>
            <w:noProof/>
            <w:webHidden/>
          </w:rPr>
          <w:tab/>
        </w:r>
        <w:r w:rsidR="00E664D0">
          <w:rPr>
            <w:noProof/>
            <w:webHidden/>
          </w:rPr>
          <w:fldChar w:fldCharType="begin"/>
        </w:r>
        <w:r w:rsidR="00E664D0">
          <w:rPr>
            <w:noProof/>
            <w:webHidden/>
          </w:rPr>
          <w:instrText xml:space="preserve"> PAGEREF _Toc9855881 \h </w:instrText>
        </w:r>
        <w:r w:rsidR="00E664D0">
          <w:rPr>
            <w:noProof/>
            <w:webHidden/>
          </w:rPr>
        </w:r>
        <w:r w:rsidR="00E664D0">
          <w:rPr>
            <w:noProof/>
            <w:webHidden/>
          </w:rPr>
          <w:fldChar w:fldCharType="separate"/>
        </w:r>
        <w:r>
          <w:rPr>
            <w:noProof/>
            <w:webHidden/>
          </w:rPr>
          <w:t>42</w:t>
        </w:r>
        <w:r w:rsidR="00E664D0">
          <w:rPr>
            <w:noProof/>
            <w:webHidden/>
          </w:rPr>
          <w:fldChar w:fldCharType="end"/>
        </w:r>
      </w:hyperlink>
    </w:p>
    <w:p w14:paraId="76A8B240" w14:textId="7430A579" w:rsidR="00E664D0" w:rsidRDefault="00DC3C97">
      <w:pPr>
        <w:pStyle w:val="TableofFigures"/>
        <w:tabs>
          <w:tab w:val="right" w:leader="dot" w:pos="9344"/>
        </w:tabs>
        <w:rPr>
          <w:rFonts w:eastAsiaTheme="minorEastAsia"/>
          <w:noProof/>
          <w:sz w:val="22"/>
          <w:lang w:eastAsia="sk-SK"/>
        </w:rPr>
      </w:pPr>
      <w:hyperlink w:anchor="_Toc9855882" w:history="1">
        <w:r w:rsidR="00E664D0" w:rsidRPr="00E21F66">
          <w:rPr>
            <w:rStyle w:val="Hyperlink"/>
            <w:noProof/>
          </w:rPr>
          <w:t>Tabuľka 5 Minimálne hranice čerpania OPII (kumulatívne)</w:t>
        </w:r>
        <w:r w:rsidR="00E664D0">
          <w:rPr>
            <w:noProof/>
            <w:webHidden/>
          </w:rPr>
          <w:tab/>
        </w:r>
        <w:r w:rsidR="00E664D0">
          <w:rPr>
            <w:noProof/>
            <w:webHidden/>
          </w:rPr>
          <w:fldChar w:fldCharType="begin"/>
        </w:r>
        <w:r w:rsidR="00E664D0">
          <w:rPr>
            <w:noProof/>
            <w:webHidden/>
          </w:rPr>
          <w:instrText xml:space="preserve"> PAGEREF _Toc9855882 \h </w:instrText>
        </w:r>
        <w:r w:rsidR="00E664D0">
          <w:rPr>
            <w:noProof/>
            <w:webHidden/>
          </w:rPr>
        </w:r>
        <w:r w:rsidR="00E664D0">
          <w:rPr>
            <w:noProof/>
            <w:webHidden/>
          </w:rPr>
          <w:fldChar w:fldCharType="separate"/>
        </w:r>
        <w:r>
          <w:rPr>
            <w:noProof/>
            <w:webHidden/>
          </w:rPr>
          <w:t>42</w:t>
        </w:r>
        <w:r w:rsidR="00E664D0">
          <w:rPr>
            <w:noProof/>
            <w:webHidden/>
          </w:rPr>
          <w:fldChar w:fldCharType="end"/>
        </w:r>
      </w:hyperlink>
    </w:p>
    <w:p w14:paraId="40CB29ED" w14:textId="5411D666" w:rsidR="00E664D0" w:rsidRDefault="00DC3C97">
      <w:pPr>
        <w:pStyle w:val="TableofFigures"/>
        <w:tabs>
          <w:tab w:val="right" w:leader="dot" w:pos="9344"/>
        </w:tabs>
        <w:rPr>
          <w:rFonts w:eastAsiaTheme="minorEastAsia"/>
          <w:noProof/>
          <w:sz w:val="22"/>
          <w:lang w:eastAsia="sk-SK"/>
        </w:rPr>
      </w:pPr>
      <w:hyperlink w:anchor="_Toc9855883" w:history="1">
        <w:r w:rsidR="00E664D0" w:rsidRPr="00E21F66">
          <w:rPr>
            <w:rStyle w:val="Hyperlink"/>
            <w:noProof/>
          </w:rPr>
          <w:t>Tabuľka 6 Vyhodnotenie napĺňania výkonnostného rámca jednotlivých PO</w:t>
        </w:r>
        <w:r w:rsidR="00E664D0">
          <w:rPr>
            <w:noProof/>
            <w:webHidden/>
          </w:rPr>
          <w:tab/>
        </w:r>
        <w:r w:rsidR="00E664D0">
          <w:rPr>
            <w:noProof/>
            <w:webHidden/>
          </w:rPr>
          <w:fldChar w:fldCharType="begin"/>
        </w:r>
        <w:r w:rsidR="00E664D0">
          <w:rPr>
            <w:noProof/>
            <w:webHidden/>
          </w:rPr>
          <w:instrText xml:space="preserve"> PAGEREF _Toc9855883 \h </w:instrText>
        </w:r>
        <w:r w:rsidR="00E664D0">
          <w:rPr>
            <w:noProof/>
            <w:webHidden/>
          </w:rPr>
        </w:r>
        <w:r w:rsidR="00E664D0">
          <w:rPr>
            <w:noProof/>
            <w:webHidden/>
          </w:rPr>
          <w:fldChar w:fldCharType="separate"/>
        </w:r>
        <w:r>
          <w:rPr>
            <w:noProof/>
            <w:webHidden/>
          </w:rPr>
          <w:t>46</w:t>
        </w:r>
        <w:r w:rsidR="00E664D0">
          <w:rPr>
            <w:noProof/>
            <w:webHidden/>
          </w:rPr>
          <w:fldChar w:fldCharType="end"/>
        </w:r>
      </w:hyperlink>
    </w:p>
    <w:p w14:paraId="4D14397F" w14:textId="77777777" w:rsidR="007C1DC5" w:rsidRDefault="00BB0829" w:rsidP="004C183C">
      <w:pPr>
        <w:spacing w:after="0" w:line="240" w:lineRule="auto"/>
        <w:rPr>
          <w:noProof/>
        </w:rPr>
      </w:pPr>
      <w:r w:rsidRPr="007C1DC5">
        <w:rPr>
          <w:rFonts w:ascii="Verdana" w:hAnsi="Verdana"/>
        </w:rPr>
        <w:fldChar w:fldCharType="end"/>
      </w:r>
      <w:r w:rsidR="000C1BB4" w:rsidRPr="007C1DC5">
        <w:rPr>
          <w:rFonts w:ascii="Verdana" w:hAnsi="Verdana"/>
          <w:b/>
          <w:color w:val="62B5E5" w:themeColor="accent3"/>
        </w:rPr>
        <w:t>Zoznam schém</w:t>
      </w:r>
      <w:r w:rsidR="003E3540" w:rsidRPr="007C1DC5">
        <w:rPr>
          <w:rFonts w:ascii="Verdana" w:hAnsi="Verdana"/>
          <w:b/>
        </w:rPr>
        <w:fldChar w:fldCharType="begin"/>
      </w:r>
      <w:r w:rsidR="003E3540" w:rsidRPr="007C1DC5">
        <w:rPr>
          <w:rFonts w:ascii="Verdana" w:hAnsi="Verdana"/>
          <w:b/>
        </w:rPr>
        <w:instrText xml:space="preserve"> TOC \h \z \c "Schéma" </w:instrText>
      </w:r>
      <w:r w:rsidR="003E3540" w:rsidRPr="007C1DC5">
        <w:rPr>
          <w:rFonts w:ascii="Verdana" w:hAnsi="Verdana"/>
          <w:b/>
        </w:rPr>
        <w:fldChar w:fldCharType="separate"/>
      </w:r>
    </w:p>
    <w:p w14:paraId="1BEE9328" w14:textId="795598A5" w:rsidR="007C1DC5" w:rsidRDefault="00DC3C97">
      <w:pPr>
        <w:pStyle w:val="TableofFigures"/>
        <w:tabs>
          <w:tab w:val="right" w:leader="dot" w:pos="9344"/>
        </w:tabs>
        <w:rPr>
          <w:rFonts w:eastAsiaTheme="minorEastAsia"/>
          <w:noProof/>
          <w:sz w:val="22"/>
          <w:lang w:eastAsia="sk-SK"/>
        </w:rPr>
      </w:pPr>
      <w:hyperlink w:anchor="_Toc9855571" w:history="1">
        <w:r w:rsidR="007C1DC5" w:rsidRPr="00723D87">
          <w:rPr>
            <w:rStyle w:val="Hyperlink"/>
            <w:noProof/>
          </w:rPr>
          <w:t>Schéma 1 Priebeh hodnotenia</w:t>
        </w:r>
        <w:r w:rsidR="007C1DC5">
          <w:rPr>
            <w:noProof/>
            <w:webHidden/>
          </w:rPr>
          <w:tab/>
        </w:r>
        <w:r w:rsidR="007C1DC5">
          <w:rPr>
            <w:noProof/>
            <w:webHidden/>
          </w:rPr>
          <w:fldChar w:fldCharType="begin"/>
        </w:r>
        <w:r w:rsidR="007C1DC5">
          <w:rPr>
            <w:noProof/>
            <w:webHidden/>
          </w:rPr>
          <w:instrText xml:space="preserve"> PAGEREF _Toc9855571 \h </w:instrText>
        </w:r>
        <w:r w:rsidR="007C1DC5">
          <w:rPr>
            <w:noProof/>
            <w:webHidden/>
          </w:rPr>
        </w:r>
        <w:r w:rsidR="007C1DC5">
          <w:rPr>
            <w:noProof/>
            <w:webHidden/>
          </w:rPr>
          <w:fldChar w:fldCharType="separate"/>
        </w:r>
        <w:r>
          <w:rPr>
            <w:noProof/>
            <w:webHidden/>
          </w:rPr>
          <w:t>18</w:t>
        </w:r>
        <w:r w:rsidR="007C1DC5">
          <w:rPr>
            <w:noProof/>
            <w:webHidden/>
          </w:rPr>
          <w:fldChar w:fldCharType="end"/>
        </w:r>
      </w:hyperlink>
    </w:p>
    <w:p w14:paraId="2A902D17" w14:textId="6BF24817" w:rsidR="007C1DC5" w:rsidRDefault="00DC3C97">
      <w:pPr>
        <w:pStyle w:val="TableofFigures"/>
        <w:tabs>
          <w:tab w:val="right" w:leader="dot" w:pos="9344"/>
        </w:tabs>
        <w:rPr>
          <w:rFonts w:eastAsiaTheme="minorEastAsia"/>
          <w:noProof/>
          <w:sz w:val="22"/>
          <w:lang w:eastAsia="sk-SK"/>
        </w:rPr>
      </w:pPr>
      <w:hyperlink w:anchor="_Toc9855572" w:history="1">
        <w:r w:rsidR="007C1DC5" w:rsidRPr="00723D87">
          <w:rPr>
            <w:rStyle w:val="Hyperlink"/>
            <w:noProof/>
          </w:rPr>
          <w:t>Schéma 2 Matica plánované projekty vs. naplnenie ukazovateľov na úrovni PO1</w:t>
        </w:r>
        <w:r w:rsidR="007C1DC5">
          <w:rPr>
            <w:noProof/>
            <w:webHidden/>
          </w:rPr>
          <w:tab/>
        </w:r>
        <w:r w:rsidR="007C1DC5">
          <w:rPr>
            <w:noProof/>
            <w:webHidden/>
          </w:rPr>
          <w:fldChar w:fldCharType="begin"/>
        </w:r>
        <w:r w:rsidR="007C1DC5">
          <w:rPr>
            <w:noProof/>
            <w:webHidden/>
          </w:rPr>
          <w:instrText xml:space="preserve"> PAGEREF _Toc9855572 \h </w:instrText>
        </w:r>
        <w:r w:rsidR="007C1DC5">
          <w:rPr>
            <w:noProof/>
            <w:webHidden/>
          </w:rPr>
        </w:r>
        <w:r w:rsidR="007C1DC5">
          <w:rPr>
            <w:noProof/>
            <w:webHidden/>
          </w:rPr>
          <w:fldChar w:fldCharType="separate"/>
        </w:r>
        <w:r>
          <w:rPr>
            <w:noProof/>
            <w:webHidden/>
          </w:rPr>
          <w:t>24</w:t>
        </w:r>
        <w:r w:rsidR="007C1DC5">
          <w:rPr>
            <w:noProof/>
            <w:webHidden/>
          </w:rPr>
          <w:fldChar w:fldCharType="end"/>
        </w:r>
      </w:hyperlink>
    </w:p>
    <w:p w14:paraId="781E90BC" w14:textId="35DAFAC5" w:rsidR="007C1DC5" w:rsidRDefault="00DC3C97">
      <w:pPr>
        <w:pStyle w:val="TableofFigures"/>
        <w:tabs>
          <w:tab w:val="right" w:leader="dot" w:pos="9344"/>
        </w:tabs>
        <w:rPr>
          <w:rFonts w:eastAsiaTheme="minorEastAsia"/>
          <w:noProof/>
          <w:sz w:val="22"/>
          <w:lang w:eastAsia="sk-SK"/>
        </w:rPr>
      </w:pPr>
      <w:hyperlink w:anchor="_Toc9855573" w:history="1">
        <w:r w:rsidR="007C1DC5" w:rsidRPr="00723D87">
          <w:rPr>
            <w:rStyle w:val="Hyperlink"/>
            <w:noProof/>
          </w:rPr>
          <w:t>Schéma 3 Matica plánované projekty vs. naplnenie ukazovateľov na úrovni PO3</w:t>
        </w:r>
        <w:r w:rsidR="007C1DC5">
          <w:rPr>
            <w:noProof/>
            <w:webHidden/>
          </w:rPr>
          <w:tab/>
        </w:r>
        <w:r w:rsidR="007C1DC5">
          <w:rPr>
            <w:noProof/>
            <w:webHidden/>
          </w:rPr>
          <w:fldChar w:fldCharType="begin"/>
        </w:r>
        <w:r w:rsidR="007C1DC5">
          <w:rPr>
            <w:noProof/>
            <w:webHidden/>
          </w:rPr>
          <w:instrText xml:space="preserve"> PAGEREF _Toc9855573 \h </w:instrText>
        </w:r>
        <w:r w:rsidR="007C1DC5">
          <w:rPr>
            <w:noProof/>
            <w:webHidden/>
          </w:rPr>
        </w:r>
        <w:r w:rsidR="007C1DC5">
          <w:rPr>
            <w:noProof/>
            <w:webHidden/>
          </w:rPr>
          <w:fldChar w:fldCharType="separate"/>
        </w:r>
        <w:r>
          <w:rPr>
            <w:noProof/>
            <w:webHidden/>
          </w:rPr>
          <w:t>27</w:t>
        </w:r>
        <w:r w:rsidR="007C1DC5">
          <w:rPr>
            <w:noProof/>
            <w:webHidden/>
          </w:rPr>
          <w:fldChar w:fldCharType="end"/>
        </w:r>
      </w:hyperlink>
    </w:p>
    <w:p w14:paraId="47A38424" w14:textId="39AE7BE6" w:rsidR="007C1DC5" w:rsidRDefault="00DC3C97">
      <w:pPr>
        <w:pStyle w:val="TableofFigures"/>
        <w:tabs>
          <w:tab w:val="right" w:leader="dot" w:pos="9344"/>
        </w:tabs>
        <w:rPr>
          <w:rFonts w:eastAsiaTheme="minorEastAsia"/>
          <w:noProof/>
          <w:sz w:val="22"/>
          <w:lang w:eastAsia="sk-SK"/>
        </w:rPr>
      </w:pPr>
      <w:hyperlink w:anchor="_Toc9855574" w:history="1">
        <w:r w:rsidR="007C1DC5" w:rsidRPr="00723D87">
          <w:rPr>
            <w:rStyle w:val="Hyperlink"/>
            <w:noProof/>
          </w:rPr>
          <w:t>Schéma 4 Matica plánované projekty vs. naplnenie ukazovateľov na úrovni PO4</w:t>
        </w:r>
        <w:r w:rsidR="007C1DC5">
          <w:rPr>
            <w:noProof/>
            <w:webHidden/>
          </w:rPr>
          <w:tab/>
        </w:r>
        <w:r w:rsidR="007C1DC5">
          <w:rPr>
            <w:noProof/>
            <w:webHidden/>
          </w:rPr>
          <w:fldChar w:fldCharType="begin"/>
        </w:r>
        <w:r w:rsidR="007C1DC5">
          <w:rPr>
            <w:noProof/>
            <w:webHidden/>
          </w:rPr>
          <w:instrText xml:space="preserve"> PAGEREF _Toc9855574 \h </w:instrText>
        </w:r>
        <w:r w:rsidR="007C1DC5">
          <w:rPr>
            <w:noProof/>
            <w:webHidden/>
          </w:rPr>
        </w:r>
        <w:r w:rsidR="007C1DC5">
          <w:rPr>
            <w:noProof/>
            <w:webHidden/>
          </w:rPr>
          <w:fldChar w:fldCharType="separate"/>
        </w:r>
        <w:r>
          <w:rPr>
            <w:noProof/>
            <w:webHidden/>
          </w:rPr>
          <w:t>29</w:t>
        </w:r>
        <w:r w:rsidR="007C1DC5">
          <w:rPr>
            <w:noProof/>
            <w:webHidden/>
          </w:rPr>
          <w:fldChar w:fldCharType="end"/>
        </w:r>
      </w:hyperlink>
    </w:p>
    <w:p w14:paraId="67113F0E" w14:textId="5FB2E4C9" w:rsidR="007C1DC5" w:rsidRDefault="00DC3C97">
      <w:pPr>
        <w:pStyle w:val="TableofFigures"/>
        <w:tabs>
          <w:tab w:val="right" w:leader="dot" w:pos="9344"/>
        </w:tabs>
        <w:rPr>
          <w:rFonts w:eastAsiaTheme="minorEastAsia"/>
          <w:noProof/>
          <w:sz w:val="22"/>
          <w:lang w:eastAsia="sk-SK"/>
        </w:rPr>
      </w:pPr>
      <w:hyperlink w:anchor="_Toc9855575" w:history="1">
        <w:r w:rsidR="007C1DC5" w:rsidRPr="00723D87">
          <w:rPr>
            <w:rStyle w:val="Hyperlink"/>
            <w:noProof/>
          </w:rPr>
          <w:t>Schéma 5 Matica plánované projekty vs. naplnenie ukazovateľov na úrovni PO5</w:t>
        </w:r>
        <w:r w:rsidR="007C1DC5">
          <w:rPr>
            <w:noProof/>
            <w:webHidden/>
          </w:rPr>
          <w:tab/>
        </w:r>
        <w:r w:rsidR="007C1DC5">
          <w:rPr>
            <w:noProof/>
            <w:webHidden/>
          </w:rPr>
          <w:fldChar w:fldCharType="begin"/>
        </w:r>
        <w:r w:rsidR="007C1DC5">
          <w:rPr>
            <w:noProof/>
            <w:webHidden/>
          </w:rPr>
          <w:instrText xml:space="preserve"> PAGEREF _Toc9855575 \h </w:instrText>
        </w:r>
        <w:r w:rsidR="007C1DC5">
          <w:rPr>
            <w:noProof/>
            <w:webHidden/>
          </w:rPr>
        </w:r>
        <w:r w:rsidR="007C1DC5">
          <w:rPr>
            <w:noProof/>
            <w:webHidden/>
          </w:rPr>
          <w:fldChar w:fldCharType="separate"/>
        </w:r>
        <w:r>
          <w:rPr>
            <w:noProof/>
            <w:webHidden/>
          </w:rPr>
          <w:t>31</w:t>
        </w:r>
        <w:r w:rsidR="007C1DC5">
          <w:rPr>
            <w:noProof/>
            <w:webHidden/>
          </w:rPr>
          <w:fldChar w:fldCharType="end"/>
        </w:r>
      </w:hyperlink>
    </w:p>
    <w:p w14:paraId="1BACDE18" w14:textId="30063BB2" w:rsidR="007C1DC5" w:rsidRDefault="00DC3C97">
      <w:pPr>
        <w:pStyle w:val="TableofFigures"/>
        <w:tabs>
          <w:tab w:val="right" w:leader="dot" w:pos="9344"/>
        </w:tabs>
        <w:rPr>
          <w:rFonts w:eastAsiaTheme="minorEastAsia"/>
          <w:noProof/>
          <w:sz w:val="22"/>
          <w:lang w:eastAsia="sk-SK"/>
        </w:rPr>
      </w:pPr>
      <w:hyperlink w:anchor="_Toc9855576" w:history="1">
        <w:r w:rsidR="007C1DC5" w:rsidRPr="00723D87">
          <w:rPr>
            <w:rStyle w:val="Hyperlink"/>
            <w:noProof/>
          </w:rPr>
          <w:t>Schéma 6 Matica plánované projekty vs. naplnenie ukazovateľov na úrovni PO6 prijímateľa NDS</w:t>
        </w:r>
        <w:r w:rsidR="007C1DC5">
          <w:rPr>
            <w:noProof/>
            <w:webHidden/>
          </w:rPr>
          <w:tab/>
        </w:r>
        <w:r w:rsidR="007C1DC5">
          <w:rPr>
            <w:noProof/>
            <w:webHidden/>
          </w:rPr>
          <w:fldChar w:fldCharType="begin"/>
        </w:r>
        <w:r w:rsidR="007C1DC5">
          <w:rPr>
            <w:noProof/>
            <w:webHidden/>
          </w:rPr>
          <w:instrText xml:space="preserve"> PAGEREF _Toc9855576 \h </w:instrText>
        </w:r>
        <w:r w:rsidR="007C1DC5">
          <w:rPr>
            <w:noProof/>
            <w:webHidden/>
          </w:rPr>
        </w:r>
        <w:r w:rsidR="007C1DC5">
          <w:rPr>
            <w:noProof/>
            <w:webHidden/>
          </w:rPr>
          <w:fldChar w:fldCharType="separate"/>
        </w:r>
        <w:r>
          <w:rPr>
            <w:noProof/>
            <w:webHidden/>
          </w:rPr>
          <w:t>33</w:t>
        </w:r>
        <w:r w:rsidR="007C1DC5">
          <w:rPr>
            <w:noProof/>
            <w:webHidden/>
          </w:rPr>
          <w:fldChar w:fldCharType="end"/>
        </w:r>
      </w:hyperlink>
    </w:p>
    <w:p w14:paraId="51D108AC" w14:textId="25275D56" w:rsidR="007C1DC5" w:rsidRDefault="00DC3C97">
      <w:pPr>
        <w:pStyle w:val="TableofFigures"/>
        <w:tabs>
          <w:tab w:val="right" w:leader="dot" w:pos="9344"/>
        </w:tabs>
        <w:rPr>
          <w:rFonts w:eastAsiaTheme="minorEastAsia"/>
          <w:noProof/>
          <w:sz w:val="22"/>
          <w:lang w:eastAsia="sk-SK"/>
        </w:rPr>
      </w:pPr>
      <w:hyperlink w:anchor="_Toc9855577" w:history="1">
        <w:r w:rsidR="007C1DC5" w:rsidRPr="00723D87">
          <w:rPr>
            <w:rStyle w:val="Hyperlink"/>
            <w:noProof/>
          </w:rPr>
          <w:t>Schéma 7 Matica plánované projekty vs. naplnenie ukazovateľov na úrovni PO6 prijímateľa SSC</w:t>
        </w:r>
        <w:r w:rsidR="007C1DC5">
          <w:rPr>
            <w:noProof/>
            <w:webHidden/>
          </w:rPr>
          <w:tab/>
        </w:r>
        <w:r w:rsidR="007C1DC5">
          <w:rPr>
            <w:noProof/>
            <w:webHidden/>
          </w:rPr>
          <w:fldChar w:fldCharType="begin"/>
        </w:r>
        <w:r w:rsidR="007C1DC5">
          <w:rPr>
            <w:noProof/>
            <w:webHidden/>
          </w:rPr>
          <w:instrText xml:space="preserve"> PAGEREF _Toc9855577 \h </w:instrText>
        </w:r>
        <w:r w:rsidR="007C1DC5">
          <w:rPr>
            <w:noProof/>
            <w:webHidden/>
          </w:rPr>
        </w:r>
        <w:r w:rsidR="007C1DC5">
          <w:rPr>
            <w:noProof/>
            <w:webHidden/>
          </w:rPr>
          <w:fldChar w:fldCharType="separate"/>
        </w:r>
        <w:r>
          <w:rPr>
            <w:noProof/>
            <w:webHidden/>
          </w:rPr>
          <w:t>34</w:t>
        </w:r>
        <w:r w:rsidR="007C1DC5">
          <w:rPr>
            <w:noProof/>
            <w:webHidden/>
          </w:rPr>
          <w:fldChar w:fldCharType="end"/>
        </w:r>
      </w:hyperlink>
    </w:p>
    <w:p w14:paraId="5B469309" w14:textId="77777777" w:rsidR="007C1DC5" w:rsidRDefault="003E3540" w:rsidP="004C183C">
      <w:pPr>
        <w:spacing w:after="0" w:line="240" w:lineRule="auto"/>
        <w:rPr>
          <w:noProof/>
        </w:rPr>
      </w:pPr>
      <w:r w:rsidRPr="007C1DC5">
        <w:rPr>
          <w:rFonts w:ascii="Verdana" w:hAnsi="Verdana"/>
        </w:rPr>
        <w:fldChar w:fldCharType="end"/>
      </w:r>
      <w:r w:rsidR="000C1BB4" w:rsidRPr="007C1DC5">
        <w:rPr>
          <w:rFonts w:ascii="Verdana" w:hAnsi="Verdana"/>
          <w:b/>
          <w:color w:val="62B5E5" w:themeColor="accent3"/>
        </w:rPr>
        <w:t>Zoznam grafov</w:t>
      </w:r>
      <w:r w:rsidRPr="007C1DC5">
        <w:rPr>
          <w:rFonts w:ascii="Verdana" w:hAnsi="Verdana"/>
          <w:b/>
        </w:rPr>
        <w:fldChar w:fldCharType="begin"/>
      </w:r>
      <w:r w:rsidRPr="007C1DC5">
        <w:rPr>
          <w:rFonts w:ascii="Verdana" w:hAnsi="Verdana"/>
          <w:b/>
        </w:rPr>
        <w:instrText xml:space="preserve"> TOC \h \z \c "Graf " </w:instrText>
      </w:r>
      <w:r w:rsidRPr="007C1DC5">
        <w:rPr>
          <w:rFonts w:ascii="Verdana" w:hAnsi="Verdana"/>
          <w:b/>
        </w:rPr>
        <w:fldChar w:fldCharType="separate"/>
      </w:r>
    </w:p>
    <w:p w14:paraId="3D83B755" w14:textId="62313A82" w:rsidR="007C1DC5" w:rsidRDefault="00DC3C97">
      <w:pPr>
        <w:pStyle w:val="TableofFigures"/>
        <w:tabs>
          <w:tab w:val="right" w:leader="dot" w:pos="9344"/>
        </w:tabs>
        <w:rPr>
          <w:rFonts w:eastAsiaTheme="minorEastAsia"/>
          <w:noProof/>
          <w:sz w:val="22"/>
          <w:lang w:eastAsia="sk-SK"/>
        </w:rPr>
      </w:pPr>
      <w:hyperlink r:id="rId9" w:anchor="_Toc9855578" w:history="1">
        <w:r w:rsidR="007C1DC5" w:rsidRPr="00386D2E">
          <w:rPr>
            <w:rStyle w:val="Hyperlink"/>
            <w:noProof/>
          </w:rPr>
          <w:t>Graf  1 Podiel alokácie pre jednotlivé PO</w:t>
        </w:r>
        <w:r w:rsidR="007C1DC5">
          <w:rPr>
            <w:noProof/>
            <w:webHidden/>
          </w:rPr>
          <w:tab/>
        </w:r>
        <w:r w:rsidR="007C1DC5">
          <w:rPr>
            <w:noProof/>
            <w:webHidden/>
          </w:rPr>
          <w:fldChar w:fldCharType="begin"/>
        </w:r>
        <w:r w:rsidR="007C1DC5">
          <w:rPr>
            <w:noProof/>
            <w:webHidden/>
          </w:rPr>
          <w:instrText xml:space="preserve"> PAGEREF _Toc9855578 \h </w:instrText>
        </w:r>
        <w:r w:rsidR="007C1DC5">
          <w:rPr>
            <w:noProof/>
            <w:webHidden/>
          </w:rPr>
        </w:r>
        <w:r w:rsidR="007C1DC5">
          <w:rPr>
            <w:noProof/>
            <w:webHidden/>
          </w:rPr>
          <w:fldChar w:fldCharType="separate"/>
        </w:r>
        <w:r>
          <w:rPr>
            <w:noProof/>
            <w:webHidden/>
          </w:rPr>
          <w:t>20</w:t>
        </w:r>
        <w:r w:rsidR="007C1DC5">
          <w:rPr>
            <w:noProof/>
            <w:webHidden/>
          </w:rPr>
          <w:fldChar w:fldCharType="end"/>
        </w:r>
      </w:hyperlink>
    </w:p>
    <w:p w14:paraId="011D0369" w14:textId="7C65A07F" w:rsidR="007C1DC5" w:rsidRDefault="00DC3C97">
      <w:pPr>
        <w:pStyle w:val="TableofFigures"/>
        <w:tabs>
          <w:tab w:val="right" w:leader="dot" w:pos="9344"/>
        </w:tabs>
        <w:rPr>
          <w:rFonts w:eastAsiaTheme="minorEastAsia"/>
          <w:noProof/>
          <w:sz w:val="22"/>
          <w:lang w:eastAsia="sk-SK"/>
        </w:rPr>
      </w:pPr>
      <w:hyperlink w:anchor="_Toc9855579" w:history="1">
        <w:r w:rsidR="007C1DC5" w:rsidRPr="00386D2E">
          <w:rPr>
            <w:rStyle w:val="Hyperlink"/>
            <w:noProof/>
          </w:rPr>
          <w:t>Graf 2 Porovnanie plnenia finančných ukazovateľov výkonnostného rámca s celkovým čerpaním a kontrahovaním k 31.12.2018</w:t>
        </w:r>
        <w:r w:rsidR="007C1DC5">
          <w:rPr>
            <w:noProof/>
            <w:webHidden/>
          </w:rPr>
          <w:tab/>
        </w:r>
        <w:r w:rsidR="007C1DC5">
          <w:rPr>
            <w:noProof/>
            <w:webHidden/>
          </w:rPr>
          <w:fldChar w:fldCharType="begin"/>
        </w:r>
        <w:r w:rsidR="007C1DC5">
          <w:rPr>
            <w:noProof/>
            <w:webHidden/>
          </w:rPr>
          <w:instrText xml:space="preserve"> PAGEREF _Toc9855579 \h </w:instrText>
        </w:r>
        <w:r w:rsidR="007C1DC5">
          <w:rPr>
            <w:noProof/>
            <w:webHidden/>
          </w:rPr>
        </w:r>
        <w:r w:rsidR="007C1DC5">
          <w:rPr>
            <w:noProof/>
            <w:webHidden/>
          </w:rPr>
          <w:fldChar w:fldCharType="separate"/>
        </w:r>
        <w:r>
          <w:rPr>
            <w:noProof/>
            <w:webHidden/>
          </w:rPr>
          <w:t>21</w:t>
        </w:r>
        <w:r w:rsidR="007C1DC5">
          <w:rPr>
            <w:noProof/>
            <w:webHidden/>
          </w:rPr>
          <w:fldChar w:fldCharType="end"/>
        </w:r>
      </w:hyperlink>
    </w:p>
    <w:p w14:paraId="51188A37" w14:textId="77777777" w:rsidR="007C1DC5" w:rsidRDefault="003E3540" w:rsidP="003F5A01">
      <w:pPr>
        <w:pStyle w:val="Sectiontitle"/>
        <w:rPr>
          <w:rFonts w:ascii="Verdana" w:hAnsi="Verdana"/>
        </w:rPr>
      </w:pPr>
      <w:r w:rsidRPr="007C1DC5">
        <w:rPr>
          <w:rFonts w:ascii="Verdana" w:hAnsi="Verdana"/>
        </w:rPr>
        <w:fldChar w:fldCharType="end"/>
      </w:r>
      <w:bookmarkStart w:id="1" w:name="_Toc1132677"/>
    </w:p>
    <w:p w14:paraId="357B4D3A" w14:textId="77777777" w:rsidR="007C1DC5" w:rsidRDefault="007C1DC5">
      <w:pPr>
        <w:spacing w:before="0" w:after="200" w:line="276" w:lineRule="auto"/>
        <w:jc w:val="left"/>
        <w:rPr>
          <w:rFonts w:ascii="Verdana" w:hAnsi="Verdana"/>
          <w:sz w:val="60"/>
        </w:rPr>
      </w:pPr>
      <w:r>
        <w:rPr>
          <w:rFonts w:ascii="Verdana" w:hAnsi="Verdana"/>
        </w:rPr>
        <w:br w:type="page"/>
      </w:r>
    </w:p>
    <w:p w14:paraId="564E88EE" w14:textId="77777777" w:rsidR="003F2224" w:rsidRPr="00DD6590" w:rsidRDefault="008C6F86" w:rsidP="003F5A01">
      <w:pPr>
        <w:pStyle w:val="Sectiontitle"/>
      </w:pPr>
      <w:r w:rsidRPr="00DD6590">
        <w:lastRenderedPageBreak/>
        <w:t>Zoznam skratiek</w:t>
      </w:r>
      <w:bookmarkEnd w:id="1"/>
      <w:r w:rsidRPr="00DD6590">
        <w:t xml:space="preserve"> </w:t>
      </w:r>
    </w:p>
    <w:tbl>
      <w:tblPr>
        <w:tblStyle w:val="Style1"/>
        <w:tblW w:w="0" w:type="auto"/>
        <w:tblLook w:val="04A0" w:firstRow="1" w:lastRow="0" w:firstColumn="1" w:lastColumn="0" w:noHBand="0" w:noVBand="1"/>
      </w:tblPr>
      <w:tblGrid>
        <w:gridCol w:w="1774"/>
        <w:gridCol w:w="7297"/>
      </w:tblGrid>
      <w:tr w:rsidR="008F3793" w:rsidRPr="00DD6590" w14:paraId="5EC7D4BC" w14:textId="77777777" w:rsidTr="00FA1392">
        <w:trPr>
          <w:trHeight w:val="144"/>
        </w:trPr>
        <w:tc>
          <w:tcPr>
            <w:tcW w:w="1774" w:type="dxa"/>
          </w:tcPr>
          <w:p w14:paraId="1DE7EAA7" w14:textId="77777777" w:rsidR="008F3793"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CEF</w:t>
            </w:r>
          </w:p>
        </w:tc>
        <w:tc>
          <w:tcPr>
            <w:tcW w:w="7297" w:type="dxa"/>
          </w:tcPr>
          <w:p w14:paraId="6521DA7D" w14:textId="77777777" w:rsidR="008F3793" w:rsidRPr="00DD6590" w:rsidRDefault="00197155" w:rsidP="005A4733">
            <w:pPr>
              <w:spacing w:after="0"/>
              <w:rPr>
                <w:rFonts w:asciiTheme="majorHAnsi" w:hAnsiTheme="majorHAnsi"/>
                <w:szCs w:val="18"/>
                <w:lang w:eastAsia="sk-SK"/>
              </w:rPr>
            </w:pPr>
            <w:r w:rsidRPr="00DD6590">
              <w:rPr>
                <w:rFonts w:asciiTheme="majorHAnsi" w:hAnsiTheme="majorHAnsi"/>
                <w:szCs w:val="18"/>
                <w:lang w:eastAsia="sk-SK"/>
              </w:rPr>
              <w:t xml:space="preserve">Nástroj na prepájanie Európy </w:t>
            </w:r>
            <w:r w:rsidRPr="00DD6590">
              <w:rPr>
                <w:rFonts w:asciiTheme="majorHAnsi" w:hAnsiTheme="majorHAnsi"/>
                <w:szCs w:val="18"/>
                <w:lang w:val="en-US" w:eastAsia="sk-SK"/>
              </w:rPr>
              <w:t>- Connecting Europe Facility</w:t>
            </w:r>
          </w:p>
        </w:tc>
      </w:tr>
      <w:tr w:rsidR="00197155" w:rsidRPr="00DD6590" w14:paraId="4F268459" w14:textId="77777777" w:rsidTr="00FA1392">
        <w:trPr>
          <w:trHeight w:val="144"/>
        </w:trPr>
        <w:tc>
          <w:tcPr>
            <w:tcW w:w="1774" w:type="dxa"/>
          </w:tcPr>
          <w:p w14:paraId="33391CA5"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CKO</w:t>
            </w:r>
          </w:p>
        </w:tc>
        <w:tc>
          <w:tcPr>
            <w:tcW w:w="7297" w:type="dxa"/>
          </w:tcPr>
          <w:p w14:paraId="310CB272"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Centrálny koordinačný orgán</w:t>
            </w:r>
          </w:p>
        </w:tc>
      </w:tr>
      <w:tr w:rsidR="00197155" w:rsidRPr="00DD6590" w14:paraId="4E10994C" w14:textId="77777777" w:rsidTr="00FA1392">
        <w:trPr>
          <w:trHeight w:val="144"/>
        </w:trPr>
        <w:tc>
          <w:tcPr>
            <w:tcW w:w="1774" w:type="dxa"/>
          </w:tcPr>
          <w:p w14:paraId="13B0285F"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CO</w:t>
            </w:r>
          </w:p>
        </w:tc>
        <w:tc>
          <w:tcPr>
            <w:tcW w:w="7297" w:type="dxa"/>
          </w:tcPr>
          <w:p w14:paraId="68097669"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Certifikačný orgán</w:t>
            </w:r>
          </w:p>
        </w:tc>
      </w:tr>
      <w:tr w:rsidR="00197155" w:rsidRPr="00DD6590" w14:paraId="0A446494" w14:textId="77777777" w:rsidTr="00FA1392">
        <w:trPr>
          <w:trHeight w:val="216"/>
        </w:trPr>
        <w:tc>
          <w:tcPr>
            <w:tcW w:w="1774" w:type="dxa"/>
            <w:hideMark/>
          </w:tcPr>
          <w:p w14:paraId="6DD5DBD0"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EK</w:t>
            </w:r>
          </w:p>
        </w:tc>
        <w:tc>
          <w:tcPr>
            <w:tcW w:w="7297" w:type="dxa"/>
            <w:hideMark/>
          </w:tcPr>
          <w:p w14:paraId="405EA749"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Európska komisia</w:t>
            </w:r>
          </w:p>
        </w:tc>
      </w:tr>
      <w:tr w:rsidR="00197155" w:rsidRPr="00DD6590" w14:paraId="2D41390E" w14:textId="77777777" w:rsidTr="00FA1392">
        <w:trPr>
          <w:trHeight w:val="216"/>
        </w:trPr>
        <w:tc>
          <w:tcPr>
            <w:tcW w:w="1774" w:type="dxa"/>
          </w:tcPr>
          <w:p w14:paraId="7CD3390F"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EFRR</w:t>
            </w:r>
          </w:p>
        </w:tc>
        <w:tc>
          <w:tcPr>
            <w:tcW w:w="7297" w:type="dxa"/>
          </w:tcPr>
          <w:p w14:paraId="4E40F699"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Európsky fond regionálneho rozvoja</w:t>
            </w:r>
          </w:p>
        </w:tc>
      </w:tr>
      <w:tr w:rsidR="00197155" w:rsidRPr="00DD6590" w14:paraId="65CD6BD5" w14:textId="77777777" w:rsidTr="00FA1392">
        <w:trPr>
          <w:trHeight w:val="216"/>
        </w:trPr>
        <w:tc>
          <w:tcPr>
            <w:tcW w:w="1774" w:type="dxa"/>
          </w:tcPr>
          <w:p w14:paraId="3A369006"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EŠIF</w:t>
            </w:r>
          </w:p>
        </w:tc>
        <w:tc>
          <w:tcPr>
            <w:tcW w:w="7297" w:type="dxa"/>
          </w:tcPr>
          <w:p w14:paraId="5A400A06" w14:textId="77777777" w:rsidR="00197155" w:rsidRPr="00DD6590" w:rsidRDefault="007E330B" w:rsidP="00B726CB">
            <w:pPr>
              <w:spacing w:after="0"/>
              <w:rPr>
                <w:rFonts w:asciiTheme="majorHAnsi" w:hAnsiTheme="majorHAnsi"/>
                <w:szCs w:val="18"/>
                <w:lang w:eastAsia="sk-SK"/>
              </w:rPr>
            </w:pPr>
            <w:r>
              <w:rPr>
                <w:rFonts w:asciiTheme="majorHAnsi" w:hAnsiTheme="majorHAnsi"/>
                <w:szCs w:val="18"/>
                <w:lang w:eastAsia="sk-SK"/>
              </w:rPr>
              <w:t>E</w:t>
            </w:r>
            <w:r w:rsidR="00197155" w:rsidRPr="00DD6590">
              <w:rPr>
                <w:rFonts w:asciiTheme="majorHAnsi" w:hAnsiTheme="majorHAnsi"/>
                <w:szCs w:val="18"/>
                <w:lang w:eastAsia="sk-SK"/>
              </w:rPr>
              <w:t>urópske štrukturálne a investičné fondy</w:t>
            </w:r>
          </w:p>
        </w:tc>
      </w:tr>
      <w:tr w:rsidR="00197155" w:rsidRPr="00DD6590" w14:paraId="7DF01842" w14:textId="77777777" w:rsidTr="00FA1392">
        <w:trPr>
          <w:trHeight w:val="216"/>
        </w:trPr>
        <w:tc>
          <w:tcPr>
            <w:tcW w:w="1774" w:type="dxa"/>
          </w:tcPr>
          <w:p w14:paraId="14AEBA8D"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EÚ</w:t>
            </w:r>
          </w:p>
        </w:tc>
        <w:tc>
          <w:tcPr>
            <w:tcW w:w="7297" w:type="dxa"/>
          </w:tcPr>
          <w:p w14:paraId="0E37637B"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Európska únia</w:t>
            </w:r>
          </w:p>
        </w:tc>
      </w:tr>
      <w:tr w:rsidR="00197155" w:rsidRPr="00DD6590" w14:paraId="60C2BEC8" w14:textId="77777777" w:rsidTr="00FA1392">
        <w:trPr>
          <w:trHeight w:val="216"/>
        </w:trPr>
        <w:tc>
          <w:tcPr>
            <w:tcW w:w="1774" w:type="dxa"/>
          </w:tcPr>
          <w:p w14:paraId="7EDF8D1D"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HO</w:t>
            </w:r>
          </w:p>
        </w:tc>
        <w:tc>
          <w:tcPr>
            <w:tcW w:w="7297" w:type="dxa"/>
          </w:tcPr>
          <w:p w14:paraId="61359C87"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Hodnotiaca otázka</w:t>
            </w:r>
          </w:p>
        </w:tc>
      </w:tr>
      <w:tr w:rsidR="00197155" w:rsidRPr="00DD6590" w14:paraId="1698CA57" w14:textId="77777777" w:rsidTr="00FA1392">
        <w:trPr>
          <w:trHeight w:val="216"/>
        </w:trPr>
        <w:tc>
          <w:tcPr>
            <w:tcW w:w="1774" w:type="dxa"/>
          </w:tcPr>
          <w:p w14:paraId="2A1DF365"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HP</w:t>
            </w:r>
          </w:p>
        </w:tc>
        <w:tc>
          <w:tcPr>
            <w:tcW w:w="7297" w:type="dxa"/>
          </w:tcPr>
          <w:p w14:paraId="5A0F4361"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Horizontálny princíp</w:t>
            </w:r>
          </w:p>
        </w:tc>
      </w:tr>
      <w:tr w:rsidR="00197155" w:rsidRPr="00DD6590" w14:paraId="32B47A24" w14:textId="77777777" w:rsidTr="00FA1392">
        <w:trPr>
          <w:trHeight w:val="216"/>
        </w:trPr>
        <w:tc>
          <w:tcPr>
            <w:tcW w:w="1774" w:type="dxa"/>
          </w:tcPr>
          <w:p w14:paraId="7E9726DF"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ITMS2014+</w:t>
            </w:r>
          </w:p>
        </w:tc>
        <w:tc>
          <w:tcPr>
            <w:tcW w:w="7297" w:type="dxa"/>
          </w:tcPr>
          <w:p w14:paraId="07BB2CDB"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Centrálny informačný systém</w:t>
            </w:r>
          </w:p>
        </w:tc>
      </w:tr>
      <w:tr w:rsidR="00197155" w:rsidRPr="00DD6590" w14:paraId="6F80F61E" w14:textId="77777777" w:rsidTr="00FA1392">
        <w:trPr>
          <w:trHeight w:val="216"/>
        </w:trPr>
        <w:tc>
          <w:tcPr>
            <w:tcW w:w="1774" w:type="dxa"/>
          </w:tcPr>
          <w:p w14:paraId="50BE93D7"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KF</w:t>
            </w:r>
          </w:p>
        </w:tc>
        <w:tc>
          <w:tcPr>
            <w:tcW w:w="7297" w:type="dxa"/>
          </w:tcPr>
          <w:p w14:paraId="3A3A7400"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Kohézny fond</w:t>
            </w:r>
          </w:p>
        </w:tc>
      </w:tr>
      <w:tr w:rsidR="00197155" w:rsidRPr="00DD6590" w14:paraId="4285C3C9" w14:textId="77777777" w:rsidTr="00FA1392">
        <w:trPr>
          <w:trHeight w:val="216"/>
        </w:trPr>
        <w:tc>
          <w:tcPr>
            <w:tcW w:w="1774" w:type="dxa"/>
            <w:hideMark/>
          </w:tcPr>
          <w:p w14:paraId="416EE019"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MDV SR</w:t>
            </w:r>
          </w:p>
        </w:tc>
        <w:tc>
          <w:tcPr>
            <w:tcW w:w="7297" w:type="dxa"/>
            <w:hideMark/>
          </w:tcPr>
          <w:p w14:paraId="5597FB05"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Ministerstvo dopravy a výstavby Slovenskej republiky</w:t>
            </w:r>
          </w:p>
        </w:tc>
      </w:tr>
      <w:tr w:rsidR="00197155" w:rsidRPr="00DD6590" w14:paraId="13A509B4" w14:textId="77777777" w:rsidTr="00FA1392">
        <w:trPr>
          <w:trHeight w:val="216"/>
        </w:trPr>
        <w:tc>
          <w:tcPr>
            <w:tcW w:w="1774" w:type="dxa"/>
          </w:tcPr>
          <w:p w14:paraId="20B4CF1D"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MP CKO</w:t>
            </w:r>
          </w:p>
        </w:tc>
        <w:tc>
          <w:tcPr>
            <w:tcW w:w="7297" w:type="dxa"/>
          </w:tcPr>
          <w:p w14:paraId="537A3DE3"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Metodický pokyn Centrálneho koordinačného orgánu</w:t>
            </w:r>
          </w:p>
        </w:tc>
      </w:tr>
      <w:tr w:rsidR="00772986" w:rsidRPr="00DD6590" w14:paraId="3CEF569D" w14:textId="77777777" w:rsidTr="00FA1392">
        <w:trPr>
          <w:trHeight w:val="216"/>
        </w:trPr>
        <w:tc>
          <w:tcPr>
            <w:tcW w:w="1774" w:type="dxa"/>
          </w:tcPr>
          <w:p w14:paraId="3D7208DF" w14:textId="77777777" w:rsidR="00772986" w:rsidRPr="00DD6590" w:rsidRDefault="00772986" w:rsidP="00B726CB">
            <w:pPr>
              <w:spacing w:after="0"/>
              <w:rPr>
                <w:rFonts w:asciiTheme="majorHAnsi" w:hAnsiTheme="majorHAnsi"/>
                <w:szCs w:val="18"/>
                <w:lang w:eastAsia="sk-SK"/>
              </w:rPr>
            </w:pPr>
            <w:r w:rsidRPr="00DD6590">
              <w:rPr>
                <w:rFonts w:asciiTheme="majorHAnsi" w:hAnsiTheme="majorHAnsi"/>
                <w:szCs w:val="18"/>
                <w:lang w:eastAsia="sk-SK"/>
              </w:rPr>
              <w:t>NFP</w:t>
            </w:r>
          </w:p>
        </w:tc>
        <w:tc>
          <w:tcPr>
            <w:tcW w:w="7297" w:type="dxa"/>
          </w:tcPr>
          <w:p w14:paraId="5ACB1B9E" w14:textId="77777777" w:rsidR="00772986" w:rsidRPr="00DD6590" w:rsidRDefault="00772986" w:rsidP="00B726CB">
            <w:pPr>
              <w:spacing w:after="0"/>
              <w:rPr>
                <w:rFonts w:asciiTheme="majorHAnsi" w:hAnsiTheme="majorHAnsi"/>
                <w:szCs w:val="18"/>
                <w:lang w:eastAsia="sk-SK"/>
              </w:rPr>
            </w:pPr>
            <w:r w:rsidRPr="00DD6590">
              <w:rPr>
                <w:rFonts w:asciiTheme="majorHAnsi" w:hAnsiTheme="majorHAnsi"/>
                <w:szCs w:val="18"/>
                <w:lang w:eastAsia="sk-SK"/>
              </w:rPr>
              <w:t>Nenávratný finančný príspevok</w:t>
            </w:r>
          </w:p>
        </w:tc>
      </w:tr>
      <w:tr w:rsidR="00197155" w:rsidRPr="00DD6590" w14:paraId="02FE23CF" w14:textId="77777777" w:rsidTr="00FA1392">
        <w:trPr>
          <w:trHeight w:val="216"/>
        </w:trPr>
        <w:tc>
          <w:tcPr>
            <w:tcW w:w="1774" w:type="dxa"/>
          </w:tcPr>
          <w:p w14:paraId="44DA932F"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NKIVS</w:t>
            </w:r>
          </w:p>
        </w:tc>
        <w:tc>
          <w:tcPr>
            <w:tcW w:w="7297" w:type="dxa"/>
          </w:tcPr>
          <w:p w14:paraId="104D5D3A"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bCs/>
                <w:szCs w:val="18"/>
                <w:lang w:eastAsia="sk-SK"/>
              </w:rPr>
              <w:t>Národná koncepcia informatizácie verejnej správy</w:t>
            </w:r>
            <w:r w:rsidRPr="00DD6590">
              <w:rPr>
                <w:rFonts w:asciiTheme="majorHAnsi" w:hAnsiTheme="majorHAnsi"/>
                <w:szCs w:val="18"/>
                <w:lang w:eastAsia="sk-SK"/>
              </w:rPr>
              <w:t xml:space="preserve"> Slovenskej republiky</w:t>
            </w:r>
          </w:p>
        </w:tc>
      </w:tr>
      <w:tr w:rsidR="00197155" w:rsidRPr="00DD6590" w14:paraId="665CDBFA" w14:textId="77777777" w:rsidTr="00FA1392">
        <w:trPr>
          <w:trHeight w:val="216"/>
        </w:trPr>
        <w:tc>
          <w:tcPr>
            <w:tcW w:w="1774" w:type="dxa"/>
          </w:tcPr>
          <w:p w14:paraId="6AB07657"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NPR 2017</w:t>
            </w:r>
          </w:p>
        </w:tc>
        <w:tc>
          <w:tcPr>
            <w:tcW w:w="7297" w:type="dxa"/>
          </w:tcPr>
          <w:p w14:paraId="0EB8E604"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Národný program reforiem Slovenskej republiky 2017</w:t>
            </w:r>
          </w:p>
        </w:tc>
      </w:tr>
      <w:tr w:rsidR="00197155" w:rsidRPr="00DD6590" w14:paraId="295DD517" w14:textId="77777777" w:rsidTr="00FA1392">
        <w:trPr>
          <w:trHeight w:val="216"/>
        </w:trPr>
        <w:tc>
          <w:tcPr>
            <w:tcW w:w="1774" w:type="dxa"/>
          </w:tcPr>
          <w:p w14:paraId="136FEC53"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NR SR</w:t>
            </w:r>
          </w:p>
        </w:tc>
        <w:tc>
          <w:tcPr>
            <w:tcW w:w="7297" w:type="dxa"/>
          </w:tcPr>
          <w:p w14:paraId="47C9F236"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Národná rada Slovenskej republiky</w:t>
            </w:r>
          </w:p>
        </w:tc>
      </w:tr>
      <w:tr w:rsidR="00197155" w:rsidRPr="00DD6590" w14:paraId="3D8E4BA7" w14:textId="77777777" w:rsidTr="00FA1392">
        <w:trPr>
          <w:trHeight w:val="216"/>
        </w:trPr>
        <w:tc>
          <w:tcPr>
            <w:tcW w:w="1774" w:type="dxa"/>
            <w:hideMark/>
          </w:tcPr>
          <w:p w14:paraId="0FC4942C"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OPII</w:t>
            </w:r>
          </w:p>
        </w:tc>
        <w:tc>
          <w:tcPr>
            <w:tcW w:w="7297" w:type="dxa"/>
            <w:hideMark/>
          </w:tcPr>
          <w:p w14:paraId="03751409"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Operačný program Integrovaná infraštruktúra 2014 - 2020</w:t>
            </w:r>
          </w:p>
        </w:tc>
      </w:tr>
      <w:tr w:rsidR="00197155" w:rsidRPr="00DD6590" w14:paraId="5A31B98B" w14:textId="77777777" w:rsidTr="00FA1392">
        <w:trPr>
          <w:trHeight w:val="216"/>
        </w:trPr>
        <w:tc>
          <w:tcPr>
            <w:tcW w:w="1774" w:type="dxa"/>
          </w:tcPr>
          <w:p w14:paraId="16F909DB" w14:textId="77777777" w:rsidR="00197155" w:rsidRPr="00DD6590" w:rsidRDefault="00197155" w:rsidP="00B726CB">
            <w:pPr>
              <w:spacing w:after="0"/>
              <w:rPr>
                <w:rFonts w:asciiTheme="minorHAnsi" w:hAnsiTheme="minorHAnsi"/>
                <w:szCs w:val="18"/>
                <w:lang w:eastAsia="sk-SK"/>
              </w:rPr>
            </w:pPr>
            <w:r w:rsidRPr="00DD6590">
              <w:rPr>
                <w:rFonts w:asciiTheme="minorHAnsi" w:hAnsiTheme="minorHAnsi"/>
                <w:szCs w:val="18"/>
                <w:lang w:eastAsia="sk-SK"/>
              </w:rPr>
              <w:t>PO</w:t>
            </w:r>
          </w:p>
        </w:tc>
        <w:tc>
          <w:tcPr>
            <w:tcW w:w="7297" w:type="dxa"/>
          </w:tcPr>
          <w:p w14:paraId="6AFBD545" w14:textId="77777777" w:rsidR="00197155" w:rsidRPr="00DD6590" w:rsidRDefault="00197155" w:rsidP="00B726CB">
            <w:pPr>
              <w:spacing w:after="0"/>
              <w:rPr>
                <w:rFonts w:asciiTheme="minorHAnsi" w:hAnsiTheme="minorHAnsi"/>
                <w:szCs w:val="18"/>
                <w:lang w:eastAsia="sk-SK"/>
              </w:rPr>
            </w:pPr>
            <w:r w:rsidRPr="00DD6590">
              <w:rPr>
                <w:rFonts w:asciiTheme="minorHAnsi" w:hAnsiTheme="minorHAnsi"/>
                <w:szCs w:val="18"/>
                <w:lang w:eastAsia="sk-SK"/>
              </w:rPr>
              <w:t>Prioritná os</w:t>
            </w:r>
          </w:p>
        </w:tc>
      </w:tr>
      <w:tr w:rsidR="00197155" w:rsidRPr="00DD6590" w14:paraId="460C1065" w14:textId="77777777" w:rsidTr="00FA1392">
        <w:trPr>
          <w:trHeight w:val="216"/>
        </w:trPr>
        <w:tc>
          <w:tcPr>
            <w:tcW w:w="1774" w:type="dxa"/>
          </w:tcPr>
          <w:p w14:paraId="40A7DE8A" w14:textId="77777777" w:rsidR="00197155" w:rsidRPr="00DD6590" w:rsidRDefault="00197155" w:rsidP="00B726CB">
            <w:pPr>
              <w:spacing w:after="0"/>
              <w:rPr>
                <w:rFonts w:asciiTheme="minorHAnsi" w:hAnsiTheme="minorHAnsi"/>
                <w:szCs w:val="18"/>
                <w:lang w:eastAsia="sk-SK"/>
              </w:rPr>
            </w:pPr>
            <w:r w:rsidRPr="00DD6590">
              <w:rPr>
                <w:rFonts w:asciiTheme="minorHAnsi" w:hAnsiTheme="minorHAnsi"/>
                <w:szCs w:val="18"/>
                <w:lang w:eastAsia="sk-SK"/>
              </w:rPr>
              <w:t>RO</w:t>
            </w:r>
          </w:p>
        </w:tc>
        <w:tc>
          <w:tcPr>
            <w:tcW w:w="7297" w:type="dxa"/>
          </w:tcPr>
          <w:p w14:paraId="03113432" w14:textId="77777777" w:rsidR="00197155" w:rsidRPr="00DD6590" w:rsidRDefault="00197155" w:rsidP="00B726CB">
            <w:pPr>
              <w:spacing w:after="0"/>
              <w:rPr>
                <w:rFonts w:asciiTheme="minorHAnsi" w:hAnsiTheme="minorHAnsi"/>
                <w:szCs w:val="18"/>
                <w:lang w:eastAsia="sk-SK"/>
              </w:rPr>
            </w:pPr>
            <w:r w:rsidRPr="00DD6590">
              <w:rPr>
                <w:rFonts w:asciiTheme="minorHAnsi" w:hAnsiTheme="minorHAnsi"/>
                <w:szCs w:val="18"/>
                <w:lang w:eastAsia="sk-SK"/>
              </w:rPr>
              <w:t>Riadiaci orgán</w:t>
            </w:r>
          </w:p>
        </w:tc>
      </w:tr>
      <w:tr w:rsidR="00197155" w:rsidRPr="00DD6590" w14:paraId="481251E8" w14:textId="77777777" w:rsidTr="00FA1392">
        <w:trPr>
          <w:trHeight w:val="216"/>
        </w:trPr>
        <w:tc>
          <w:tcPr>
            <w:tcW w:w="1774" w:type="dxa"/>
          </w:tcPr>
          <w:p w14:paraId="57DDCF4E" w14:textId="77777777" w:rsidR="00197155" w:rsidRPr="00DD6590" w:rsidRDefault="00197155" w:rsidP="00B726CB">
            <w:pPr>
              <w:spacing w:after="0"/>
              <w:rPr>
                <w:rFonts w:asciiTheme="minorHAnsi" w:hAnsiTheme="minorHAnsi"/>
                <w:szCs w:val="18"/>
                <w:lang w:eastAsia="sk-SK"/>
              </w:rPr>
            </w:pPr>
            <w:r w:rsidRPr="00DD6590">
              <w:rPr>
                <w:rFonts w:asciiTheme="minorHAnsi" w:hAnsiTheme="minorHAnsi"/>
                <w:szCs w:val="18"/>
                <w:lang w:eastAsia="sk-SK"/>
              </w:rPr>
              <w:t>SO</w:t>
            </w:r>
          </w:p>
        </w:tc>
        <w:tc>
          <w:tcPr>
            <w:tcW w:w="7297" w:type="dxa"/>
          </w:tcPr>
          <w:p w14:paraId="7366C14B" w14:textId="77777777" w:rsidR="00197155" w:rsidRPr="00DD6590" w:rsidRDefault="00197155" w:rsidP="00B726CB">
            <w:pPr>
              <w:spacing w:after="0"/>
              <w:rPr>
                <w:rFonts w:asciiTheme="minorHAnsi" w:hAnsiTheme="minorHAnsi"/>
                <w:szCs w:val="18"/>
                <w:lang w:eastAsia="sk-SK"/>
              </w:rPr>
            </w:pPr>
            <w:r w:rsidRPr="00DD6590">
              <w:rPr>
                <w:rFonts w:asciiTheme="minorHAnsi" w:hAnsiTheme="minorHAnsi"/>
                <w:szCs w:val="18"/>
                <w:lang w:eastAsia="sk-SK"/>
              </w:rPr>
              <w:t>Sprostredkovateľský orgán</w:t>
            </w:r>
          </w:p>
        </w:tc>
      </w:tr>
      <w:tr w:rsidR="00197155" w:rsidRPr="00DD6590" w14:paraId="7C468A9F" w14:textId="77777777" w:rsidTr="00FA1392">
        <w:trPr>
          <w:trHeight w:val="216"/>
        </w:trPr>
        <w:tc>
          <w:tcPr>
            <w:tcW w:w="1774" w:type="dxa"/>
            <w:hideMark/>
          </w:tcPr>
          <w:p w14:paraId="01DD0E45" w14:textId="77777777" w:rsidR="00197155" w:rsidRPr="00DD6590" w:rsidRDefault="00197155" w:rsidP="00B726CB">
            <w:pPr>
              <w:spacing w:after="0"/>
              <w:rPr>
                <w:rFonts w:asciiTheme="minorHAnsi" w:hAnsiTheme="minorHAnsi"/>
                <w:szCs w:val="18"/>
                <w:lang w:eastAsia="sk-SK"/>
              </w:rPr>
            </w:pPr>
            <w:r w:rsidRPr="00DD6590">
              <w:rPr>
                <w:rFonts w:asciiTheme="minorHAnsi" w:hAnsiTheme="minorHAnsi"/>
                <w:szCs w:val="18"/>
                <w:lang w:eastAsia="sk-SK"/>
              </w:rPr>
              <w:t>SR</w:t>
            </w:r>
          </w:p>
        </w:tc>
        <w:tc>
          <w:tcPr>
            <w:tcW w:w="7297" w:type="dxa"/>
            <w:hideMark/>
          </w:tcPr>
          <w:p w14:paraId="18793081" w14:textId="77777777" w:rsidR="00197155" w:rsidRPr="00DD6590" w:rsidRDefault="00197155" w:rsidP="00B726CB">
            <w:pPr>
              <w:spacing w:after="0"/>
              <w:rPr>
                <w:rFonts w:asciiTheme="minorHAnsi" w:hAnsiTheme="minorHAnsi"/>
                <w:szCs w:val="18"/>
                <w:lang w:eastAsia="sk-SK"/>
              </w:rPr>
            </w:pPr>
            <w:r w:rsidRPr="00DD6590">
              <w:rPr>
                <w:rFonts w:asciiTheme="minorHAnsi" w:hAnsiTheme="minorHAnsi"/>
                <w:szCs w:val="18"/>
                <w:lang w:eastAsia="sk-SK"/>
              </w:rPr>
              <w:t>Slovenská republika</w:t>
            </w:r>
          </w:p>
        </w:tc>
      </w:tr>
      <w:tr w:rsidR="00197155" w:rsidRPr="00DD6590" w14:paraId="7876DB13" w14:textId="77777777" w:rsidTr="00FA1392">
        <w:trPr>
          <w:trHeight w:val="216"/>
        </w:trPr>
        <w:tc>
          <w:tcPr>
            <w:tcW w:w="1774" w:type="dxa"/>
          </w:tcPr>
          <w:p w14:paraId="3940EABA" w14:textId="77777777" w:rsidR="00197155" w:rsidRPr="00DD6590" w:rsidRDefault="00197155" w:rsidP="00B726CB">
            <w:pPr>
              <w:spacing w:after="0"/>
              <w:rPr>
                <w:rFonts w:asciiTheme="minorHAnsi" w:hAnsiTheme="minorHAnsi"/>
                <w:szCs w:val="18"/>
                <w:lang w:eastAsia="sk-SK"/>
              </w:rPr>
            </w:pPr>
            <w:r w:rsidRPr="00DD6590">
              <w:rPr>
                <w:rFonts w:asciiTheme="minorHAnsi" w:hAnsiTheme="minorHAnsi"/>
                <w:szCs w:val="18"/>
                <w:lang w:eastAsia="sk-SK"/>
              </w:rPr>
              <w:t>ŠC</w:t>
            </w:r>
          </w:p>
        </w:tc>
        <w:tc>
          <w:tcPr>
            <w:tcW w:w="7297" w:type="dxa"/>
          </w:tcPr>
          <w:p w14:paraId="0A79A9E1" w14:textId="77777777" w:rsidR="00197155" w:rsidRPr="00DD6590" w:rsidRDefault="00197155" w:rsidP="00B726CB">
            <w:pPr>
              <w:spacing w:after="0"/>
              <w:rPr>
                <w:rFonts w:asciiTheme="minorHAnsi" w:hAnsiTheme="minorHAnsi"/>
                <w:szCs w:val="18"/>
                <w:lang w:eastAsia="sk-SK"/>
              </w:rPr>
            </w:pPr>
            <w:r w:rsidRPr="00DD6590">
              <w:rPr>
                <w:rFonts w:asciiTheme="minorHAnsi" w:hAnsiTheme="minorHAnsi"/>
                <w:szCs w:val="18"/>
                <w:lang w:eastAsia="sk-SK"/>
              </w:rPr>
              <w:t xml:space="preserve">Špecifický cieľ </w:t>
            </w:r>
          </w:p>
        </w:tc>
      </w:tr>
      <w:tr w:rsidR="00197155" w:rsidRPr="00DD6590" w14:paraId="12BB91F4" w14:textId="77777777" w:rsidTr="00FA1392">
        <w:trPr>
          <w:trHeight w:val="216"/>
        </w:trPr>
        <w:tc>
          <w:tcPr>
            <w:tcW w:w="1774" w:type="dxa"/>
          </w:tcPr>
          <w:p w14:paraId="02BF6CE7"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ÚPPVII</w:t>
            </w:r>
          </w:p>
        </w:tc>
        <w:tc>
          <w:tcPr>
            <w:tcW w:w="7297" w:type="dxa"/>
          </w:tcPr>
          <w:p w14:paraId="04C19D48" w14:textId="77777777" w:rsidR="00197155" w:rsidRPr="00DD6590" w:rsidRDefault="00197155" w:rsidP="00B726CB">
            <w:pPr>
              <w:spacing w:after="0"/>
              <w:rPr>
                <w:rFonts w:asciiTheme="majorHAnsi" w:hAnsiTheme="majorHAnsi"/>
                <w:szCs w:val="18"/>
                <w:lang w:eastAsia="sk-SK"/>
              </w:rPr>
            </w:pPr>
            <w:r w:rsidRPr="00DD6590">
              <w:rPr>
                <w:rFonts w:asciiTheme="majorHAnsi" w:hAnsiTheme="majorHAnsi"/>
                <w:szCs w:val="18"/>
                <w:lang w:eastAsia="sk-SK"/>
              </w:rPr>
              <w:t>Úrad podpredsedu vlády SR pre investície a informatizáciu</w:t>
            </w:r>
          </w:p>
        </w:tc>
      </w:tr>
      <w:tr w:rsidR="00772986" w:rsidRPr="00DD6590" w14:paraId="67374686" w14:textId="77777777" w:rsidTr="00FA1392">
        <w:trPr>
          <w:trHeight w:val="216"/>
        </w:trPr>
        <w:tc>
          <w:tcPr>
            <w:tcW w:w="1774" w:type="dxa"/>
          </w:tcPr>
          <w:p w14:paraId="40DAE9FD" w14:textId="77777777" w:rsidR="00772986" w:rsidRPr="00DD6590" w:rsidRDefault="00772986" w:rsidP="00B726CB">
            <w:pPr>
              <w:spacing w:after="0"/>
              <w:rPr>
                <w:rFonts w:asciiTheme="majorHAnsi" w:hAnsiTheme="majorHAnsi"/>
                <w:szCs w:val="18"/>
                <w:lang w:eastAsia="sk-SK"/>
              </w:rPr>
            </w:pPr>
            <w:r w:rsidRPr="00DD6590">
              <w:rPr>
                <w:rFonts w:asciiTheme="majorHAnsi" w:hAnsiTheme="majorHAnsi"/>
                <w:szCs w:val="18"/>
                <w:lang w:eastAsia="sk-SK"/>
              </w:rPr>
              <w:t>vlkm</w:t>
            </w:r>
          </w:p>
        </w:tc>
        <w:tc>
          <w:tcPr>
            <w:tcW w:w="7297" w:type="dxa"/>
          </w:tcPr>
          <w:p w14:paraId="294F6DE2" w14:textId="77777777" w:rsidR="00772986" w:rsidRPr="00DD6590" w:rsidRDefault="00772986" w:rsidP="00B726CB">
            <w:pPr>
              <w:spacing w:after="0"/>
              <w:rPr>
                <w:rFonts w:asciiTheme="majorHAnsi" w:hAnsiTheme="majorHAnsi"/>
                <w:szCs w:val="18"/>
                <w:lang w:eastAsia="sk-SK"/>
              </w:rPr>
            </w:pPr>
            <w:r w:rsidRPr="00DD6590">
              <w:rPr>
                <w:rFonts w:asciiTheme="majorHAnsi" w:hAnsiTheme="majorHAnsi"/>
                <w:szCs w:val="18"/>
                <w:lang w:eastAsia="sk-SK"/>
              </w:rPr>
              <w:t>vlakokilometer</w:t>
            </w:r>
          </w:p>
        </w:tc>
      </w:tr>
      <w:tr w:rsidR="00772986" w:rsidRPr="00DD6590" w14:paraId="49B18C1F" w14:textId="77777777" w:rsidTr="00FA1392">
        <w:trPr>
          <w:trHeight w:val="216"/>
        </w:trPr>
        <w:tc>
          <w:tcPr>
            <w:tcW w:w="1774" w:type="dxa"/>
          </w:tcPr>
          <w:p w14:paraId="4E997133" w14:textId="77777777" w:rsidR="00772986" w:rsidRPr="00DD6590" w:rsidRDefault="00772986" w:rsidP="00B726CB">
            <w:pPr>
              <w:spacing w:after="0"/>
              <w:rPr>
                <w:rFonts w:asciiTheme="majorHAnsi" w:hAnsiTheme="majorHAnsi"/>
                <w:szCs w:val="18"/>
                <w:lang w:eastAsia="sk-SK"/>
              </w:rPr>
            </w:pPr>
            <w:r w:rsidRPr="00DD6590">
              <w:rPr>
                <w:rFonts w:asciiTheme="majorHAnsi" w:hAnsiTheme="majorHAnsi"/>
                <w:szCs w:val="18"/>
                <w:lang w:eastAsia="sk-SK"/>
              </w:rPr>
              <w:t>ZSSK</w:t>
            </w:r>
          </w:p>
        </w:tc>
        <w:tc>
          <w:tcPr>
            <w:tcW w:w="7297" w:type="dxa"/>
          </w:tcPr>
          <w:p w14:paraId="6F98884B" w14:textId="77777777" w:rsidR="00772986" w:rsidRPr="00DD6590" w:rsidRDefault="00772986" w:rsidP="00B726CB">
            <w:pPr>
              <w:spacing w:after="0"/>
              <w:rPr>
                <w:rFonts w:asciiTheme="majorHAnsi" w:hAnsiTheme="majorHAnsi"/>
                <w:szCs w:val="18"/>
                <w:lang w:eastAsia="sk-SK"/>
              </w:rPr>
            </w:pPr>
            <w:r w:rsidRPr="00DD6590">
              <w:rPr>
                <w:rFonts w:asciiTheme="majorHAnsi" w:hAnsiTheme="majorHAnsi"/>
                <w:szCs w:val="18"/>
                <w:lang w:eastAsia="sk-SK"/>
              </w:rPr>
              <w:t>Železničná spoločnosť Slovensko</w:t>
            </w:r>
          </w:p>
        </w:tc>
      </w:tr>
      <w:tr w:rsidR="00772986" w:rsidRPr="00DD6590" w14:paraId="6534D433" w14:textId="77777777" w:rsidTr="00FA1392">
        <w:trPr>
          <w:trHeight w:val="216"/>
        </w:trPr>
        <w:tc>
          <w:tcPr>
            <w:tcW w:w="1774" w:type="dxa"/>
          </w:tcPr>
          <w:p w14:paraId="3B596A3D" w14:textId="77777777" w:rsidR="00772986" w:rsidRPr="00DD6590" w:rsidRDefault="00772986" w:rsidP="00B726CB">
            <w:pPr>
              <w:spacing w:after="0"/>
              <w:rPr>
                <w:rFonts w:asciiTheme="majorHAnsi" w:hAnsiTheme="majorHAnsi"/>
                <w:szCs w:val="18"/>
                <w:lang w:eastAsia="sk-SK"/>
              </w:rPr>
            </w:pPr>
            <w:r w:rsidRPr="00DD6590">
              <w:rPr>
                <w:rFonts w:asciiTheme="majorHAnsi" w:hAnsiTheme="majorHAnsi"/>
                <w:szCs w:val="18"/>
                <w:lang w:eastAsia="sk-SK"/>
              </w:rPr>
              <w:t>ŽSR</w:t>
            </w:r>
          </w:p>
        </w:tc>
        <w:tc>
          <w:tcPr>
            <w:tcW w:w="7297" w:type="dxa"/>
          </w:tcPr>
          <w:p w14:paraId="704D6BFE" w14:textId="77777777" w:rsidR="00772986" w:rsidRPr="00DD6590" w:rsidRDefault="00772986" w:rsidP="00B726CB">
            <w:pPr>
              <w:spacing w:after="0"/>
              <w:rPr>
                <w:rFonts w:asciiTheme="majorHAnsi" w:hAnsiTheme="majorHAnsi"/>
                <w:szCs w:val="18"/>
                <w:lang w:eastAsia="sk-SK"/>
              </w:rPr>
            </w:pPr>
            <w:r w:rsidRPr="00DD6590">
              <w:rPr>
                <w:rFonts w:asciiTheme="majorHAnsi" w:hAnsiTheme="majorHAnsi"/>
                <w:szCs w:val="18"/>
                <w:lang w:eastAsia="sk-SK"/>
              </w:rPr>
              <w:t xml:space="preserve">Železnice Slovenskej republiky </w:t>
            </w:r>
          </w:p>
        </w:tc>
      </w:tr>
    </w:tbl>
    <w:p w14:paraId="36BD9C25" w14:textId="77777777" w:rsidR="00B06697" w:rsidRPr="00DD6590" w:rsidRDefault="00B06697" w:rsidP="00B06697"/>
    <w:p w14:paraId="231BF556" w14:textId="77777777" w:rsidR="003F5A01" w:rsidRDefault="003F5A01" w:rsidP="009B058D">
      <w:pPr>
        <w:sectPr w:rsidR="003F5A01" w:rsidSect="007D7881">
          <w:headerReference w:type="default" r:id="rId10"/>
          <w:footerReference w:type="default" r:id="rId11"/>
          <w:headerReference w:type="first" r:id="rId12"/>
          <w:pgSz w:w="11906" w:h="16838" w:code="9"/>
          <w:pgMar w:top="2088" w:right="1134" w:bottom="1134" w:left="1418" w:header="680" w:footer="567" w:gutter="0"/>
          <w:pgNumType w:start="0"/>
          <w:cols w:space="9"/>
          <w:titlePg/>
          <w:docGrid w:linePitch="360"/>
        </w:sectPr>
      </w:pPr>
    </w:p>
    <w:p w14:paraId="029F9912" w14:textId="77777777" w:rsidR="00AF1CE5" w:rsidRPr="00DD6590" w:rsidRDefault="00AF1CE5" w:rsidP="00AF1CE5">
      <w:pPr>
        <w:pStyle w:val="Sectiontitle"/>
        <w:outlineLvl w:val="0"/>
      </w:pPr>
      <w:bookmarkStart w:id="2" w:name="_Toc1132679"/>
      <w:bookmarkStart w:id="3" w:name="_Toc10709698"/>
      <w:bookmarkStart w:id="4" w:name="_Toc1132678"/>
      <w:r w:rsidRPr="00DD6590">
        <w:lastRenderedPageBreak/>
        <w:t>Manažé</w:t>
      </w:r>
      <w:bookmarkStart w:id="5" w:name="_GoBack"/>
      <w:bookmarkEnd w:id="5"/>
      <w:r w:rsidRPr="00DD6590">
        <w:t>rske zhrnutie</w:t>
      </w:r>
      <w:bookmarkEnd w:id="2"/>
      <w:bookmarkEnd w:id="3"/>
    </w:p>
    <w:p w14:paraId="3FBFFD30" w14:textId="77777777" w:rsidR="00AF1CE5" w:rsidRPr="00DD6590" w:rsidRDefault="00AF1CE5" w:rsidP="00AF1CE5"/>
    <w:p w14:paraId="4360F661" w14:textId="77777777" w:rsidR="00442BFF" w:rsidRPr="007066F2" w:rsidRDefault="00442BFF" w:rsidP="00442BFF">
      <w:r w:rsidRPr="007066F2">
        <w:t>„Hodnotenie plnenia zámerov a očakávaných výsledkov a identifikácia možných úprav OPII“ je prvým hodnotením stavu implementácie Operačného program Integrovaná infraštruktúra 2014 – 2020</w:t>
      </w:r>
      <w:r>
        <w:t xml:space="preserve"> (ďalej aj „OPII“)</w:t>
      </w:r>
      <w:r w:rsidRPr="007066F2">
        <w:t>. Toto priebežné hodnotenie je vypracované v súlade s plánom hodnotení OPII 2014 – 2020, verzia 3.0. Postup hodnotenia je v súlade s kvalitatívnymi požiadavkami hodnotenia definovanými v Štandardoch kvality hodnotenia Európskych štrukturálnych a investičných fondov v programovom období 2014 – 2020 vydan</w:t>
      </w:r>
      <w:r>
        <w:t>ých</w:t>
      </w:r>
      <w:r w:rsidRPr="007066F2">
        <w:t xml:space="preserve"> Centrálnym koordinačným orgánom.</w:t>
      </w:r>
    </w:p>
    <w:p w14:paraId="79D8ACD8" w14:textId="77777777" w:rsidR="00442BFF" w:rsidRPr="007066F2" w:rsidRDefault="00442BFF" w:rsidP="00442BFF">
      <w:r w:rsidRPr="007066F2">
        <w:t>Predmetom hodnotenia bolo posúdenie výkonnosti, efektívnosti a účinnosti OPII prostredníctvom analýzy stavu realizácie prioritných osí, špecifických cieľov a ich očakávaných výsledkov, výstupových, výsledkových a finančných ukazovateľov vrátane výsledkov stanovených vo výkonnostnom rámci.</w:t>
      </w:r>
    </w:p>
    <w:p w14:paraId="086BD0DC" w14:textId="77777777" w:rsidR="00442BFF" w:rsidRPr="007066F2" w:rsidRDefault="00442BFF" w:rsidP="00442BFF">
      <w:r w:rsidRPr="007066F2">
        <w:t xml:space="preserve">Pri hodnotení </w:t>
      </w:r>
      <w:r>
        <w:t>sa postupovalo podľa metodiky schválenej v úvodnej správe</w:t>
      </w:r>
      <w:r w:rsidR="007E330B">
        <w:t>, pričom</w:t>
      </w:r>
      <w:r>
        <w:t xml:space="preserve"> </w:t>
      </w:r>
      <w:r w:rsidRPr="007066F2">
        <w:t>boli použité dve hlavné metódy</w:t>
      </w:r>
      <w:r w:rsidR="007E330B">
        <w:t>,</w:t>
      </w:r>
      <w:r w:rsidRPr="007066F2">
        <w:t xml:space="preserve"> </w:t>
      </w:r>
      <w:r w:rsidR="007E330B">
        <w:t>t. j.</w:t>
      </w:r>
      <w:r w:rsidRPr="007066F2">
        <w:t xml:space="preserve"> zber dát a desk research. Zber dát bol aplikovaný dvoma spôsobmi:</w:t>
      </w:r>
    </w:p>
    <w:p w14:paraId="2B383B19" w14:textId="77777777" w:rsidR="00442BFF" w:rsidRPr="007066F2" w:rsidRDefault="00442BFF" w:rsidP="00442BFF">
      <w:pPr>
        <w:pStyle w:val="ListParagraph"/>
        <w:numPr>
          <w:ilvl w:val="0"/>
          <w:numId w:val="80"/>
        </w:numPr>
      </w:pPr>
      <w:r w:rsidRPr="007066F2">
        <w:t xml:space="preserve">zber sekundárnych dát </w:t>
      </w:r>
      <w:r w:rsidR="007E330B">
        <w:t>‒</w:t>
      </w:r>
      <w:r w:rsidRPr="007066F2">
        <w:t xml:space="preserve"> dáta poskytnuté </w:t>
      </w:r>
      <w:r>
        <w:t>r</w:t>
      </w:r>
      <w:r w:rsidRPr="007066F2">
        <w:t xml:space="preserve">iadiacim orgánom OPII, z </w:t>
      </w:r>
      <w:hyperlink r:id="rId13" w:history="1">
        <w:r w:rsidRPr="007066F2">
          <w:rPr>
            <w:rStyle w:val="Hyperlink"/>
          </w:rPr>
          <w:t>www.opii.gov.sk</w:t>
        </w:r>
      </w:hyperlink>
      <w:r w:rsidRPr="007066F2">
        <w:t xml:space="preserve"> a ITMS2014+</w:t>
      </w:r>
      <w:r w:rsidR="007E330B">
        <w:t>,</w:t>
      </w:r>
      <w:r w:rsidRPr="007066F2">
        <w:t xml:space="preserve"> a</w:t>
      </w:r>
    </w:p>
    <w:p w14:paraId="27400A3F" w14:textId="77777777" w:rsidR="00442BFF" w:rsidRPr="007066F2" w:rsidRDefault="00442BFF" w:rsidP="00442BFF">
      <w:pPr>
        <w:pStyle w:val="ListParagraph"/>
        <w:numPr>
          <w:ilvl w:val="0"/>
          <w:numId w:val="80"/>
        </w:numPr>
      </w:pPr>
      <w:r w:rsidRPr="007066F2">
        <w:t>zber primárnych dát – dáta získané na základe dotazníkov a individuálnych rozhovorov, ktoré dopĺňali sekundárne dáta. Dotazníky boli vypĺňané projektovými manažérmi RO</w:t>
      </w:r>
      <w:r>
        <w:t>, projektovými manažérmi SO</w:t>
      </w:r>
      <w:r w:rsidRPr="007066F2">
        <w:t xml:space="preserve"> OPII a prijím</w:t>
      </w:r>
      <w:r>
        <w:t xml:space="preserve">ateľmi. Individuálne rozhovory </w:t>
      </w:r>
      <w:r w:rsidR="007E330B">
        <w:t xml:space="preserve">sa viedli </w:t>
      </w:r>
      <w:r>
        <w:t>s projektovými manažérmi RO a SO OPII pre doplnenie informácií v dotazníkoch.</w:t>
      </w:r>
      <w:r w:rsidRPr="007066F2">
        <w:t xml:space="preserve">  </w:t>
      </w:r>
    </w:p>
    <w:p w14:paraId="5ED5D665" w14:textId="77777777" w:rsidR="00442BFF" w:rsidRDefault="00442BFF" w:rsidP="00442BFF">
      <w:r w:rsidRPr="007066F2">
        <w:t xml:space="preserve">Metóda desk research </w:t>
      </w:r>
      <w:r>
        <w:t xml:space="preserve">vychádzala z </w:t>
      </w:r>
      <w:r w:rsidRPr="007066F2">
        <w:t>detailnej analýz</w:t>
      </w:r>
      <w:r>
        <w:t>y</w:t>
      </w:r>
      <w:r w:rsidRPr="007066F2">
        <w:t xml:space="preserve"> podkladov získaných zberom dát, z ktorej bolo následne vypracované vyhodnotenie implementácie projektov. Závery a odporúčania sú spracované podľa hodnotiacich otázok a sú rozpracované pre všetky prioritné osi prierezovo</w:t>
      </w:r>
      <w:r w:rsidR="007E330B">
        <w:t>,</w:t>
      </w:r>
      <w:r w:rsidRPr="007066F2">
        <w:t xml:space="preserve"> ako aj pre jednotlivé prioritné osi samostatne. </w:t>
      </w:r>
      <w:r w:rsidR="007E330B">
        <w:t>Na</w:t>
      </w:r>
      <w:r w:rsidR="007E330B" w:rsidRPr="007066F2">
        <w:t xml:space="preserve"> </w:t>
      </w:r>
      <w:r w:rsidRPr="007066F2">
        <w:t>spracovan</w:t>
      </w:r>
      <w:r>
        <w:t>ie</w:t>
      </w:r>
      <w:r w:rsidRPr="007066F2">
        <w:t xml:space="preserve"> záverov bola použitá komparatívna analýza a metóda logického rámca.</w:t>
      </w:r>
    </w:p>
    <w:p w14:paraId="4C8ED3C8" w14:textId="77777777" w:rsidR="00442BFF" w:rsidRPr="007066F2" w:rsidRDefault="00442BFF" w:rsidP="00442BFF">
      <w:r w:rsidRPr="007066F2">
        <w:t xml:space="preserve">Na základe spracovanej analýzy </w:t>
      </w:r>
      <w:r>
        <w:t xml:space="preserve">hodnotiteľ zodpovedal </w:t>
      </w:r>
      <w:r w:rsidRPr="007066F2">
        <w:t>hodnotiace otázky, ktoré boli definované v z</w:t>
      </w:r>
      <w:r>
        <w:t>adávacích podmienkach:</w:t>
      </w:r>
    </w:p>
    <w:p w14:paraId="1E5F797F" w14:textId="77777777" w:rsidR="00442BFF" w:rsidRPr="00A0456E" w:rsidRDefault="00442BFF" w:rsidP="00442BFF">
      <w:pPr>
        <w:rPr>
          <w:i/>
        </w:rPr>
      </w:pPr>
      <w:r w:rsidRPr="00A0456E">
        <w:rPr>
          <w:i/>
        </w:rPr>
        <w:t xml:space="preserve">Hodnotiaca otázka č. 1 </w:t>
      </w:r>
      <w:r w:rsidR="007E330B">
        <w:rPr>
          <w:i/>
        </w:rPr>
        <w:t>‒</w:t>
      </w:r>
      <w:r w:rsidRPr="00A0456E">
        <w:rPr>
          <w:i/>
        </w:rPr>
        <w:t xml:space="preserve"> Je potrebné zvýšiť výkonnosť a tempo kontrahácie a čerpania prostriedkov OPII s ohľadom na stanovené zámery a očakávané výsledky? Ak áno, aké opatrenia interného charakteru by mal prijať a aplikovať RO OPII/SO pri implementácii OPII, resp. iniciovať vo vzťahu k externým subjektom a prostrediu?</w:t>
      </w:r>
    </w:p>
    <w:p w14:paraId="4FC4CECF" w14:textId="77777777" w:rsidR="00442BFF" w:rsidRPr="00A0456E" w:rsidRDefault="00442BFF" w:rsidP="00442BFF">
      <w:pPr>
        <w:rPr>
          <w:i/>
        </w:rPr>
      </w:pPr>
      <w:r w:rsidRPr="00A0456E">
        <w:rPr>
          <w:i/>
        </w:rPr>
        <w:t xml:space="preserve">Hodnotiaca otázka č. 2 </w:t>
      </w:r>
      <w:r w:rsidR="007E330B">
        <w:rPr>
          <w:i/>
        </w:rPr>
        <w:t>‒</w:t>
      </w:r>
      <w:r w:rsidRPr="00A0456E">
        <w:rPr>
          <w:i/>
        </w:rPr>
        <w:t xml:space="preserve"> Existuje riziko na úrovni Kohézneho fondu (ďalej „KF“) a Európskeho fondu regionálneho rozvoja (ďalej „EFRR“), že nebudú splnené minimálne sumy čerpania finančných prostriedkov EÚ, ktoré boli stanovené pre OPII v súlade s pravidlom n + 3?</w:t>
      </w:r>
    </w:p>
    <w:p w14:paraId="4C3EB497" w14:textId="77777777" w:rsidR="00442BFF" w:rsidRPr="00A0456E" w:rsidRDefault="00442BFF" w:rsidP="00442BFF">
      <w:pPr>
        <w:rPr>
          <w:i/>
        </w:rPr>
      </w:pPr>
      <w:r w:rsidRPr="00A0456E">
        <w:rPr>
          <w:i/>
        </w:rPr>
        <w:t xml:space="preserve">Hodnotiaca otázka č. 3 </w:t>
      </w:r>
      <w:r w:rsidR="007E330B">
        <w:rPr>
          <w:i/>
        </w:rPr>
        <w:t>‒</w:t>
      </w:r>
      <w:r w:rsidRPr="00A0456E">
        <w:rPr>
          <w:i/>
        </w:rPr>
        <w:t xml:space="preserve"> V ktorých prioritných osiach existuje riziko nenaplnenia výkonnostného rámca? Pre ktoré prioritné osi by bolo vhodné vypracovať návrh na úpravu zámerov (pre rok 2023) a v akých hodnotách a sumách s následným predložením na posúdenie EK v rámci zmeny OPII podľa čl. 30 všeobecného nariadenia?</w:t>
      </w:r>
    </w:p>
    <w:p w14:paraId="1CA2D315" w14:textId="77777777" w:rsidR="00442BFF" w:rsidRPr="00A0456E" w:rsidRDefault="00442BFF" w:rsidP="00442BFF">
      <w:pPr>
        <w:rPr>
          <w:i/>
        </w:rPr>
      </w:pPr>
      <w:r w:rsidRPr="00A0456E">
        <w:rPr>
          <w:i/>
        </w:rPr>
        <w:t xml:space="preserve">Hodnotiaca otázka č. 4 </w:t>
      </w:r>
      <w:r w:rsidR="007E330B">
        <w:rPr>
          <w:i/>
        </w:rPr>
        <w:t>‒</w:t>
      </w:r>
      <w:r w:rsidRPr="00A0456E">
        <w:rPr>
          <w:i/>
        </w:rPr>
        <w:t xml:space="preserve"> Je potrebné v niektorých prioritných osiach doplniť nové alebo upraviť existujúce aktivity, doplniť nových prijímateľov, či rozšíriť cieľové územia tak, aby sa podporila implementácia OPII? Je potrebné s cieľom podporiť implementáciu OPII vykonať finančné presuny medzi prioritnými osami?</w:t>
      </w:r>
    </w:p>
    <w:p w14:paraId="2D889862" w14:textId="77777777" w:rsidR="00442BFF" w:rsidRPr="007066F2" w:rsidRDefault="00442BFF" w:rsidP="00442BFF"/>
    <w:p w14:paraId="6C4AB394" w14:textId="77777777" w:rsidR="00442BFF" w:rsidRDefault="00442BFF" w:rsidP="00442BFF">
      <w:r w:rsidRPr="007066F2">
        <w:lastRenderedPageBreak/>
        <w:t xml:space="preserve">Vyhodnotenie implementácie projektov je spracované podľa jednotlivých prioritných osí. Úroveň </w:t>
      </w:r>
      <w:r>
        <w:t xml:space="preserve">certifikovaného </w:t>
      </w:r>
      <w:r w:rsidRPr="007066F2">
        <w:t>čerpania k 31.</w:t>
      </w:r>
      <w:r w:rsidR="00BD1785">
        <w:t xml:space="preserve"> </w:t>
      </w:r>
      <w:r w:rsidRPr="007066F2">
        <w:t>12.</w:t>
      </w:r>
      <w:r w:rsidR="00BD1785">
        <w:t xml:space="preserve"> </w:t>
      </w:r>
      <w:r w:rsidRPr="007066F2">
        <w:t>2018 dosiahla 30,48</w:t>
      </w:r>
      <w:r w:rsidR="00BD1785">
        <w:t xml:space="preserve"> </w:t>
      </w:r>
      <w:r w:rsidRPr="007066F2">
        <w:t xml:space="preserve">% vrátane technickej pomoci, ktorá nebola predmetom hodnotenia. </w:t>
      </w:r>
      <w:r>
        <w:t>V absolútnom vyjadrení c</w:t>
      </w:r>
      <w:r w:rsidRPr="007066F2">
        <w:t xml:space="preserve">elkové certifikované </w:t>
      </w:r>
      <w:r>
        <w:t>výdavky</w:t>
      </w:r>
      <w:r w:rsidRPr="007066F2">
        <w:t xml:space="preserve"> k 31.</w:t>
      </w:r>
      <w:r w:rsidR="00BD1785">
        <w:t xml:space="preserve"> </w:t>
      </w:r>
      <w:r w:rsidRPr="007066F2">
        <w:t>12.</w:t>
      </w:r>
      <w:r w:rsidR="00BD1785">
        <w:t xml:space="preserve"> </w:t>
      </w:r>
      <w:r w:rsidRPr="007066F2">
        <w:t xml:space="preserve">2018 (EÚ zdroj) </w:t>
      </w:r>
      <w:r>
        <w:t xml:space="preserve">predstavovali </w:t>
      </w:r>
      <w:r w:rsidRPr="007066F2">
        <w:t xml:space="preserve">1 204 mil. EUR. Najvyššiu mieru čerpania v rámci OPII </w:t>
      </w:r>
      <w:r>
        <w:t>mala</w:t>
      </w:r>
      <w:r w:rsidRPr="007066F2">
        <w:t xml:space="preserve"> prioritná os 2</w:t>
      </w:r>
      <w:r>
        <w:t xml:space="preserve"> </w:t>
      </w:r>
      <w:r w:rsidR="00BD1785">
        <w:rPr>
          <w:i/>
        </w:rPr>
        <w:t xml:space="preserve">‒ </w:t>
      </w:r>
      <w:r>
        <w:t>Cestná infraštruktúra (TEN-T)</w:t>
      </w:r>
      <w:r w:rsidRPr="007066F2">
        <w:t xml:space="preserve"> (</w:t>
      </w:r>
      <w:r>
        <w:t>53,83</w:t>
      </w:r>
      <w:r w:rsidR="00BD1785">
        <w:t xml:space="preserve"> </w:t>
      </w:r>
      <w:r w:rsidRPr="007066F2">
        <w:t xml:space="preserve">%) a najnižšiu </w:t>
      </w:r>
      <w:r w:rsidR="00BD1785">
        <w:t xml:space="preserve">mala </w:t>
      </w:r>
      <w:r w:rsidRPr="007066F2">
        <w:t>prioritná os 4</w:t>
      </w:r>
      <w:r>
        <w:t xml:space="preserve"> </w:t>
      </w:r>
      <w:r w:rsidR="00BD1785">
        <w:rPr>
          <w:i/>
        </w:rPr>
        <w:t xml:space="preserve">‒ </w:t>
      </w:r>
      <w:r>
        <w:t>Infraštruktúra vodnej dopravy (TEN-T CORE)</w:t>
      </w:r>
      <w:r w:rsidRPr="007066F2">
        <w:t xml:space="preserve"> (0,0</w:t>
      </w:r>
      <w:r>
        <w:t>4</w:t>
      </w:r>
      <w:r w:rsidR="00BD1785">
        <w:t xml:space="preserve"> </w:t>
      </w:r>
      <w:r w:rsidRPr="007066F2">
        <w:t xml:space="preserve">%). </w:t>
      </w:r>
      <w:r w:rsidRPr="00FF4664">
        <w:t>Úroveň kontrahovania k 31.</w:t>
      </w:r>
      <w:r w:rsidR="00BD1785">
        <w:t xml:space="preserve"> </w:t>
      </w:r>
      <w:r w:rsidRPr="00FF4664">
        <w:t>12.</w:t>
      </w:r>
      <w:r w:rsidR="00BD1785">
        <w:t xml:space="preserve"> </w:t>
      </w:r>
      <w:r w:rsidRPr="00FF4664">
        <w:t>2018</w:t>
      </w:r>
      <w:r>
        <w:t xml:space="preserve"> bola</w:t>
      </w:r>
      <w:r w:rsidRPr="00FF4664">
        <w:t xml:space="preserve"> 63,55</w:t>
      </w:r>
      <w:r w:rsidR="00BD1785">
        <w:t xml:space="preserve"> </w:t>
      </w:r>
      <w:r w:rsidRPr="00FF4664">
        <w:t>% (2 896 mil. EU), pričom najvyššiu mieru kontrahovania dosiahla prioritná os 2 (115</w:t>
      </w:r>
      <w:r>
        <w:t>,10</w:t>
      </w:r>
      <w:r w:rsidR="00BD1785">
        <w:t xml:space="preserve"> </w:t>
      </w:r>
      <w:r w:rsidRPr="00FF4664">
        <w:t>%) a najnižšiu prioritná os 4 (0,</w:t>
      </w:r>
      <w:r>
        <w:t>35</w:t>
      </w:r>
      <w:r w:rsidR="00BD1785">
        <w:t xml:space="preserve"> </w:t>
      </w:r>
      <w:r w:rsidRPr="00FF4664">
        <w:t>%).</w:t>
      </w:r>
    </w:p>
    <w:p w14:paraId="08D815A7" w14:textId="77777777" w:rsidR="00442BFF" w:rsidRPr="007066F2" w:rsidRDefault="00442BFF" w:rsidP="00442BFF">
      <w:r w:rsidRPr="007066F2">
        <w:t>Porovnanie plnenia finančných ukazovateľov výkonnostného rámca s celkovým čerpaním a kontrahovaním k 31.</w:t>
      </w:r>
      <w:r w:rsidR="00BD1785">
        <w:t xml:space="preserve"> </w:t>
      </w:r>
      <w:r w:rsidRPr="007066F2">
        <w:t>12.</w:t>
      </w:r>
      <w:r w:rsidR="00BD1785">
        <w:t xml:space="preserve"> </w:t>
      </w:r>
      <w:r w:rsidRPr="007066F2">
        <w:t xml:space="preserve">2018 je </w:t>
      </w:r>
      <w:r w:rsidR="0016189E">
        <w:t>znázornené v </w:t>
      </w:r>
      <w:r w:rsidR="007373A9">
        <w:t xml:space="preserve">nasledujúcom </w:t>
      </w:r>
      <w:r w:rsidR="0016189E">
        <w:t>grafe:</w:t>
      </w:r>
    </w:p>
    <w:p w14:paraId="64C355E6" w14:textId="77777777" w:rsidR="00442BFF" w:rsidRPr="007066F2" w:rsidRDefault="00442BFF" w:rsidP="00442BFF">
      <w:r>
        <w:rPr>
          <w:noProof/>
          <w:lang w:eastAsia="sk-SK"/>
        </w:rPr>
        <w:drawing>
          <wp:inline distT="0" distB="0" distL="0" distR="0" wp14:anchorId="4E4A98D5" wp14:editId="1ED60982">
            <wp:extent cx="5499100" cy="32131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99100" cy="3213100"/>
                    </a:xfrm>
                    <a:prstGeom prst="rect">
                      <a:avLst/>
                    </a:prstGeom>
                    <a:noFill/>
                  </pic:spPr>
                </pic:pic>
              </a:graphicData>
            </a:graphic>
          </wp:inline>
        </w:drawing>
      </w:r>
    </w:p>
    <w:p w14:paraId="34C3352B" w14:textId="77777777" w:rsidR="00442BFF" w:rsidRDefault="00442BFF" w:rsidP="00442BFF">
      <w:pPr>
        <w:rPr>
          <w:i/>
        </w:rPr>
      </w:pPr>
      <w:r>
        <w:rPr>
          <w:i/>
        </w:rPr>
        <w:t xml:space="preserve">V nadväznosti na výsledky hodnotenia </w:t>
      </w:r>
      <w:r w:rsidR="0016189E">
        <w:rPr>
          <w:i/>
        </w:rPr>
        <w:t>dospel</w:t>
      </w:r>
      <w:r>
        <w:rPr>
          <w:i/>
        </w:rPr>
        <w:t xml:space="preserve"> </w:t>
      </w:r>
      <w:r w:rsidR="00BD1785">
        <w:rPr>
          <w:i/>
        </w:rPr>
        <w:t xml:space="preserve">hodnotiteľ </w:t>
      </w:r>
      <w:r>
        <w:rPr>
          <w:i/>
        </w:rPr>
        <w:t>k nasledovným záverom:</w:t>
      </w:r>
    </w:p>
    <w:p w14:paraId="3FDB7994" w14:textId="77777777" w:rsidR="00442BFF" w:rsidRPr="007066F2" w:rsidRDefault="00442BFF" w:rsidP="00442BFF">
      <w:r>
        <w:t xml:space="preserve">Úroveň </w:t>
      </w:r>
      <w:r w:rsidRPr="002F75BC">
        <w:rPr>
          <w:b/>
        </w:rPr>
        <w:t>kontrahovania a čerpania</w:t>
      </w:r>
      <w:r>
        <w:t xml:space="preserve"> Operačného programu Integrovaná infraštruktúra patrí medzi najlepšie spomedzi operačných programov SR. Aj napriek tomu je</w:t>
      </w:r>
      <w:r w:rsidRPr="007066F2">
        <w:t xml:space="preserve"> potrebné zvýšiť tempo kontrahovania, tzn. zakontrahovať ďalšie projekty, ktoré prispejú k naplneniu zámerov pre rok 2023. Projekty, ktoré by mali byť v rámci jednotlivých </w:t>
      </w:r>
      <w:r>
        <w:t>prioritných osí</w:t>
      </w:r>
      <w:r w:rsidRPr="007066F2">
        <w:t xml:space="preserve"> podporené</w:t>
      </w:r>
      <w:r w:rsidR="00BD1785">
        <w:t>,</w:t>
      </w:r>
      <w:r w:rsidRPr="007066F2">
        <w:t xml:space="preserve"> by sa mali zameriavať najmä na napĺňanie ukazovateľov výkonnostného rámca. </w:t>
      </w:r>
      <w:r w:rsidRPr="00000334">
        <w:t xml:space="preserve">V opačnom prípade hrozí </w:t>
      </w:r>
      <w:r>
        <w:t>riadiacemu orgánu</w:t>
      </w:r>
      <w:r w:rsidRPr="00000334">
        <w:t xml:space="preserve"> OPII zo strany EK uplatnenie finančných korekcií za nenaplnenie cieľových hodnôt ukazovateľov zaradených do výkonnostného rámca</w:t>
      </w:r>
      <w:r>
        <w:t>.</w:t>
      </w:r>
      <w:r w:rsidRPr="008D1403">
        <w:t xml:space="preserve"> </w:t>
      </w:r>
      <w:r w:rsidRPr="007066F2">
        <w:t>V</w:t>
      </w:r>
      <w:r>
        <w:t xml:space="preserve"> časti Závery a </w:t>
      </w:r>
      <w:r w:rsidRPr="007066F2">
        <w:t xml:space="preserve">odporúčania </w:t>
      </w:r>
      <w:r>
        <w:t xml:space="preserve">sú </w:t>
      </w:r>
      <w:r w:rsidRPr="007066F2">
        <w:t xml:space="preserve">pre jednotlivé prioritné osi uvedené projekty, ktoré na základe informácií z dotazníkov </w:t>
      </w:r>
      <w:r>
        <w:t>prispejú</w:t>
      </w:r>
      <w:r w:rsidRPr="007066F2">
        <w:t xml:space="preserve"> k naplneniu výkonnostného rámca.</w:t>
      </w:r>
    </w:p>
    <w:p w14:paraId="61D3FD21" w14:textId="6653FB74" w:rsidR="00442BFF" w:rsidRDefault="00442BFF" w:rsidP="00442BFF">
      <w:r w:rsidRPr="007066F2">
        <w:t xml:space="preserve">Vzhľadom </w:t>
      </w:r>
      <w:r>
        <w:t>na</w:t>
      </w:r>
      <w:r w:rsidRPr="007066F2">
        <w:t xml:space="preserve"> výsledk</w:t>
      </w:r>
      <w:r>
        <w:t>y</w:t>
      </w:r>
      <w:r w:rsidRPr="007066F2">
        <w:t xml:space="preserve"> </w:t>
      </w:r>
      <w:r>
        <w:t>hodnotenia</w:t>
      </w:r>
      <w:r w:rsidRPr="007066F2">
        <w:t xml:space="preserve"> je potrebné naštartovať kontrahovanie</w:t>
      </w:r>
      <w:r>
        <w:t>, implementáciu a čerpanie</w:t>
      </w:r>
      <w:r w:rsidRPr="007066F2">
        <w:t xml:space="preserve"> projektov najmä v prioritn</w:t>
      </w:r>
      <w:r>
        <w:t>ej</w:t>
      </w:r>
      <w:r w:rsidRPr="007066F2">
        <w:t xml:space="preserve"> osi 4 </w:t>
      </w:r>
      <w:r w:rsidR="00BD1785">
        <w:rPr>
          <w:i/>
        </w:rPr>
        <w:t xml:space="preserve">‒ </w:t>
      </w:r>
      <w:r>
        <w:t xml:space="preserve">Infraštruktúra vodnej dopravy (TEN-T CORE) </w:t>
      </w:r>
      <w:r w:rsidRPr="007066F2">
        <w:t>a</w:t>
      </w:r>
      <w:r>
        <w:t xml:space="preserve"> prioritnej osi </w:t>
      </w:r>
      <w:r w:rsidRPr="007066F2">
        <w:t>5</w:t>
      </w:r>
      <w:r>
        <w:t xml:space="preserve"> </w:t>
      </w:r>
      <w:r w:rsidR="00BD1785">
        <w:rPr>
          <w:i/>
        </w:rPr>
        <w:t>‒</w:t>
      </w:r>
      <w:r>
        <w:t>Železničná infraštruktúra</w:t>
      </w:r>
      <w:r w:rsidRPr="007066F2">
        <w:t xml:space="preserve">, </w:t>
      </w:r>
      <w:r>
        <w:t>pri ktorých</w:t>
      </w:r>
      <w:r w:rsidRPr="007066F2">
        <w:t xml:space="preserve"> je úroveň kontrahovania alarmujúca</w:t>
      </w:r>
      <w:r>
        <w:t xml:space="preserve"> a k 31.</w:t>
      </w:r>
      <w:r w:rsidR="00BD1785">
        <w:t> </w:t>
      </w:r>
      <w:r>
        <w:t>12.</w:t>
      </w:r>
      <w:r w:rsidR="00BD1785">
        <w:t> </w:t>
      </w:r>
      <w:r w:rsidR="008407F7">
        <w:t>20</w:t>
      </w:r>
      <w:r w:rsidR="0006696D">
        <w:t>1</w:t>
      </w:r>
      <w:r w:rsidR="008407F7">
        <w:t xml:space="preserve">8 </w:t>
      </w:r>
      <w:r>
        <w:t>nedosahovala ani jedno percento</w:t>
      </w:r>
      <w:r w:rsidRPr="00DF396F">
        <w:t>.</w:t>
      </w:r>
      <w:r w:rsidRPr="00C25A46">
        <w:t xml:space="preserve"> </w:t>
      </w:r>
      <w:r>
        <w:t>Tempo čerpania je potrebné zvýšiť aj v p</w:t>
      </w:r>
      <w:r w:rsidRPr="00C25A46">
        <w:t>rioritn</w:t>
      </w:r>
      <w:r>
        <w:t>ej</w:t>
      </w:r>
      <w:r w:rsidRPr="00C25A46">
        <w:t xml:space="preserve"> os</w:t>
      </w:r>
      <w:r>
        <w:t>i</w:t>
      </w:r>
      <w:r w:rsidRPr="00C25A46">
        <w:t xml:space="preserve"> 7 </w:t>
      </w:r>
      <w:r w:rsidR="00BD1785">
        <w:rPr>
          <w:i/>
        </w:rPr>
        <w:t xml:space="preserve">‒ </w:t>
      </w:r>
      <w:r>
        <w:t xml:space="preserve">Informačná spoločnosť, ktorá </w:t>
      </w:r>
      <w:r w:rsidRPr="00C25A46">
        <w:t>má síce zazmluvnené projekty</w:t>
      </w:r>
      <w:r>
        <w:t xml:space="preserve"> vo výške viac ako 30</w:t>
      </w:r>
      <w:r w:rsidR="00BD1785">
        <w:t xml:space="preserve"> </w:t>
      </w:r>
      <w:r>
        <w:t>%,</w:t>
      </w:r>
      <w:r w:rsidRPr="00C25A46">
        <w:t xml:space="preserve"> </w:t>
      </w:r>
      <w:r w:rsidR="00837083">
        <w:t>avšak</w:t>
      </w:r>
      <w:r w:rsidR="00BD1785" w:rsidRPr="00C25A46">
        <w:t xml:space="preserve"> </w:t>
      </w:r>
      <w:r w:rsidRPr="00C25A46">
        <w:t>väčšina projektov nie je realizovaná v súlade s</w:t>
      </w:r>
      <w:r w:rsidR="007A68E9">
        <w:t> </w:t>
      </w:r>
      <w:r w:rsidRPr="00C25A46">
        <w:t>harmonogram</w:t>
      </w:r>
      <w:r>
        <w:t>om</w:t>
      </w:r>
      <w:r w:rsidR="007A68E9">
        <w:t>, čo je spôsobené najmä zdĺhavou prípravou a realizáciou verejného obstarávania žiadateľmi</w:t>
      </w:r>
      <w:r w:rsidRPr="00C25A46">
        <w:t xml:space="preserve">. V prioritných osiach </w:t>
      </w:r>
      <w:r>
        <w:t xml:space="preserve">4, 5 a 7 </w:t>
      </w:r>
      <w:r w:rsidRPr="00C25A46">
        <w:t xml:space="preserve">nebol splnený ani cieľ </w:t>
      </w:r>
      <w:r>
        <w:t xml:space="preserve">výkonnostného rámca </w:t>
      </w:r>
      <w:r w:rsidRPr="00C25A46">
        <w:t xml:space="preserve">pre rok 2018. </w:t>
      </w:r>
    </w:p>
    <w:p w14:paraId="1CA2B714" w14:textId="77777777" w:rsidR="00442BFF" w:rsidRDefault="00442BFF" w:rsidP="00442BFF">
      <w:r w:rsidRPr="007066F2">
        <w:t>Na základe zhodnotenia čerpania finančných prostriedkov</w:t>
      </w:r>
      <w:r>
        <w:t xml:space="preserve"> za celý operačný program</w:t>
      </w:r>
      <w:r w:rsidRPr="007066F2">
        <w:t xml:space="preserve"> za roky 2016, 2017 a 2018, ktoré napĺňali záväzok</w:t>
      </w:r>
      <w:r>
        <w:t xml:space="preserve"> </w:t>
      </w:r>
      <w:r w:rsidRPr="002F75BC">
        <w:rPr>
          <w:b/>
        </w:rPr>
        <w:t>(n+3)</w:t>
      </w:r>
      <w:r w:rsidRPr="007066F2">
        <w:t xml:space="preserve"> 2014 a 2015, sa dá predpokladať, že v rámci OPII budú splnené minimálne sumy čerpania aj pre ďalšie roky. </w:t>
      </w:r>
      <w:r w:rsidRPr="00DF396F">
        <w:t>Finančné záväzky a ich čerpanie sú podrobne spracované v Záveroch a odporúčaniach.</w:t>
      </w:r>
      <w:r>
        <w:t xml:space="preserve"> Tempo čerpania je potrebné zvýšiť najmä pre projekty financované z Európskeho fondu regionálneho rozvoja, v rámci ktorého bolo problematické aj plnenie prvých dvoch </w:t>
      </w:r>
      <w:r>
        <w:lastRenderedPageBreak/>
        <w:t xml:space="preserve">záväzkov. Aj napriek tomu </w:t>
      </w:r>
      <w:r w:rsidR="00BD1785">
        <w:t xml:space="preserve">OPII splnil dané finančné záväzky, a to </w:t>
      </w:r>
      <w:r>
        <w:t>vďaka vysokému čerpaniu prostriedkov Kohézneho fondu.</w:t>
      </w:r>
    </w:p>
    <w:p w14:paraId="295636CF" w14:textId="77777777" w:rsidR="00442BFF" w:rsidRPr="002F75BC" w:rsidRDefault="00442BFF" w:rsidP="00442BFF">
      <w:pPr>
        <w:rPr>
          <w:rFonts w:ascii="Verdana" w:hAnsi="Verdana"/>
        </w:rPr>
      </w:pPr>
      <w:r>
        <w:rPr>
          <w:rFonts w:ascii="Verdana" w:hAnsi="Verdana"/>
        </w:rPr>
        <w:t>V prípade nedosiahnutia hodnoty ukazovateľov prioritnej osi na úrovni 65</w:t>
      </w:r>
      <w:r w:rsidR="00BD1785">
        <w:rPr>
          <w:rFonts w:ascii="Verdana" w:hAnsi="Verdana"/>
        </w:rPr>
        <w:t xml:space="preserve"> </w:t>
      </w:r>
      <w:r>
        <w:rPr>
          <w:rFonts w:ascii="Verdana" w:hAnsi="Verdana"/>
        </w:rPr>
        <w:t>% sa v súlade s usmernením EK uplatňuje korekcia vo výške 5 – 25</w:t>
      </w:r>
      <w:r w:rsidR="00BD1785">
        <w:rPr>
          <w:rFonts w:ascii="Verdana" w:hAnsi="Verdana"/>
        </w:rPr>
        <w:t xml:space="preserve"> </w:t>
      </w:r>
      <w:r>
        <w:rPr>
          <w:rFonts w:ascii="Verdana" w:hAnsi="Verdana"/>
        </w:rPr>
        <w:t xml:space="preserve">%. </w:t>
      </w:r>
      <w:r>
        <w:t>Vo vzťahu k OPII sa riziko nenaplnia výkonnostného rámca vzťahuje najmä</w:t>
      </w:r>
      <w:r w:rsidRPr="007066F2">
        <w:t xml:space="preserve"> pre prioritné osi 4, </w:t>
      </w:r>
      <w:r w:rsidR="007A68E9" w:rsidRPr="007066F2">
        <w:t>5 a 7.</w:t>
      </w:r>
    </w:p>
    <w:p w14:paraId="6B81740B" w14:textId="77777777" w:rsidR="00442BFF" w:rsidRPr="00530886" w:rsidRDefault="00442BFF" w:rsidP="00442BFF">
      <w:pPr>
        <w:rPr>
          <w:b/>
        </w:rPr>
      </w:pPr>
      <w:r w:rsidRPr="00530886">
        <w:rPr>
          <w:b/>
        </w:rPr>
        <w:t>Kľúčové zistenia a odporúčania</w:t>
      </w:r>
    </w:p>
    <w:p w14:paraId="604DC9D2" w14:textId="77777777" w:rsidR="00442BFF" w:rsidRDefault="00442BFF" w:rsidP="00442BFF">
      <w:r>
        <w:t>V nadväznosti na závery hodnotenia boli identifikované nasledovné hlavné zistenia, ktoré ovplyvňujú výkonnosť a čerpanie OPII:</w:t>
      </w:r>
    </w:p>
    <w:p w14:paraId="234478FF" w14:textId="77777777" w:rsidR="00442BFF" w:rsidRDefault="00442BFF" w:rsidP="00442BFF">
      <w:pPr>
        <w:pStyle w:val="ListParagraph"/>
        <w:numPr>
          <w:ilvl w:val="0"/>
          <w:numId w:val="80"/>
        </w:numPr>
      </w:pPr>
      <w:r>
        <w:t xml:space="preserve">cieľové hodnoty merateľných ukazovateľov OPII nezodpovedajú zmenám, ktoré nastali v priebehu implementácie (zmeny národných projektov, zmena metodiky CBA, externé vplyvy). Toto zistenie sa týka prioritných osí 1 </w:t>
      </w:r>
      <w:r w:rsidR="00BD1785">
        <w:rPr>
          <w:i/>
        </w:rPr>
        <w:t>‒</w:t>
      </w:r>
      <w:r>
        <w:t xml:space="preserve"> 6 a sú to najmä ukazovatele</w:t>
      </w:r>
      <w:r w:rsidR="00BD1785">
        <w:t>:</w:t>
      </w:r>
      <w:r>
        <w:t xml:space="preserve"> úspora času, úspora emisií a počet prepravených cestujúcich</w:t>
      </w:r>
      <w:r w:rsidR="00BD1785">
        <w:t>,</w:t>
      </w:r>
    </w:p>
    <w:p w14:paraId="14E2A435" w14:textId="77777777" w:rsidR="008C08C3" w:rsidRDefault="008C08C3" w:rsidP="008C08C3">
      <w:pPr>
        <w:pStyle w:val="ListParagraph"/>
        <w:numPr>
          <w:ilvl w:val="0"/>
          <w:numId w:val="80"/>
        </w:numPr>
      </w:pPr>
      <w:r>
        <w:t>ukazovatele v plánovaných a realizovaných projektoch prioritnej osi 7 nereflektujú ukazovatele stanovené na úrovni OPII;</w:t>
      </w:r>
    </w:p>
    <w:p w14:paraId="55C2495D" w14:textId="77777777" w:rsidR="00442BFF" w:rsidRPr="009E042B" w:rsidRDefault="00442BFF" w:rsidP="00776184">
      <w:pPr>
        <w:pStyle w:val="ListParagraph"/>
        <w:numPr>
          <w:ilvl w:val="0"/>
          <w:numId w:val="80"/>
        </w:numPr>
      </w:pPr>
      <w:r>
        <w:t xml:space="preserve">pripravenosť projektov na financovanie z EÚ fondov nie je dostatočná v prioritných osiach 4, 5 </w:t>
      </w:r>
      <w:r w:rsidR="008C08C3">
        <w:t>a 7</w:t>
      </w:r>
      <w:r>
        <w:t xml:space="preserve">. V prioritnej osi 4 </w:t>
      </w:r>
      <w:r w:rsidR="007121A8">
        <w:t xml:space="preserve">možno </w:t>
      </w:r>
      <w:r>
        <w:t xml:space="preserve">za závažné nedostatky považovať </w:t>
      </w:r>
      <w:r w:rsidRPr="009E042B">
        <w:t>nevysporiadan</w:t>
      </w:r>
      <w:r>
        <w:t>é majetkovo-právne</w:t>
      </w:r>
      <w:r w:rsidRPr="009E042B">
        <w:t xml:space="preserve"> vzťah</w:t>
      </w:r>
      <w:r>
        <w:t>y</w:t>
      </w:r>
      <w:r w:rsidRPr="009E042B">
        <w:t xml:space="preserve"> vo </w:t>
      </w:r>
      <w:r w:rsidR="00F90DAF">
        <w:t>V</w:t>
      </w:r>
      <w:r w:rsidR="001D52E4" w:rsidRPr="009E042B">
        <w:t xml:space="preserve">erejnom </w:t>
      </w:r>
      <w:r w:rsidRPr="009E042B">
        <w:t>prístave Bratislava</w:t>
      </w:r>
      <w:r>
        <w:t xml:space="preserve">, zdĺhavý proces verejného obstarávania na štúdie uskutočniteľnosti a z toho dôvodu aj oneskorenie realizácie projektov. V prioritnej osi 5 je </w:t>
      </w:r>
      <w:r w:rsidR="007121A8">
        <w:t xml:space="preserve">to </w:t>
      </w:r>
      <w:r>
        <w:t xml:space="preserve">zdĺhavá príprava projektov a nedostatočná informovanosť riadiaceho orgánu o stave prípravy projektov. </w:t>
      </w:r>
      <w:r w:rsidR="00776184">
        <w:t xml:space="preserve">V prioritnej osi 7 sú najzávažnejšie problémy vo verejnom obstarávaní z dôvodu pochybení v procese prípravy a zverejňovania verejného obstarávania; </w:t>
      </w:r>
    </w:p>
    <w:p w14:paraId="198552E6" w14:textId="77777777" w:rsidR="00776184" w:rsidRDefault="00442BFF" w:rsidP="00776184">
      <w:pPr>
        <w:pStyle w:val="ListParagraph"/>
        <w:numPr>
          <w:ilvl w:val="0"/>
          <w:numId w:val="80"/>
        </w:numPr>
      </w:pPr>
      <w:r>
        <w:t>dochádza k nedodržiavaniu postupov (napr. nedodržiavanie lehôt na predkladanie monitorovacích správ</w:t>
      </w:r>
      <w:r w:rsidR="007121A8">
        <w:t xml:space="preserve"> alebo</w:t>
      </w:r>
      <w:r>
        <w:t xml:space="preserve"> nepredkladanie následných monitorovacích správ) stanovených v riadiacej dokumentácii na strane prijímateľov </w:t>
      </w:r>
      <w:r w:rsidR="00776184">
        <w:t>a v niektorých prípadoch aj nedodržaniu postupov (napr. nevykonaná kontrola monitorovacej správy) internej riadiacej dokumentácie na strane sprostredkovateľského orgánu.</w:t>
      </w:r>
    </w:p>
    <w:p w14:paraId="2AC9FA6D" w14:textId="77777777" w:rsidR="00442BFF" w:rsidRDefault="007121A8" w:rsidP="007373A9">
      <w:r>
        <w:t xml:space="preserve">Na </w:t>
      </w:r>
      <w:r w:rsidR="00442BFF">
        <w:t>elimináciu rizík spojených s implementáciou hodnotiteľ odporúča nasledovné opatrenia:</w:t>
      </w:r>
    </w:p>
    <w:p w14:paraId="2198FC45" w14:textId="77777777" w:rsidR="00442BFF" w:rsidRDefault="00442BFF" w:rsidP="00442BFF">
      <w:pPr>
        <w:pStyle w:val="ListParagraph"/>
        <w:numPr>
          <w:ilvl w:val="0"/>
          <w:numId w:val="89"/>
        </w:numPr>
      </w:pPr>
      <w:r>
        <w:t>Vypracovať akčný plán pre rizikové prioritné osi 4, 5 a </w:t>
      </w:r>
      <w:r w:rsidR="00776184">
        <w:t>7</w:t>
      </w:r>
      <w:r>
        <w:t xml:space="preserve">, ktorý </w:t>
      </w:r>
      <w:r w:rsidRPr="008D1CBD">
        <w:t>povedie k posunu implementácie kľúčových projektov smerujúcich k naplneniu cieľov OPII.</w:t>
      </w:r>
      <w:r w:rsidRPr="00DF396F">
        <w:t xml:space="preserve"> V prípade nedodržania cieľov stanovených v</w:t>
      </w:r>
      <w:r>
        <w:t xml:space="preserve"> akčnom </w:t>
      </w:r>
      <w:r w:rsidRPr="00DF396F">
        <w:t xml:space="preserve">pláne </w:t>
      </w:r>
      <w:r>
        <w:t>bude nutné</w:t>
      </w:r>
      <w:r w:rsidRPr="00DF396F">
        <w:t xml:space="preserve"> realokovať nedočerpané prostriedky do iných prioritných osí</w:t>
      </w:r>
      <w:r>
        <w:t>, ktoré majú vyššiu absorpčnú kapacitu</w:t>
      </w:r>
      <w:r w:rsidRPr="00DF396F">
        <w:t>.</w:t>
      </w:r>
      <w:r w:rsidRPr="000058A1">
        <w:t xml:space="preserve"> </w:t>
      </w:r>
    </w:p>
    <w:p w14:paraId="0512A049" w14:textId="77777777" w:rsidR="00442BFF" w:rsidRDefault="00442BFF" w:rsidP="00442BFF">
      <w:pPr>
        <w:pStyle w:val="ListParagraph"/>
        <w:numPr>
          <w:ilvl w:val="0"/>
          <w:numId w:val="89"/>
        </w:numPr>
      </w:pPr>
      <w:r>
        <w:t xml:space="preserve">Vykonať dopadové hodnotenie, ktoré by preukázalo vplyv realizovaných projektov na ukazovatele vykazované na úrovni OPII na základe </w:t>
      </w:r>
      <w:r w:rsidR="007373A9">
        <w:t>štatistík</w:t>
      </w:r>
      <w:r>
        <w:t>. Toto hodnotenie by malo jasne preukázať previazanosť projektov a operačného programu a v rámci hodnotenia bude</w:t>
      </w:r>
      <w:r w:rsidR="007121A8">
        <w:t xml:space="preserve"> tiež</w:t>
      </w:r>
      <w:r>
        <w:t xml:space="preserve"> potrebné </w:t>
      </w:r>
      <w:r w:rsidRPr="00814E17">
        <w:t>očistiť vplyv externých faktorov</w:t>
      </w:r>
      <w:r w:rsidR="00957DDE">
        <w:t xml:space="preserve"> na tieto ukazovatele</w:t>
      </w:r>
      <w:r>
        <w:t>.</w:t>
      </w:r>
    </w:p>
    <w:p w14:paraId="369BD35B" w14:textId="77777777" w:rsidR="00442BFF" w:rsidRDefault="00442BFF" w:rsidP="00442BFF">
      <w:pPr>
        <w:pStyle w:val="ListParagraph"/>
        <w:numPr>
          <w:ilvl w:val="0"/>
          <w:numId w:val="89"/>
        </w:numPr>
      </w:pPr>
      <w:r>
        <w:t>Prehodnotiť cieľové hodnoty ukazovateľov úspora času a úspora emisií prioritných osí 1 až 6 a nastaviť nové cieľové hodnoty, ktoré budú reflektovať projekty realizované v jednotlivých prioritných osiach a </w:t>
      </w:r>
      <w:r w:rsidR="007121A8">
        <w:t>t</w:t>
      </w:r>
      <w:r>
        <w:t xml:space="preserve">iež pravidlá stanovené v nových metodických dokumentoch (napr. manuál </w:t>
      </w:r>
      <w:r w:rsidR="007373A9">
        <w:t>CBA)</w:t>
      </w:r>
      <w:r>
        <w:t>.</w:t>
      </w:r>
    </w:p>
    <w:p w14:paraId="130824CD" w14:textId="126ACB9D" w:rsidR="00442BFF" w:rsidRDefault="001177F7" w:rsidP="00776184">
      <w:pPr>
        <w:pStyle w:val="ListParagraph"/>
        <w:numPr>
          <w:ilvl w:val="0"/>
          <w:numId w:val="89"/>
        </w:numPr>
      </w:pPr>
      <w:r>
        <w:t xml:space="preserve">Aktualizovať </w:t>
      </w:r>
      <w:r w:rsidR="00442BFF">
        <w:t xml:space="preserve">metodiku pre ukazovatele stanovené </w:t>
      </w:r>
      <w:r>
        <w:t xml:space="preserve">v rámci </w:t>
      </w:r>
      <w:r w:rsidR="00442BFF">
        <w:t>prioritn</w:t>
      </w:r>
      <w:r>
        <w:t>ej</w:t>
      </w:r>
      <w:r w:rsidR="00442BFF">
        <w:t xml:space="preserve"> os 7, v ktorej budú projektové ukazovatele</w:t>
      </w:r>
      <w:r w:rsidR="00442BFF" w:rsidRPr="00E93DF1">
        <w:t xml:space="preserve"> jasným spôsobom reflektova</w:t>
      </w:r>
      <w:r w:rsidR="00442BFF">
        <w:t>ť</w:t>
      </w:r>
      <w:r w:rsidR="00442BFF" w:rsidRPr="00E93DF1">
        <w:t xml:space="preserve"> jednotlivé aktivity </w:t>
      </w:r>
      <w:r w:rsidR="00442BFF">
        <w:t>projektov</w:t>
      </w:r>
      <w:r w:rsidR="00442BFF" w:rsidRPr="00E93DF1">
        <w:t xml:space="preserve"> a</w:t>
      </w:r>
      <w:r w:rsidR="00442BFF">
        <w:t xml:space="preserve"> </w:t>
      </w:r>
      <w:r w:rsidR="00442BFF" w:rsidRPr="00E93DF1">
        <w:t>prispieva</w:t>
      </w:r>
      <w:r w:rsidR="00442BFF">
        <w:t>ť</w:t>
      </w:r>
      <w:r w:rsidR="00442BFF" w:rsidRPr="00E93DF1">
        <w:t xml:space="preserve"> k tvorbe ukazovateľov na úrovni programu. V rámci metodiky odporúčame vypracovať aj maticu prepojenia a definície jednotlivých ukazovateľov na úrovni projektu a programu.</w:t>
      </w:r>
      <w:r w:rsidR="00776184" w:rsidRPr="00776184">
        <w:rPr>
          <w:szCs w:val="18"/>
        </w:rPr>
        <w:t xml:space="preserve"> </w:t>
      </w:r>
      <w:r w:rsidR="007121A8" w:rsidRPr="00776184">
        <w:rPr>
          <w:szCs w:val="18"/>
        </w:rPr>
        <w:t>T</w:t>
      </w:r>
      <w:r w:rsidR="00442BFF" w:rsidRPr="00776184">
        <w:rPr>
          <w:szCs w:val="18"/>
        </w:rPr>
        <w:t>iež odporúčame upraviť riadiacu dokumentáciu prioritnej osi 7, ktorá upraví povinnosť prijímateľa o zadávaní ukazovateľov do žiadosti o nenávratný finančný príspevok.</w:t>
      </w:r>
    </w:p>
    <w:p w14:paraId="3A787EAD" w14:textId="77777777" w:rsidR="00442BFF" w:rsidRDefault="00442BFF" w:rsidP="00442BFF">
      <w:pPr>
        <w:pStyle w:val="ListParagraph"/>
        <w:numPr>
          <w:ilvl w:val="0"/>
          <w:numId w:val="89"/>
        </w:numPr>
      </w:pPr>
      <w:r>
        <w:t>Zlepš</w:t>
      </w:r>
      <w:r w:rsidR="00F03360">
        <w:t>enie</w:t>
      </w:r>
      <w:r>
        <w:t xml:space="preserve"> informovanos</w:t>
      </w:r>
      <w:r w:rsidR="00F03360">
        <w:t>ti</w:t>
      </w:r>
      <w:r>
        <w:t xml:space="preserve"> riadiaceho orgánu o stave pripravenosti projektov </w:t>
      </w:r>
      <w:r w:rsidRPr="00C25A46">
        <w:t xml:space="preserve">železničnej infraštruktúry </w:t>
      </w:r>
      <w:r>
        <w:t>je možné dosiahnuť</w:t>
      </w:r>
      <w:r w:rsidRPr="00C25A46">
        <w:t xml:space="preserve"> vypracova</w:t>
      </w:r>
      <w:r>
        <w:t>ním</w:t>
      </w:r>
      <w:r w:rsidRPr="00C25A46">
        <w:t xml:space="preserve"> databáz</w:t>
      </w:r>
      <w:r>
        <w:t>y</w:t>
      </w:r>
      <w:r w:rsidRPr="00C25A46">
        <w:t xml:space="preserve"> </w:t>
      </w:r>
      <w:r>
        <w:t xml:space="preserve">plánovaných </w:t>
      </w:r>
      <w:r w:rsidRPr="00C25A46">
        <w:t xml:space="preserve">projektov, ktorá bude </w:t>
      </w:r>
      <w:r w:rsidRPr="00C25A46">
        <w:lastRenderedPageBreak/>
        <w:t>priebežne aktualizovaná na základe informácií od žiadateľov</w:t>
      </w:r>
      <w:r w:rsidRPr="00DF396F">
        <w:t>.</w:t>
      </w:r>
      <w:r>
        <w:t xml:space="preserve"> </w:t>
      </w:r>
      <w:r w:rsidRPr="000058A1">
        <w:t xml:space="preserve">Na základe tejto databázy bude možné </w:t>
      </w:r>
      <w:r>
        <w:t>analyzovať pripravenosť projektov</w:t>
      </w:r>
      <w:r w:rsidRPr="000058A1">
        <w:t>.</w:t>
      </w:r>
    </w:p>
    <w:p w14:paraId="3BA08126" w14:textId="77777777" w:rsidR="00442BFF" w:rsidRDefault="00442BFF" w:rsidP="00442BFF">
      <w:pPr>
        <w:pStyle w:val="ListParagraph"/>
        <w:numPr>
          <w:ilvl w:val="0"/>
          <w:numId w:val="89"/>
        </w:numPr>
      </w:pPr>
      <w:r>
        <w:t xml:space="preserve">Zintenzívniť prípravu a realizáciu projektov </w:t>
      </w:r>
      <w:r w:rsidRPr="007066F2">
        <w:t>štúdi</w:t>
      </w:r>
      <w:r>
        <w:t>í</w:t>
      </w:r>
      <w:r w:rsidRPr="007066F2">
        <w:t xml:space="preserve"> uskutočniteľnosti a projekto</w:t>
      </w:r>
      <w:r>
        <w:t>vej</w:t>
      </w:r>
      <w:r w:rsidRPr="007066F2">
        <w:t xml:space="preserve"> dokum</w:t>
      </w:r>
      <w:r>
        <w:t>entácie v rámci prioritnej osi 4</w:t>
      </w:r>
      <w:r w:rsidRPr="007066F2">
        <w:t xml:space="preserve">, ktoré sú </w:t>
      </w:r>
      <w:r>
        <w:t xml:space="preserve">nevyhnutným </w:t>
      </w:r>
      <w:r w:rsidRPr="007066F2">
        <w:t xml:space="preserve">predpokladom pre realizáciu investičných projektov. Realizácia a financovanie nadväzujúcich aktivít </w:t>
      </w:r>
      <w:r w:rsidR="00F03360">
        <w:t>sú</w:t>
      </w:r>
      <w:r w:rsidR="00F03360" w:rsidRPr="007066F2">
        <w:t xml:space="preserve"> </w:t>
      </w:r>
      <w:r w:rsidRPr="007066F2">
        <w:t>podmienen</w:t>
      </w:r>
      <w:r w:rsidR="00F03360">
        <w:t>é</w:t>
      </w:r>
      <w:r w:rsidRPr="007066F2">
        <w:t xml:space="preserve"> prerokovaním výsledkov štúdie s Jaspers a vydaním pozitívneho stanoviska EK.</w:t>
      </w:r>
      <w:r>
        <w:t xml:space="preserve"> </w:t>
      </w:r>
    </w:p>
    <w:p w14:paraId="17876187" w14:textId="1ED98E8F" w:rsidR="00776184" w:rsidRDefault="00442BFF" w:rsidP="00776184">
      <w:pPr>
        <w:pStyle w:val="ListParagraph"/>
        <w:numPr>
          <w:ilvl w:val="0"/>
          <w:numId w:val="89"/>
        </w:numPr>
      </w:pPr>
      <w:r>
        <w:t xml:space="preserve">Riziká súvisiace s verejným obstarávaním v rámci prioritnej osi 7 je možné eliminovať konzultáciami </w:t>
      </w:r>
      <w:r w:rsidRPr="007066F2">
        <w:t>prijímate</w:t>
      </w:r>
      <w:r>
        <w:t>ľov</w:t>
      </w:r>
      <w:r w:rsidRPr="007066F2">
        <w:t xml:space="preserve"> </w:t>
      </w:r>
      <w:r>
        <w:t>pri príprave súťažných podkladov s pracovníkmi riadiaceho orgánu</w:t>
      </w:r>
      <w:r w:rsidR="00957DDE">
        <w:t xml:space="preserve">, aby </w:t>
      </w:r>
      <w:r>
        <w:t xml:space="preserve">ešte pred predložením ŽoNFP mali kompletné </w:t>
      </w:r>
      <w:r w:rsidRPr="009C3447">
        <w:t>súťažn</w:t>
      </w:r>
      <w:r>
        <w:t>é</w:t>
      </w:r>
      <w:r w:rsidRPr="009C3447">
        <w:t xml:space="preserve"> podmienk</w:t>
      </w:r>
      <w:r>
        <w:t>y</w:t>
      </w:r>
      <w:r w:rsidRPr="009C3447">
        <w:t xml:space="preserve">, ktoré prešli kontrolou </w:t>
      </w:r>
      <w:r>
        <w:t>riadiaceho orgánu</w:t>
      </w:r>
      <w:r w:rsidRPr="009C3447">
        <w:t xml:space="preserve"> a ÚVO.</w:t>
      </w:r>
      <w:r w:rsidRPr="007066F2">
        <w:t xml:space="preserve"> </w:t>
      </w:r>
    </w:p>
    <w:p w14:paraId="3FB53FE6" w14:textId="77777777" w:rsidR="00776184" w:rsidRPr="00F32F9F" w:rsidRDefault="00776184" w:rsidP="00776184">
      <w:pPr>
        <w:pStyle w:val="ListParagraph"/>
        <w:numPr>
          <w:ilvl w:val="0"/>
          <w:numId w:val="89"/>
        </w:numPr>
      </w:pPr>
      <w:r>
        <w:t xml:space="preserve">Na základe nedostatkov identifikovaných </w:t>
      </w:r>
      <w:r w:rsidR="00C43A00">
        <w:t xml:space="preserve">v rámci hodnotenia </w:t>
      </w:r>
      <w:r>
        <w:t xml:space="preserve">pri riadení a kontrole prioritnej osi 7 na strane sprostredkovateľského orgánu </w:t>
      </w:r>
      <w:r w:rsidR="001177F7">
        <w:t xml:space="preserve">odporúčame </w:t>
      </w:r>
      <w:r>
        <w:t xml:space="preserve">vykonať </w:t>
      </w:r>
      <w:r>
        <w:rPr>
          <w:szCs w:val="18"/>
        </w:rPr>
        <w:t xml:space="preserve">podrobnú kontrolu úloh vykonávaných sprostredkovateľským orgánom. </w:t>
      </w:r>
    </w:p>
    <w:p w14:paraId="27613BD0" w14:textId="77777777" w:rsidR="00442BFF" w:rsidRPr="007066F2" w:rsidRDefault="00442BFF" w:rsidP="00442BFF">
      <w:pPr>
        <w:pStyle w:val="ListParagraph"/>
        <w:numPr>
          <w:ilvl w:val="0"/>
          <w:numId w:val="89"/>
        </w:numPr>
      </w:pPr>
      <w:r w:rsidRPr="007066F2">
        <w:t>Najpodstatnejšie zmeny z pohľadu doplnenia aktivity, nových prijímateľov, či rozšírenia cieľového územia</w:t>
      </w:r>
      <w:r>
        <w:t xml:space="preserve"> je potrebné</w:t>
      </w:r>
      <w:r w:rsidRPr="007066F2">
        <w:t xml:space="preserve"> </w:t>
      </w:r>
      <w:r>
        <w:t>vykonať</w:t>
      </w:r>
      <w:r w:rsidRPr="007066F2">
        <w:t xml:space="preserve"> v rámci prioritnej osi 4. </w:t>
      </w:r>
      <w:r>
        <w:t>Dôležitým krokom je doplnenie</w:t>
      </w:r>
      <w:r w:rsidRPr="007066F2">
        <w:t xml:space="preserve"> nových </w:t>
      </w:r>
      <w:r>
        <w:t xml:space="preserve">oprávnených </w:t>
      </w:r>
      <w:r w:rsidRPr="007066F2">
        <w:t>prijímateľov:</w:t>
      </w:r>
    </w:p>
    <w:p w14:paraId="58406B8F" w14:textId="77777777" w:rsidR="00442BFF" w:rsidRPr="007066F2" w:rsidRDefault="00442BFF" w:rsidP="00442BFF">
      <w:pPr>
        <w:pStyle w:val="ListParagraph"/>
        <w:numPr>
          <w:ilvl w:val="0"/>
          <w:numId w:val="80"/>
        </w:numPr>
        <w:ind w:left="1170" w:hanging="450"/>
        <w:contextualSpacing/>
        <w:rPr>
          <w:rFonts w:asciiTheme="minorHAnsi" w:eastAsia="Verdana" w:hAnsiTheme="minorHAnsi"/>
          <w:szCs w:val="18"/>
          <w:lang w:eastAsia="cs-CZ"/>
        </w:rPr>
      </w:pPr>
      <w:r w:rsidRPr="007066F2">
        <w:rPr>
          <w:rFonts w:asciiTheme="minorHAnsi" w:eastAsia="Verdana" w:hAnsiTheme="minorHAnsi"/>
          <w:szCs w:val="18"/>
          <w:lang w:eastAsia="cs-CZ"/>
        </w:rPr>
        <w:t>Slovenský vodohospodársky podnik, štátny podnik</w:t>
      </w:r>
    </w:p>
    <w:p w14:paraId="3A6B345A" w14:textId="77777777" w:rsidR="00442BFF" w:rsidRPr="007066F2" w:rsidRDefault="00442BFF" w:rsidP="00442BFF">
      <w:pPr>
        <w:pStyle w:val="ListParagraph"/>
        <w:numPr>
          <w:ilvl w:val="0"/>
          <w:numId w:val="80"/>
        </w:numPr>
        <w:ind w:left="1170" w:hanging="450"/>
        <w:contextualSpacing/>
        <w:rPr>
          <w:rFonts w:asciiTheme="minorHAnsi" w:eastAsia="Verdana" w:hAnsiTheme="minorHAnsi"/>
          <w:szCs w:val="18"/>
          <w:lang w:eastAsia="cs-CZ"/>
        </w:rPr>
      </w:pPr>
      <w:r w:rsidRPr="007066F2">
        <w:rPr>
          <w:rFonts w:asciiTheme="minorHAnsi" w:eastAsia="Verdana" w:hAnsiTheme="minorHAnsi"/>
          <w:szCs w:val="18"/>
          <w:lang w:eastAsia="cs-CZ"/>
        </w:rPr>
        <w:t>Vodohospodárska výstavba, štátny podnik</w:t>
      </w:r>
    </w:p>
    <w:p w14:paraId="3DC42DA6" w14:textId="77777777" w:rsidR="006D0F1F" w:rsidRDefault="00442BFF" w:rsidP="00442BFF">
      <w:pPr>
        <w:pStyle w:val="ListParagraph"/>
        <w:numPr>
          <w:ilvl w:val="0"/>
          <w:numId w:val="80"/>
        </w:numPr>
        <w:ind w:left="1170" w:hanging="450"/>
        <w:contextualSpacing/>
        <w:rPr>
          <w:rFonts w:asciiTheme="minorHAnsi" w:eastAsia="Verdana" w:hAnsiTheme="minorHAnsi"/>
          <w:szCs w:val="18"/>
          <w:lang w:eastAsia="cs-CZ"/>
        </w:rPr>
      </w:pPr>
      <w:r w:rsidRPr="007066F2">
        <w:rPr>
          <w:rFonts w:asciiTheme="minorHAnsi" w:eastAsia="Verdana" w:hAnsiTheme="minorHAnsi"/>
          <w:szCs w:val="18"/>
          <w:lang w:eastAsia="cs-CZ"/>
        </w:rPr>
        <w:t>Slovenská technická univerzita v</w:t>
      </w:r>
      <w:r w:rsidR="006D0F1F">
        <w:rPr>
          <w:rFonts w:asciiTheme="minorHAnsi" w:eastAsia="Verdana" w:hAnsiTheme="minorHAnsi"/>
          <w:szCs w:val="18"/>
          <w:lang w:eastAsia="cs-CZ"/>
        </w:rPr>
        <w:t> </w:t>
      </w:r>
      <w:r w:rsidRPr="007066F2">
        <w:rPr>
          <w:rFonts w:asciiTheme="minorHAnsi" w:eastAsia="Verdana" w:hAnsiTheme="minorHAnsi"/>
          <w:szCs w:val="18"/>
          <w:lang w:eastAsia="cs-CZ"/>
        </w:rPr>
        <w:t>Bratislave</w:t>
      </w:r>
    </w:p>
    <w:p w14:paraId="2A1801B0" w14:textId="77777777" w:rsidR="00442BFF" w:rsidRPr="007066F2" w:rsidRDefault="006D0F1F" w:rsidP="00442BFF">
      <w:pPr>
        <w:pStyle w:val="ListParagraph"/>
        <w:numPr>
          <w:ilvl w:val="0"/>
          <w:numId w:val="80"/>
        </w:numPr>
        <w:ind w:left="1170" w:hanging="450"/>
        <w:contextualSpacing/>
        <w:rPr>
          <w:rFonts w:asciiTheme="minorHAnsi" w:eastAsia="Verdana" w:hAnsiTheme="minorHAnsi"/>
          <w:szCs w:val="18"/>
          <w:lang w:eastAsia="cs-CZ"/>
        </w:rPr>
      </w:pPr>
      <w:r>
        <w:rPr>
          <w:rFonts w:asciiTheme="minorHAnsi" w:eastAsia="Verdana" w:hAnsiTheme="minorHAnsi"/>
          <w:szCs w:val="18"/>
          <w:lang w:eastAsia="cs-CZ"/>
        </w:rPr>
        <w:t>Dopravná úrad</w:t>
      </w:r>
    </w:p>
    <w:p w14:paraId="7605823E" w14:textId="77777777" w:rsidR="00442BFF" w:rsidRPr="007066F2" w:rsidRDefault="00442BFF" w:rsidP="00442BFF">
      <w:pPr>
        <w:pStyle w:val="ListParagraph"/>
        <w:numPr>
          <w:ilvl w:val="0"/>
          <w:numId w:val="80"/>
        </w:numPr>
        <w:ind w:left="1170" w:hanging="450"/>
        <w:contextualSpacing/>
      </w:pPr>
      <w:r w:rsidRPr="007066F2">
        <w:rPr>
          <w:rFonts w:asciiTheme="minorHAnsi" w:eastAsia="Verdana" w:hAnsiTheme="minorHAnsi"/>
          <w:szCs w:val="18"/>
          <w:lang w:eastAsia="cs-CZ"/>
        </w:rPr>
        <w:t>Pro-Danubia – Združenie obcí pre miestnu dopravu po Dunaji</w:t>
      </w:r>
    </w:p>
    <w:p w14:paraId="4C628566" w14:textId="77777777" w:rsidR="00442BFF" w:rsidRPr="007066F2" w:rsidRDefault="00F03360" w:rsidP="00442BFF">
      <w:pPr>
        <w:ind w:left="720"/>
      </w:pPr>
      <w:r>
        <w:t>Na</w:t>
      </w:r>
      <w:r w:rsidRPr="007066F2">
        <w:t xml:space="preserve"> </w:t>
      </w:r>
      <w:r w:rsidR="00442BFF" w:rsidRPr="007066F2">
        <w:t xml:space="preserve">rozšírenie zamerania štúdií odporúčame doplniť aktivity a cieľové územie aj pre prístav Komárno, čo by mohlo prispieť ku komplexnejšiemu zlepšovaniu splavnosti Dunaja a jeho využívania pre nákladnú dopravu. </w:t>
      </w:r>
    </w:p>
    <w:p w14:paraId="7AA48413" w14:textId="77777777" w:rsidR="00442BFF" w:rsidRDefault="00442BFF" w:rsidP="00442BFF">
      <w:r>
        <w:t xml:space="preserve">Prehľad kľúčových zistení a odporúčaní vyplývajúcich z priebežného hodnotenia OPII je uvedený v nasledovnej tabuľke: </w:t>
      </w:r>
    </w:p>
    <w:tbl>
      <w:tblPr>
        <w:tblStyle w:val="Svetlzoznamzvraznenie11"/>
        <w:tblW w:w="0" w:type="auto"/>
        <w:tblLook w:val="04A0" w:firstRow="1" w:lastRow="0" w:firstColumn="1" w:lastColumn="0" w:noHBand="0" w:noVBand="1"/>
      </w:tblPr>
      <w:tblGrid>
        <w:gridCol w:w="530"/>
        <w:gridCol w:w="4139"/>
        <w:gridCol w:w="4665"/>
      </w:tblGrid>
      <w:tr w:rsidR="00442BFF" w:rsidRPr="0048525B" w14:paraId="469A9B24" w14:textId="77777777" w:rsidTr="008E1E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hemeColor="accent1"/>
            </w:tcBorders>
            <w:vAlign w:val="center"/>
          </w:tcPr>
          <w:p w14:paraId="146BCDEF" w14:textId="77777777" w:rsidR="00442BFF" w:rsidRPr="0048525B" w:rsidRDefault="00442BFF" w:rsidP="008E1E5B">
            <w:pPr>
              <w:spacing w:before="60" w:after="0" w:line="240" w:lineRule="auto"/>
              <w:rPr>
                <w:sz w:val="16"/>
                <w:szCs w:val="16"/>
              </w:rPr>
            </w:pPr>
            <w:r w:rsidRPr="0048525B">
              <w:rPr>
                <w:sz w:val="16"/>
                <w:szCs w:val="16"/>
              </w:rPr>
              <w:t>P. č.</w:t>
            </w:r>
          </w:p>
        </w:tc>
        <w:tc>
          <w:tcPr>
            <w:tcW w:w="4139" w:type="dxa"/>
            <w:tcBorders>
              <w:right w:val="single" w:sz="4" w:space="0" w:color="86BC25" w:themeColor="accent1"/>
            </w:tcBorders>
            <w:vAlign w:val="center"/>
          </w:tcPr>
          <w:p w14:paraId="06C7F536" w14:textId="77777777" w:rsidR="00442BFF" w:rsidRPr="0048525B" w:rsidRDefault="00442BFF" w:rsidP="008E1E5B">
            <w:pPr>
              <w:spacing w:before="60"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48525B">
              <w:rPr>
                <w:rFonts w:asciiTheme="minorHAnsi" w:hAnsiTheme="minorHAnsi"/>
                <w:sz w:val="16"/>
                <w:szCs w:val="16"/>
              </w:rPr>
              <w:t>Kľúčové zistenia</w:t>
            </w:r>
            <w:r>
              <w:rPr>
                <w:rFonts w:asciiTheme="minorHAnsi" w:hAnsiTheme="minorHAnsi"/>
                <w:sz w:val="16"/>
                <w:szCs w:val="16"/>
              </w:rPr>
              <w:t>/oblasti</w:t>
            </w:r>
          </w:p>
        </w:tc>
        <w:tc>
          <w:tcPr>
            <w:tcW w:w="4665" w:type="dxa"/>
            <w:tcBorders>
              <w:left w:val="single" w:sz="4" w:space="0" w:color="86BC25" w:themeColor="accent1"/>
            </w:tcBorders>
            <w:vAlign w:val="center"/>
          </w:tcPr>
          <w:p w14:paraId="4016D29D" w14:textId="77777777" w:rsidR="00442BFF" w:rsidRPr="0048525B" w:rsidRDefault="00442BFF" w:rsidP="008E1E5B">
            <w:pPr>
              <w:spacing w:before="60"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48525B">
              <w:rPr>
                <w:rFonts w:asciiTheme="minorHAnsi" w:hAnsiTheme="minorHAnsi"/>
                <w:sz w:val="16"/>
                <w:szCs w:val="16"/>
              </w:rPr>
              <w:t xml:space="preserve">Odporúčania </w:t>
            </w:r>
          </w:p>
        </w:tc>
      </w:tr>
      <w:tr w:rsidR="00442BFF" w:rsidRPr="0048525B" w14:paraId="0B1E17B0" w14:textId="77777777" w:rsidTr="008E1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hemeColor="accent1"/>
            </w:tcBorders>
            <w:vAlign w:val="center"/>
          </w:tcPr>
          <w:p w14:paraId="343E8035" w14:textId="77777777" w:rsidR="00442BFF" w:rsidRPr="0048525B" w:rsidRDefault="00442BFF" w:rsidP="008E1E5B">
            <w:pPr>
              <w:spacing w:before="60" w:after="0" w:line="240" w:lineRule="auto"/>
              <w:rPr>
                <w:rFonts w:asciiTheme="minorHAnsi" w:hAnsiTheme="minorHAnsi"/>
                <w:b w:val="0"/>
                <w:sz w:val="16"/>
                <w:szCs w:val="16"/>
              </w:rPr>
            </w:pPr>
            <w:r w:rsidRPr="0048525B">
              <w:rPr>
                <w:rFonts w:asciiTheme="minorHAnsi" w:hAnsiTheme="minorHAnsi"/>
                <w:b w:val="0"/>
                <w:sz w:val="16"/>
                <w:szCs w:val="16"/>
              </w:rPr>
              <w:t>1</w:t>
            </w:r>
          </w:p>
        </w:tc>
        <w:tc>
          <w:tcPr>
            <w:tcW w:w="4139" w:type="dxa"/>
            <w:tcBorders>
              <w:right w:val="single" w:sz="4" w:space="0" w:color="86BC25" w:themeColor="accent1"/>
            </w:tcBorders>
            <w:vAlign w:val="center"/>
          </w:tcPr>
          <w:p w14:paraId="5CC939B5" w14:textId="77777777" w:rsidR="00442BFF" w:rsidRPr="0048525B" w:rsidRDefault="00442BFF" w:rsidP="008E1E5B">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48525B">
              <w:rPr>
                <w:rFonts w:asciiTheme="minorHAnsi" w:hAnsiTheme="minorHAnsi"/>
                <w:sz w:val="16"/>
                <w:szCs w:val="16"/>
              </w:rPr>
              <w:t>Nedostatočné tempo kontrahovania a čerpania PO4</w:t>
            </w:r>
            <w:r>
              <w:rPr>
                <w:rFonts w:asciiTheme="minorHAnsi" w:hAnsiTheme="minorHAnsi"/>
                <w:sz w:val="16"/>
                <w:szCs w:val="16"/>
              </w:rPr>
              <w:t>, PO5</w:t>
            </w:r>
            <w:r w:rsidRPr="0048525B">
              <w:rPr>
                <w:rFonts w:asciiTheme="minorHAnsi" w:hAnsiTheme="minorHAnsi"/>
                <w:sz w:val="16"/>
                <w:szCs w:val="16"/>
              </w:rPr>
              <w:t xml:space="preserve"> a PO7</w:t>
            </w:r>
          </w:p>
        </w:tc>
        <w:tc>
          <w:tcPr>
            <w:tcW w:w="4665" w:type="dxa"/>
            <w:tcBorders>
              <w:left w:val="single" w:sz="4" w:space="0" w:color="86BC25" w:themeColor="accent1"/>
            </w:tcBorders>
            <w:vAlign w:val="center"/>
          </w:tcPr>
          <w:p w14:paraId="2EB7C765" w14:textId="77777777" w:rsidR="00442BFF" w:rsidRDefault="00442BFF" w:rsidP="00442BFF">
            <w:pPr>
              <w:pStyle w:val="ListParagraph"/>
              <w:numPr>
                <w:ilvl w:val="0"/>
                <w:numId w:val="90"/>
              </w:numPr>
              <w:spacing w:before="60" w:after="0" w:line="240" w:lineRule="auto"/>
              <w:ind w:left="256" w:hanging="274"/>
              <w:jc w:val="left"/>
              <w:cnfStyle w:val="000000100000" w:firstRow="0" w:lastRow="0" w:firstColumn="0" w:lastColumn="0" w:oddVBand="0" w:evenVBand="0" w:oddHBand="1" w:evenHBand="0" w:firstRowFirstColumn="0" w:firstRowLastColumn="0" w:lastRowFirstColumn="0" w:lastRowLastColumn="0"/>
              <w:rPr>
                <w:sz w:val="16"/>
                <w:szCs w:val="16"/>
              </w:rPr>
            </w:pPr>
            <w:r w:rsidRPr="00D76E8D">
              <w:rPr>
                <w:sz w:val="16"/>
                <w:szCs w:val="16"/>
              </w:rPr>
              <w:t>Vypracovať akčný plán, ktorý povedie k posunu implementácie kľúčových projektov smerujúcich k naplneniu cieľov OPII.</w:t>
            </w:r>
          </w:p>
          <w:p w14:paraId="5B694415" w14:textId="77777777" w:rsidR="00442BFF" w:rsidRDefault="00442BFF" w:rsidP="00442BFF">
            <w:pPr>
              <w:pStyle w:val="ListParagraph"/>
              <w:numPr>
                <w:ilvl w:val="0"/>
                <w:numId w:val="90"/>
              </w:numPr>
              <w:spacing w:before="60" w:after="0" w:line="240" w:lineRule="auto"/>
              <w:ind w:left="256" w:hanging="274"/>
              <w:jc w:val="left"/>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V prípade nedodržania cieľov stanovených v akčnom pláne realokovať finančné prostriedky do inej prioritnej osi s väčšou absorpčnou kapacitou.</w:t>
            </w:r>
          </w:p>
          <w:p w14:paraId="7065C406" w14:textId="77777777" w:rsidR="00442BFF" w:rsidRPr="008F5CC4" w:rsidRDefault="00442BFF" w:rsidP="00442BFF">
            <w:pPr>
              <w:pStyle w:val="ListParagraph"/>
              <w:numPr>
                <w:ilvl w:val="0"/>
                <w:numId w:val="90"/>
              </w:numPr>
              <w:spacing w:before="60" w:after="0" w:line="240" w:lineRule="auto"/>
              <w:ind w:left="256" w:hanging="274"/>
              <w:jc w:val="left"/>
              <w:cnfStyle w:val="000000100000" w:firstRow="0" w:lastRow="0" w:firstColumn="0" w:lastColumn="0" w:oddVBand="0" w:evenVBand="0" w:oddHBand="1" w:evenHBand="0" w:firstRowFirstColumn="0" w:firstRowLastColumn="0" w:lastRowFirstColumn="0" w:lastRowLastColumn="0"/>
              <w:rPr>
                <w:sz w:val="16"/>
                <w:szCs w:val="16"/>
              </w:rPr>
            </w:pPr>
            <w:r w:rsidRPr="00D76E8D">
              <w:rPr>
                <w:sz w:val="16"/>
                <w:szCs w:val="16"/>
              </w:rPr>
              <w:t>Upraviť Operačný program Integrovaná infraštruktúra 2014</w:t>
            </w:r>
            <w:r w:rsidR="008E3F9E">
              <w:rPr>
                <w:sz w:val="16"/>
                <w:szCs w:val="16"/>
              </w:rPr>
              <w:t xml:space="preserve"> </w:t>
            </w:r>
            <w:r w:rsidR="008E3F9E" w:rsidRPr="00D76E8D">
              <w:rPr>
                <w:sz w:val="16"/>
                <w:szCs w:val="16"/>
              </w:rPr>
              <w:t>–</w:t>
            </w:r>
            <w:r w:rsidR="008E3F9E">
              <w:rPr>
                <w:sz w:val="16"/>
                <w:szCs w:val="16"/>
              </w:rPr>
              <w:t xml:space="preserve"> </w:t>
            </w:r>
            <w:r w:rsidRPr="00D76E8D">
              <w:rPr>
                <w:sz w:val="16"/>
                <w:szCs w:val="16"/>
              </w:rPr>
              <w:t>2020 vo vzťahu k zintenzívneniu kontrahovania a</w:t>
            </w:r>
            <w:r w:rsidR="00F03360">
              <w:rPr>
                <w:sz w:val="16"/>
                <w:szCs w:val="16"/>
              </w:rPr>
              <w:t> </w:t>
            </w:r>
            <w:r w:rsidRPr="00D76E8D">
              <w:rPr>
                <w:sz w:val="16"/>
                <w:szCs w:val="16"/>
              </w:rPr>
              <w:t>čerpania</w:t>
            </w:r>
            <w:r w:rsidR="00F03360">
              <w:rPr>
                <w:sz w:val="16"/>
                <w:szCs w:val="16"/>
              </w:rPr>
              <w:t>,</w:t>
            </w:r>
            <w:r w:rsidRPr="00D76E8D">
              <w:rPr>
                <w:sz w:val="16"/>
                <w:szCs w:val="16"/>
              </w:rPr>
              <w:t xml:space="preserve"> a to doplnením nových aktivít, </w:t>
            </w:r>
            <w:r w:rsidR="006D0F1F">
              <w:rPr>
                <w:sz w:val="16"/>
                <w:szCs w:val="16"/>
              </w:rPr>
              <w:t xml:space="preserve">ukazovateľov, </w:t>
            </w:r>
            <w:r w:rsidRPr="00D76E8D">
              <w:rPr>
                <w:sz w:val="16"/>
                <w:szCs w:val="16"/>
              </w:rPr>
              <w:t>územia a prijímateľov.</w:t>
            </w:r>
            <w:r w:rsidR="004D11D7">
              <w:rPr>
                <w:sz w:val="16"/>
                <w:szCs w:val="16"/>
              </w:rPr>
              <w:t xml:space="preserve"> (netýka sa PO7)</w:t>
            </w:r>
          </w:p>
        </w:tc>
      </w:tr>
      <w:tr w:rsidR="00442BFF" w:rsidRPr="0048525B" w14:paraId="6C75C877" w14:textId="77777777" w:rsidTr="008E1E5B">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hemeColor="accent1"/>
            </w:tcBorders>
            <w:vAlign w:val="center"/>
          </w:tcPr>
          <w:p w14:paraId="1C7F7802" w14:textId="77777777" w:rsidR="00442BFF" w:rsidRPr="0048525B" w:rsidRDefault="00442BFF" w:rsidP="008E1E5B">
            <w:pPr>
              <w:spacing w:before="60" w:after="0" w:line="240" w:lineRule="auto"/>
              <w:rPr>
                <w:b w:val="0"/>
                <w:sz w:val="16"/>
                <w:szCs w:val="16"/>
              </w:rPr>
            </w:pPr>
            <w:r w:rsidRPr="0048525B">
              <w:rPr>
                <w:rFonts w:asciiTheme="minorHAnsi" w:hAnsiTheme="minorHAnsi"/>
                <w:b w:val="0"/>
                <w:sz w:val="16"/>
                <w:szCs w:val="16"/>
              </w:rPr>
              <w:t>2</w:t>
            </w:r>
          </w:p>
        </w:tc>
        <w:tc>
          <w:tcPr>
            <w:tcW w:w="4139" w:type="dxa"/>
            <w:tcBorders>
              <w:right w:val="single" w:sz="4" w:space="0" w:color="86BC25" w:themeColor="accent1"/>
            </w:tcBorders>
            <w:vAlign w:val="center"/>
          </w:tcPr>
          <w:p w14:paraId="612B99A0" w14:textId="77777777" w:rsidR="00442BFF" w:rsidRPr="0048525B" w:rsidRDefault="00442BFF" w:rsidP="008E1E5B">
            <w:pPr>
              <w:spacing w:before="60" w:after="0" w:line="240"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48525B">
              <w:rPr>
                <w:rFonts w:asciiTheme="minorHAnsi" w:hAnsiTheme="minorHAnsi"/>
                <w:sz w:val="16"/>
                <w:szCs w:val="16"/>
              </w:rPr>
              <w:t>Nedostatočná previazanosť ukazovateľov OPII vyhodnocovaných na základe štatistických údajov s</w:t>
            </w:r>
            <w:r>
              <w:rPr>
                <w:rFonts w:asciiTheme="minorHAnsi" w:hAnsiTheme="minorHAnsi"/>
                <w:sz w:val="16"/>
                <w:szCs w:val="16"/>
              </w:rPr>
              <w:t> </w:t>
            </w:r>
            <w:r w:rsidRPr="0048525B">
              <w:rPr>
                <w:rFonts w:asciiTheme="minorHAnsi" w:hAnsiTheme="minorHAnsi"/>
                <w:sz w:val="16"/>
                <w:szCs w:val="16"/>
              </w:rPr>
              <w:t>projekt</w:t>
            </w:r>
            <w:r>
              <w:rPr>
                <w:rFonts w:asciiTheme="minorHAnsi" w:hAnsiTheme="minorHAnsi"/>
                <w:sz w:val="16"/>
                <w:szCs w:val="16"/>
              </w:rPr>
              <w:t>ovými ukazovateľmi</w:t>
            </w:r>
          </w:p>
        </w:tc>
        <w:tc>
          <w:tcPr>
            <w:tcW w:w="4665" w:type="dxa"/>
            <w:tcBorders>
              <w:left w:val="single" w:sz="4" w:space="0" w:color="86BC25" w:themeColor="accent1"/>
            </w:tcBorders>
            <w:vAlign w:val="center"/>
          </w:tcPr>
          <w:p w14:paraId="60B1721B" w14:textId="77777777" w:rsidR="00442BFF" w:rsidRDefault="00442BFF" w:rsidP="00442BFF">
            <w:pPr>
              <w:pStyle w:val="ListParagraph"/>
              <w:numPr>
                <w:ilvl w:val="0"/>
                <w:numId w:val="91"/>
              </w:numPr>
              <w:spacing w:before="60" w:after="0" w:line="240" w:lineRule="auto"/>
              <w:ind w:left="252" w:hanging="252"/>
              <w:jc w:val="left"/>
              <w:cnfStyle w:val="000000000000" w:firstRow="0" w:lastRow="0" w:firstColumn="0" w:lastColumn="0" w:oddVBand="0" w:evenVBand="0" w:oddHBand="0" w:evenHBand="0" w:firstRowFirstColumn="0" w:firstRowLastColumn="0" w:lastRowFirstColumn="0" w:lastRowLastColumn="0"/>
              <w:rPr>
                <w:sz w:val="16"/>
                <w:szCs w:val="16"/>
              </w:rPr>
            </w:pPr>
            <w:r w:rsidRPr="00D76E8D">
              <w:rPr>
                <w:sz w:val="16"/>
                <w:szCs w:val="16"/>
              </w:rPr>
              <w:t>Vypracovať dopadové hodnotenie vplyvu projektov realizovaných v rámci OPII na ukazovatele.</w:t>
            </w:r>
          </w:p>
          <w:p w14:paraId="12734DA1" w14:textId="77777777" w:rsidR="00442BFF" w:rsidRPr="00D76E8D" w:rsidRDefault="00442BFF" w:rsidP="00442BFF">
            <w:pPr>
              <w:pStyle w:val="ListParagraph"/>
              <w:numPr>
                <w:ilvl w:val="0"/>
                <w:numId w:val="91"/>
              </w:numPr>
              <w:spacing w:before="60" w:after="0" w:line="240" w:lineRule="auto"/>
              <w:ind w:left="252" w:hanging="252"/>
              <w:jc w:val="left"/>
              <w:cnfStyle w:val="000000000000" w:firstRow="0" w:lastRow="0" w:firstColumn="0" w:lastColumn="0" w:oddVBand="0" w:evenVBand="0" w:oddHBand="0" w:evenHBand="0" w:firstRowFirstColumn="0" w:firstRowLastColumn="0" w:lastRowFirstColumn="0" w:lastRowLastColumn="0"/>
              <w:rPr>
                <w:sz w:val="16"/>
                <w:szCs w:val="16"/>
              </w:rPr>
            </w:pPr>
            <w:r w:rsidRPr="00D76E8D">
              <w:rPr>
                <w:sz w:val="16"/>
                <w:szCs w:val="16"/>
              </w:rPr>
              <w:t>Aktualizovať dokument „Prehľad ukazovateľov OPII 2014 – 2020 vrátane popisu metodiky stanovenia hodnôt ukazovateľov“</w:t>
            </w:r>
            <w:r>
              <w:rPr>
                <w:sz w:val="16"/>
                <w:szCs w:val="16"/>
              </w:rPr>
              <w:t xml:space="preserve"> tak, aby bola zabezpečená previazanosť ukazovateľov na úrovni programu s projektovými ukazovateľmi</w:t>
            </w:r>
            <w:r w:rsidRPr="00D76E8D">
              <w:rPr>
                <w:sz w:val="16"/>
                <w:szCs w:val="16"/>
              </w:rPr>
              <w:t>.</w:t>
            </w:r>
          </w:p>
        </w:tc>
      </w:tr>
      <w:tr w:rsidR="00442BFF" w:rsidRPr="0048525B" w14:paraId="01E0B20B" w14:textId="77777777" w:rsidTr="008E1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hemeColor="accent1"/>
            </w:tcBorders>
            <w:vAlign w:val="center"/>
          </w:tcPr>
          <w:p w14:paraId="7D987929" w14:textId="77777777" w:rsidR="00442BFF" w:rsidRPr="0048525B" w:rsidRDefault="00442BFF" w:rsidP="008E1E5B">
            <w:pPr>
              <w:spacing w:before="60" w:after="0" w:line="240" w:lineRule="auto"/>
              <w:rPr>
                <w:rFonts w:asciiTheme="minorHAnsi" w:hAnsiTheme="minorHAnsi"/>
                <w:b w:val="0"/>
                <w:sz w:val="16"/>
                <w:szCs w:val="16"/>
              </w:rPr>
            </w:pPr>
            <w:r w:rsidRPr="0048525B">
              <w:rPr>
                <w:rFonts w:asciiTheme="minorHAnsi" w:hAnsiTheme="minorHAnsi"/>
                <w:b w:val="0"/>
                <w:sz w:val="16"/>
                <w:szCs w:val="16"/>
              </w:rPr>
              <w:t>3</w:t>
            </w:r>
          </w:p>
        </w:tc>
        <w:tc>
          <w:tcPr>
            <w:tcW w:w="4139" w:type="dxa"/>
            <w:tcBorders>
              <w:right w:val="single" w:sz="4" w:space="0" w:color="86BC25" w:themeColor="accent1"/>
            </w:tcBorders>
            <w:vAlign w:val="center"/>
          </w:tcPr>
          <w:p w14:paraId="5D6D0484" w14:textId="77777777" w:rsidR="00442BFF" w:rsidRPr="0048525B" w:rsidRDefault="00442BFF" w:rsidP="008E1E5B">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48525B">
              <w:rPr>
                <w:rFonts w:asciiTheme="minorHAnsi" w:hAnsiTheme="minorHAnsi"/>
                <w:sz w:val="16"/>
                <w:szCs w:val="16"/>
              </w:rPr>
              <w:t>Nedostatočná informovanosť o stave prípravy projektov PO1 a PO5</w:t>
            </w:r>
          </w:p>
        </w:tc>
        <w:tc>
          <w:tcPr>
            <w:tcW w:w="4665" w:type="dxa"/>
            <w:tcBorders>
              <w:left w:val="single" w:sz="4" w:space="0" w:color="86BC25" w:themeColor="accent1"/>
            </w:tcBorders>
            <w:vAlign w:val="center"/>
          </w:tcPr>
          <w:p w14:paraId="3A532813" w14:textId="77777777" w:rsidR="00442BFF" w:rsidRDefault="00442BFF" w:rsidP="00442BFF">
            <w:pPr>
              <w:pStyle w:val="ListParagraph"/>
              <w:numPr>
                <w:ilvl w:val="0"/>
                <w:numId w:val="92"/>
              </w:numPr>
              <w:spacing w:before="60" w:after="0" w:line="240" w:lineRule="auto"/>
              <w:ind w:left="252" w:hanging="270"/>
              <w:jc w:val="left"/>
              <w:cnfStyle w:val="000000100000" w:firstRow="0" w:lastRow="0" w:firstColumn="0" w:lastColumn="0" w:oddVBand="0" w:evenVBand="0" w:oddHBand="1" w:evenHBand="0" w:firstRowFirstColumn="0" w:firstRowLastColumn="0" w:lastRowFirstColumn="0" w:lastRowLastColumn="0"/>
              <w:rPr>
                <w:sz w:val="16"/>
                <w:szCs w:val="16"/>
              </w:rPr>
            </w:pPr>
            <w:r w:rsidRPr="00D76E8D">
              <w:rPr>
                <w:sz w:val="16"/>
                <w:szCs w:val="16"/>
              </w:rPr>
              <w:t>Vypracovať databázu projektov, ktorú budú prijímatelia pravidelne aktualizovať a informovať RO OPII a postupe prác.</w:t>
            </w:r>
          </w:p>
          <w:p w14:paraId="4CB97595" w14:textId="22343131" w:rsidR="00442BFF" w:rsidRPr="00424B46" w:rsidRDefault="00442BFF" w:rsidP="008E1E5B">
            <w:pPr>
              <w:pStyle w:val="ListParagraph"/>
              <w:numPr>
                <w:ilvl w:val="0"/>
                <w:numId w:val="92"/>
              </w:numPr>
              <w:spacing w:before="60" w:after="0" w:line="240" w:lineRule="auto"/>
              <w:ind w:left="252" w:hanging="270"/>
              <w:jc w:val="left"/>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Analyzovať</w:t>
            </w:r>
            <w:r w:rsidRPr="00D76E8D">
              <w:rPr>
                <w:sz w:val="16"/>
                <w:szCs w:val="16"/>
              </w:rPr>
              <w:t xml:space="preserve"> pripravenos</w:t>
            </w:r>
            <w:r>
              <w:rPr>
                <w:sz w:val="16"/>
                <w:szCs w:val="16"/>
              </w:rPr>
              <w:t>ť</w:t>
            </w:r>
            <w:r w:rsidRPr="00D76E8D">
              <w:rPr>
                <w:sz w:val="16"/>
                <w:szCs w:val="16"/>
              </w:rPr>
              <w:t xml:space="preserve"> projektov</w:t>
            </w:r>
            <w:r>
              <w:rPr>
                <w:sz w:val="16"/>
                <w:szCs w:val="16"/>
              </w:rPr>
              <w:t xml:space="preserve"> </w:t>
            </w:r>
            <w:r w:rsidR="00B13443">
              <w:rPr>
                <w:sz w:val="16"/>
                <w:szCs w:val="16"/>
              </w:rPr>
              <w:t>z hľadiska</w:t>
            </w:r>
            <w:r>
              <w:rPr>
                <w:sz w:val="16"/>
                <w:szCs w:val="16"/>
              </w:rPr>
              <w:t xml:space="preserve"> </w:t>
            </w:r>
            <w:r w:rsidR="00B13443">
              <w:rPr>
                <w:sz w:val="16"/>
                <w:szCs w:val="16"/>
              </w:rPr>
              <w:t>ich</w:t>
            </w:r>
            <w:r>
              <w:rPr>
                <w:sz w:val="16"/>
                <w:szCs w:val="16"/>
              </w:rPr>
              <w:t xml:space="preserve"> potenciálu </w:t>
            </w:r>
            <w:r w:rsidR="00B13443">
              <w:rPr>
                <w:sz w:val="16"/>
                <w:szCs w:val="16"/>
              </w:rPr>
              <w:t xml:space="preserve">na </w:t>
            </w:r>
            <w:r>
              <w:rPr>
                <w:sz w:val="16"/>
                <w:szCs w:val="16"/>
              </w:rPr>
              <w:t>úspešné ukončeni</w:t>
            </w:r>
            <w:r w:rsidR="00B13443">
              <w:rPr>
                <w:sz w:val="16"/>
                <w:szCs w:val="16"/>
              </w:rPr>
              <w:t>e</w:t>
            </w:r>
            <w:r>
              <w:rPr>
                <w:sz w:val="16"/>
                <w:szCs w:val="16"/>
              </w:rPr>
              <w:t xml:space="preserve"> v programovom období 2014 </w:t>
            </w:r>
            <w:r w:rsidR="00814E17" w:rsidRPr="00F564AF">
              <w:rPr>
                <w:sz w:val="16"/>
                <w:szCs w:val="16"/>
              </w:rPr>
              <w:t>–</w:t>
            </w:r>
            <w:r>
              <w:rPr>
                <w:sz w:val="16"/>
                <w:szCs w:val="16"/>
              </w:rPr>
              <w:t xml:space="preserve"> 2020</w:t>
            </w:r>
            <w:r w:rsidRPr="00D76E8D">
              <w:rPr>
                <w:sz w:val="16"/>
                <w:szCs w:val="16"/>
              </w:rPr>
              <w:t xml:space="preserve">  </w:t>
            </w:r>
          </w:p>
        </w:tc>
      </w:tr>
      <w:tr w:rsidR="00442BFF" w:rsidRPr="0048525B" w14:paraId="563DC432" w14:textId="77777777" w:rsidTr="008E1E5B">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hemeColor="accent1"/>
            </w:tcBorders>
            <w:vAlign w:val="center"/>
          </w:tcPr>
          <w:p w14:paraId="241B0C77" w14:textId="77777777" w:rsidR="00442BFF" w:rsidRPr="0048525B" w:rsidRDefault="00442BFF" w:rsidP="008E1E5B">
            <w:pPr>
              <w:spacing w:before="60" w:after="0" w:line="240" w:lineRule="auto"/>
              <w:rPr>
                <w:rFonts w:asciiTheme="minorHAnsi" w:hAnsiTheme="minorHAnsi"/>
                <w:b w:val="0"/>
                <w:sz w:val="16"/>
                <w:szCs w:val="16"/>
              </w:rPr>
            </w:pPr>
            <w:r>
              <w:rPr>
                <w:rFonts w:asciiTheme="minorHAnsi" w:hAnsiTheme="minorHAnsi"/>
                <w:b w:val="0"/>
                <w:sz w:val="16"/>
                <w:szCs w:val="16"/>
              </w:rPr>
              <w:t>4</w:t>
            </w:r>
          </w:p>
        </w:tc>
        <w:tc>
          <w:tcPr>
            <w:tcW w:w="4139" w:type="dxa"/>
            <w:tcBorders>
              <w:right w:val="single" w:sz="4" w:space="0" w:color="86BC25" w:themeColor="accent1"/>
            </w:tcBorders>
            <w:vAlign w:val="center"/>
          </w:tcPr>
          <w:p w14:paraId="3CB9FB1D" w14:textId="77777777" w:rsidR="00442BFF" w:rsidRPr="0048525B" w:rsidRDefault="00442BFF" w:rsidP="008E1E5B">
            <w:pPr>
              <w:spacing w:before="60" w:after="0" w:line="240"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48525B">
              <w:rPr>
                <w:rFonts w:asciiTheme="minorHAnsi" w:hAnsiTheme="minorHAnsi"/>
                <w:sz w:val="16"/>
                <w:szCs w:val="16"/>
              </w:rPr>
              <w:t>Nedostatky v riadení a kontrole projektov PO7 zo strany SO OPII</w:t>
            </w:r>
          </w:p>
        </w:tc>
        <w:tc>
          <w:tcPr>
            <w:tcW w:w="4665" w:type="dxa"/>
            <w:tcBorders>
              <w:left w:val="single" w:sz="4" w:space="0" w:color="86BC25" w:themeColor="accent1"/>
            </w:tcBorders>
            <w:vAlign w:val="center"/>
          </w:tcPr>
          <w:p w14:paraId="45E355C3" w14:textId="4F123F08" w:rsidR="00776184" w:rsidRPr="00116819" w:rsidRDefault="00442BFF" w:rsidP="00424B46">
            <w:pPr>
              <w:pStyle w:val="ListParagraph"/>
              <w:numPr>
                <w:ilvl w:val="0"/>
                <w:numId w:val="93"/>
              </w:numPr>
              <w:spacing w:before="60" w:after="0" w:line="240" w:lineRule="auto"/>
              <w:ind w:left="259" w:hanging="270"/>
              <w:jc w:val="left"/>
              <w:cnfStyle w:val="000000000000" w:firstRow="0" w:lastRow="0" w:firstColumn="0" w:lastColumn="0" w:oddVBand="0" w:evenVBand="0" w:oddHBand="0" w:evenHBand="0" w:firstRowFirstColumn="0" w:firstRowLastColumn="0" w:lastRowFirstColumn="0" w:lastRowLastColumn="0"/>
              <w:rPr>
                <w:sz w:val="16"/>
                <w:szCs w:val="16"/>
              </w:rPr>
            </w:pPr>
            <w:r w:rsidRPr="00116819">
              <w:rPr>
                <w:sz w:val="16"/>
                <w:szCs w:val="16"/>
              </w:rPr>
              <w:t xml:space="preserve">Vykonať kontrolu úloh vykonávaných sprostredkovateľským orgánom </w:t>
            </w:r>
            <w:r w:rsidR="004E3155" w:rsidRPr="00116819">
              <w:rPr>
                <w:sz w:val="16"/>
                <w:szCs w:val="16"/>
              </w:rPr>
              <w:t>na identifikované nedostatky definované v tomto hodnotení</w:t>
            </w:r>
            <w:r w:rsidR="001177F7" w:rsidRPr="00116819">
              <w:rPr>
                <w:sz w:val="16"/>
                <w:szCs w:val="16"/>
              </w:rPr>
              <w:t>.</w:t>
            </w:r>
            <w:r w:rsidRPr="00116819">
              <w:rPr>
                <w:sz w:val="16"/>
                <w:szCs w:val="16"/>
              </w:rPr>
              <w:t xml:space="preserve"> </w:t>
            </w:r>
            <w:r w:rsidR="00C43A00" w:rsidRPr="00116819">
              <w:rPr>
                <w:sz w:val="16"/>
                <w:szCs w:val="16"/>
              </w:rPr>
              <w:t xml:space="preserve"> </w:t>
            </w:r>
            <w:r w:rsidR="00116819" w:rsidRPr="00116819">
              <w:rPr>
                <w:sz w:val="16"/>
                <w:szCs w:val="16"/>
              </w:rPr>
              <w:t xml:space="preserve">V rámci </w:t>
            </w:r>
            <w:r w:rsidR="00116819" w:rsidRPr="00116819">
              <w:rPr>
                <w:sz w:val="16"/>
                <w:szCs w:val="16"/>
              </w:rPr>
              <w:lastRenderedPageBreak/>
              <w:t>pravidelných stretnutí RO a SO OPII monitorovať progres plnenia opatrení, ktoré budú definované v akčnom pláne vypracovanom pre PO7.</w:t>
            </w:r>
          </w:p>
          <w:p w14:paraId="3D5DE598" w14:textId="77777777" w:rsidR="00442BFF" w:rsidRPr="00D76E8D" w:rsidRDefault="00442BFF" w:rsidP="00116819">
            <w:pPr>
              <w:pStyle w:val="ListParagraph"/>
              <w:numPr>
                <w:ilvl w:val="0"/>
                <w:numId w:val="93"/>
              </w:numPr>
              <w:spacing w:before="60" w:after="0" w:line="240" w:lineRule="auto"/>
              <w:ind w:left="259" w:hanging="252"/>
              <w:jc w:val="left"/>
              <w:cnfStyle w:val="000000000000" w:firstRow="0" w:lastRow="0" w:firstColumn="0" w:lastColumn="0" w:oddVBand="0" w:evenVBand="0" w:oddHBand="0" w:evenHBand="0" w:firstRowFirstColumn="0" w:firstRowLastColumn="0" w:lastRowFirstColumn="0" w:lastRowLastColumn="0"/>
              <w:rPr>
                <w:sz w:val="16"/>
                <w:szCs w:val="16"/>
              </w:rPr>
            </w:pPr>
            <w:r w:rsidRPr="00D76E8D">
              <w:rPr>
                <w:sz w:val="16"/>
                <w:szCs w:val="16"/>
              </w:rPr>
              <w:t>Posilniť odborné administratívne kapacity RO OPII vo vzťahu k riadeniu a kontrole SO OPII.</w:t>
            </w:r>
          </w:p>
        </w:tc>
      </w:tr>
      <w:tr w:rsidR="00442BFF" w:rsidRPr="0048525B" w14:paraId="5E261733" w14:textId="77777777" w:rsidTr="008E1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hemeColor="accent1"/>
            </w:tcBorders>
            <w:vAlign w:val="center"/>
          </w:tcPr>
          <w:p w14:paraId="1A9C930D" w14:textId="77777777" w:rsidR="00442BFF" w:rsidRPr="0048525B" w:rsidRDefault="00442BFF" w:rsidP="008E1E5B">
            <w:pPr>
              <w:spacing w:before="60" w:after="0" w:line="240" w:lineRule="auto"/>
              <w:rPr>
                <w:rFonts w:asciiTheme="minorHAnsi" w:hAnsiTheme="minorHAnsi"/>
                <w:b w:val="0"/>
                <w:sz w:val="16"/>
                <w:szCs w:val="16"/>
              </w:rPr>
            </w:pPr>
            <w:r>
              <w:rPr>
                <w:rFonts w:asciiTheme="minorHAnsi" w:hAnsiTheme="minorHAnsi"/>
                <w:b w:val="0"/>
                <w:sz w:val="16"/>
                <w:szCs w:val="16"/>
              </w:rPr>
              <w:lastRenderedPageBreak/>
              <w:t>5</w:t>
            </w:r>
          </w:p>
        </w:tc>
        <w:tc>
          <w:tcPr>
            <w:tcW w:w="4139" w:type="dxa"/>
            <w:tcBorders>
              <w:right w:val="single" w:sz="4" w:space="0" w:color="86BC25" w:themeColor="accent1"/>
            </w:tcBorders>
            <w:vAlign w:val="center"/>
          </w:tcPr>
          <w:p w14:paraId="03C207E2" w14:textId="77777777" w:rsidR="00442BFF" w:rsidRPr="0048525B" w:rsidRDefault="00442BFF" w:rsidP="008E1E5B">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48525B">
              <w:rPr>
                <w:rFonts w:asciiTheme="minorHAnsi" w:hAnsiTheme="minorHAnsi"/>
                <w:sz w:val="16"/>
                <w:szCs w:val="16"/>
              </w:rPr>
              <w:t>Nedostatočn</w:t>
            </w:r>
            <w:r>
              <w:rPr>
                <w:rFonts w:asciiTheme="minorHAnsi" w:hAnsiTheme="minorHAnsi"/>
                <w:sz w:val="16"/>
                <w:szCs w:val="16"/>
              </w:rPr>
              <w:t>é</w:t>
            </w:r>
            <w:r w:rsidRPr="0048525B">
              <w:rPr>
                <w:rFonts w:asciiTheme="minorHAnsi" w:hAnsiTheme="minorHAnsi"/>
                <w:sz w:val="16"/>
                <w:szCs w:val="16"/>
              </w:rPr>
              <w:t xml:space="preserve"> </w:t>
            </w:r>
            <w:r>
              <w:rPr>
                <w:rFonts w:asciiTheme="minorHAnsi" w:hAnsiTheme="minorHAnsi"/>
                <w:sz w:val="16"/>
                <w:szCs w:val="16"/>
              </w:rPr>
              <w:t xml:space="preserve">vymedzenie povinností pre prijímateľov a žiadateľov v </w:t>
            </w:r>
            <w:r w:rsidRPr="0048525B">
              <w:rPr>
                <w:rFonts w:asciiTheme="minorHAnsi" w:hAnsiTheme="minorHAnsi"/>
                <w:sz w:val="16"/>
                <w:szCs w:val="16"/>
              </w:rPr>
              <w:t>riadiac</w:t>
            </w:r>
            <w:r>
              <w:rPr>
                <w:rFonts w:asciiTheme="minorHAnsi" w:hAnsiTheme="minorHAnsi"/>
                <w:sz w:val="16"/>
                <w:szCs w:val="16"/>
              </w:rPr>
              <w:t>ej</w:t>
            </w:r>
            <w:r w:rsidRPr="0048525B">
              <w:rPr>
                <w:rFonts w:asciiTheme="minorHAnsi" w:hAnsiTheme="minorHAnsi"/>
                <w:sz w:val="16"/>
                <w:szCs w:val="16"/>
              </w:rPr>
              <w:t xml:space="preserve"> dokumentáci</w:t>
            </w:r>
            <w:r>
              <w:rPr>
                <w:rFonts w:asciiTheme="minorHAnsi" w:hAnsiTheme="minorHAnsi"/>
                <w:sz w:val="16"/>
                <w:szCs w:val="16"/>
              </w:rPr>
              <w:t>i</w:t>
            </w:r>
            <w:r w:rsidRPr="0048525B">
              <w:rPr>
                <w:rFonts w:asciiTheme="minorHAnsi" w:hAnsiTheme="minorHAnsi"/>
                <w:sz w:val="16"/>
                <w:szCs w:val="16"/>
              </w:rPr>
              <w:t xml:space="preserve"> pre PO7</w:t>
            </w:r>
          </w:p>
        </w:tc>
        <w:tc>
          <w:tcPr>
            <w:tcW w:w="4665" w:type="dxa"/>
            <w:tcBorders>
              <w:left w:val="single" w:sz="4" w:space="0" w:color="86BC25" w:themeColor="accent1"/>
            </w:tcBorders>
            <w:vAlign w:val="center"/>
          </w:tcPr>
          <w:p w14:paraId="45B51862" w14:textId="77777777" w:rsidR="00776184" w:rsidRPr="00F564AF" w:rsidRDefault="00776184" w:rsidP="00116819">
            <w:pPr>
              <w:pStyle w:val="ListParagraph"/>
              <w:numPr>
                <w:ilvl w:val="0"/>
                <w:numId w:val="94"/>
              </w:numPr>
              <w:spacing w:before="60" w:after="0" w:line="240" w:lineRule="auto"/>
              <w:ind w:left="259" w:hanging="270"/>
              <w:jc w:val="left"/>
              <w:cnfStyle w:val="000000100000" w:firstRow="0" w:lastRow="0" w:firstColumn="0" w:lastColumn="0" w:oddVBand="0" w:evenVBand="0" w:oddHBand="1" w:evenHBand="0" w:firstRowFirstColumn="0" w:firstRowLastColumn="0" w:lastRowFirstColumn="0" w:lastRowLastColumn="0"/>
              <w:rPr>
                <w:sz w:val="16"/>
                <w:szCs w:val="16"/>
              </w:rPr>
            </w:pPr>
            <w:r w:rsidRPr="00F564AF">
              <w:rPr>
                <w:sz w:val="16"/>
                <w:szCs w:val="16"/>
              </w:rPr>
              <w:t>Aktualizovať dokument „Príručka pre žiadateľa prioritnej osi 7 – Informačná spoločnosť“ vo vzťahu k zadávaniu povinných ukazovateľov do ŽoNFP.</w:t>
            </w:r>
          </w:p>
          <w:p w14:paraId="4F7532AE" w14:textId="77777777" w:rsidR="00442BFF" w:rsidRPr="00F564AF" w:rsidRDefault="00442BFF" w:rsidP="00116819">
            <w:pPr>
              <w:pStyle w:val="ListParagraph"/>
              <w:numPr>
                <w:ilvl w:val="0"/>
                <w:numId w:val="94"/>
              </w:numPr>
              <w:spacing w:before="60" w:after="0" w:line="240" w:lineRule="auto"/>
              <w:ind w:left="259" w:hanging="270"/>
              <w:jc w:val="left"/>
              <w:cnfStyle w:val="000000100000" w:firstRow="0" w:lastRow="0" w:firstColumn="0" w:lastColumn="0" w:oddVBand="0" w:evenVBand="0" w:oddHBand="1" w:evenHBand="0" w:firstRowFirstColumn="0" w:firstRowLastColumn="0" w:lastRowFirstColumn="0" w:lastRowLastColumn="0"/>
              <w:rPr>
                <w:sz w:val="16"/>
                <w:szCs w:val="16"/>
              </w:rPr>
            </w:pPr>
            <w:r w:rsidRPr="00F564AF">
              <w:rPr>
                <w:sz w:val="16"/>
                <w:szCs w:val="16"/>
              </w:rPr>
              <w:t>Vypracovať príručk</w:t>
            </w:r>
            <w:r>
              <w:rPr>
                <w:sz w:val="16"/>
                <w:szCs w:val="16"/>
              </w:rPr>
              <w:t>u</w:t>
            </w:r>
            <w:r w:rsidRPr="00F564AF">
              <w:rPr>
                <w:sz w:val="16"/>
                <w:szCs w:val="16"/>
              </w:rPr>
              <w:t>/metodik</w:t>
            </w:r>
            <w:r>
              <w:rPr>
                <w:sz w:val="16"/>
                <w:szCs w:val="16"/>
              </w:rPr>
              <w:t>u</w:t>
            </w:r>
            <w:r w:rsidRPr="00F564AF">
              <w:rPr>
                <w:sz w:val="16"/>
                <w:szCs w:val="16"/>
              </w:rPr>
              <w:t xml:space="preserve"> k postupom verejného obstarávania, ktorá bude obsahovať aj špecifiká projektov PO7.</w:t>
            </w:r>
          </w:p>
        </w:tc>
      </w:tr>
      <w:tr w:rsidR="00442BFF" w:rsidRPr="0048525B" w14:paraId="7675C7BE" w14:textId="77777777" w:rsidTr="008E1E5B">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hemeColor="accent1"/>
            </w:tcBorders>
            <w:vAlign w:val="center"/>
          </w:tcPr>
          <w:p w14:paraId="7654DF22" w14:textId="77777777" w:rsidR="00442BFF" w:rsidRPr="0048525B" w:rsidRDefault="00442BFF" w:rsidP="008E1E5B">
            <w:pPr>
              <w:spacing w:before="60" w:after="0" w:line="240" w:lineRule="auto"/>
              <w:rPr>
                <w:rFonts w:asciiTheme="minorHAnsi" w:hAnsiTheme="minorHAnsi"/>
                <w:b w:val="0"/>
                <w:sz w:val="16"/>
                <w:szCs w:val="16"/>
              </w:rPr>
            </w:pPr>
            <w:r>
              <w:rPr>
                <w:rFonts w:asciiTheme="minorHAnsi" w:hAnsiTheme="minorHAnsi"/>
                <w:b w:val="0"/>
                <w:sz w:val="16"/>
                <w:szCs w:val="16"/>
              </w:rPr>
              <w:t>6</w:t>
            </w:r>
          </w:p>
        </w:tc>
        <w:tc>
          <w:tcPr>
            <w:tcW w:w="4139" w:type="dxa"/>
            <w:tcBorders>
              <w:right w:val="single" w:sz="4" w:space="0" w:color="86BC25" w:themeColor="accent1"/>
            </w:tcBorders>
            <w:vAlign w:val="center"/>
          </w:tcPr>
          <w:p w14:paraId="310112DD" w14:textId="77777777" w:rsidR="00442BFF" w:rsidRPr="0048525B" w:rsidRDefault="00442BFF" w:rsidP="008E1E5B">
            <w:pPr>
              <w:spacing w:before="60" w:after="0" w:line="240"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48525B">
              <w:rPr>
                <w:rFonts w:asciiTheme="minorHAnsi" w:hAnsiTheme="minorHAnsi"/>
                <w:sz w:val="16"/>
                <w:szCs w:val="16"/>
              </w:rPr>
              <w:t>Navýšenie alokácie PO6</w:t>
            </w:r>
          </w:p>
        </w:tc>
        <w:tc>
          <w:tcPr>
            <w:tcW w:w="4665" w:type="dxa"/>
            <w:tcBorders>
              <w:left w:val="single" w:sz="4" w:space="0" w:color="86BC25" w:themeColor="accent1"/>
            </w:tcBorders>
            <w:vAlign w:val="center"/>
          </w:tcPr>
          <w:p w14:paraId="113D7756" w14:textId="77777777" w:rsidR="00442BFF" w:rsidRPr="008F5CC4" w:rsidRDefault="00442BFF" w:rsidP="00442BFF">
            <w:pPr>
              <w:pStyle w:val="ListParagraph"/>
              <w:numPr>
                <w:ilvl w:val="0"/>
                <w:numId w:val="95"/>
              </w:numPr>
              <w:spacing w:before="60" w:after="0" w:line="240" w:lineRule="auto"/>
              <w:ind w:left="252" w:hanging="270"/>
              <w:jc w:val="left"/>
              <w:cnfStyle w:val="000000000000" w:firstRow="0" w:lastRow="0" w:firstColumn="0" w:lastColumn="0" w:oddVBand="0" w:evenVBand="0" w:oddHBand="0" w:evenHBand="0" w:firstRowFirstColumn="0" w:firstRowLastColumn="0" w:lastRowFirstColumn="0" w:lastRowLastColumn="0"/>
              <w:rPr>
                <w:sz w:val="16"/>
                <w:szCs w:val="16"/>
              </w:rPr>
            </w:pPr>
            <w:r w:rsidRPr="008F5CC4">
              <w:rPr>
                <w:sz w:val="16"/>
                <w:szCs w:val="16"/>
              </w:rPr>
              <w:t>Posilniť administratívn</w:t>
            </w:r>
            <w:r>
              <w:rPr>
                <w:sz w:val="16"/>
                <w:szCs w:val="16"/>
              </w:rPr>
              <w:t>e</w:t>
            </w:r>
            <w:r w:rsidRPr="008F5CC4">
              <w:rPr>
                <w:sz w:val="16"/>
                <w:szCs w:val="16"/>
              </w:rPr>
              <w:t xml:space="preserve"> kapac</w:t>
            </w:r>
            <w:r>
              <w:rPr>
                <w:sz w:val="16"/>
                <w:szCs w:val="16"/>
              </w:rPr>
              <w:t>ity</w:t>
            </w:r>
            <w:r w:rsidRPr="008F5CC4">
              <w:rPr>
                <w:sz w:val="16"/>
                <w:szCs w:val="16"/>
              </w:rPr>
              <w:t xml:space="preserve"> prijímateľa a RO OPII a v súvislosti s tým aj presun finančných prostriedkov z technickej pomoci z operačných programov, ktorým bola odobratá výkonnostná rezerva.</w:t>
            </w:r>
          </w:p>
          <w:p w14:paraId="7E17E9EB" w14:textId="77777777" w:rsidR="00442BFF" w:rsidRPr="008F5CC4" w:rsidRDefault="00442BFF" w:rsidP="00442BFF">
            <w:pPr>
              <w:pStyle w:val="ListParagraph"/>
              <w:numPr>
                <w:ilvl w:val="0"/>
                <w:numId w:val="95"/>
              </w:numPr>
              <w:spacing w:before="60" w:after="0" w:line="240" w:lineRule="auto"/>
              <w:ind w:left="252" w:hanging="270"/>
              <w:jc w:val="left"/>
              <w:cnfStyle w:val="000000000000" w:firstRow="0" w:lastRow="0" w:firstColumn="0" w:lastColumn="0" w:oddVBand="0" w:evenVBand="0" w:oddHBand="0" w:evenHBand="0" w:firstRowFirstColumn="0" w:firstRowLastColumn="0" w:lastRowFirstColumn="0" w:lastRowLastColumn="0"/>
              <w:rPr>
                <w:sz w:val="16"/>
                <w:szCs w:val="16"/>
              </w:rPr>
            </w:pPr>
            <w:r w:rsidRPr="00F564AF">
              <w:rPr>
                <w:sz w:val="16"/>
                <w:szCs w:val="16"/>
              </w:rPr>
              <w:t>Uprav</w:t>
            </w:r>
            <w:r>
              <w:rPr>
                <w:sz w:val="16"/>
                <w:szCs w:val="16"/>
              </w:rPr>
              <w:t>iť</w:t>
            </w:r>
            <w:r w:rsidRPr="008F5CC4">
              <w:rPr>
                <w:sz w:val="16"/>
                <w:szCs w:val="16"/>
              </w:rPr>
              <w:t xml:space="preserve"> Operačn</w:t>
            </w:r>
            <w:r>
              <w:rPr>
                <w:sz w:val="16"/>
                <w:szCs w:val="16"/>
              </w:rPr>
              <w:t>ý</w:t>
            </w:r>
            <w:r w:rsidRPr="008F5CC4">
              <w:rPr>
                <w:sz w:val="16"/>
                <w:szCs w:val="16"/>
              </w:rPr>
              <w:t xml:space="preserve"> program Integrovaná infraštruktúra 2014 – 2020 </w:t>
            </w:r>
            <w:r w:rsidR="00B13443">
              <w:rPr>
                <w:i/>
              </w:rPr>
              <w:t>‒</w:t>
            </w:r>
            <w:r w:rsidRPr="008F5CC4">
              <w:rPr>
                <w:sz w:val="16"/>
                <w:szCs w:val="16"/>
              </w:rPr>
              <w:t xml:space="preserve"> navýšenie cieľových hodnôt ukazovateľov v nadväznosti na navýšenie alokácie PO6.</w:t>
            </w:r>
          </w:p>
        </w:tc>
      </w:tr>
    </w:tbl>
    <w:p w14:paraId="1F7CA91B" w14:textId="77777777" w:rsidR="000A783D" w:rsidRDefault="000A783D" w:rsidP="000A783D"/>
    <w:p w14:paraId="0C7025A3" w14:textId="77777777" w:rsidR="00AF1CE5" w:rsidRPr="00DD6590" w:rsidRDefault="00AF1CE5">
      <w:pPr>
        <w:spacing w:before="0" w:after="200" w:line="276" w:lineRule="auto"/>
        <w:jc w:val="left"/>
        <w:rPr>
          <w:sz w:val="60"/>
        </w:rPr>
      </w:pPr>
      <w:r w:rsidRPr="00DD6590">
        <w:br w:type="page"/>
      </w:r>
    </w:p>
    <w:p w14:paraId="456093DD" w14:textId="77777777" w:rsidR="00FB7270" w:rsidRPr="00CB0C03" w:rsidRDefault="00FB7270" w:rsidP="00FB7270">
      <w:pPr>
        <w:pStyle w:val="Sectiontitle"/>
        <w:outlineLvl w:val="0"/>
        <w:rPr>
          <w:lang w:val="en-GB"/>
        </w:rPr>
      </w:pPr>
      <w:bookmarkStart w:id="6" w:name="_Toc10709699"/>
      <w:r w:rsidRPr="00CB0C03">
        <w:rPr>
          <w:lang w:val="en-GB"/>
        </w:rPr>
        <w:lastRenderedPageBreak/>
        <w:t>Executive Summary</w:t>
      </w:r>
      <w:bookmarkEnd w:id="6"/>
    </w:p>
    <w:p w14:paraId="25156139" w14:textId="77777777" w:rsidR="00FB7270" w:rsidRPr="00CB0C03" w:rsidRDefault="00FB7270" w:rsidP="00FB7270">
      <w:pPr>
        <w:rPr>
          <w:rFonts w:ascii="Verdana" w:eastAsia="Verdana" w:hAnsi="Verdana" w:cs="Times New Roman"/>
          <w:szCs w:val="18"/>
          <w:lang w:val="en-GB"/>
        </w:rPr>
      </w:pPr>
      <w:r w:rsidRPr="00CB0C03">
        <w:rPr>
          <w:rFonts w:ascii="Verdana" w:eastAsia="Verdana" w:hAnsi="Verdana" w:cs="Times New Roman"/>
          <w:szCs w:val="18"/>
          <w:lang w:val="en-GB"/>
        </w:rPr>
        <w:t>The evaluation of the fulfilment of targets and expected results and identification of possible adjustments to OPII is the first evaluation of the implementation of the Operational Programme Integrated Infrastructure 2014-2020 (hereinafter “OPII”). This interim evaluation is prepared in accordance with the OPII 2014-2020 evaluation plan, version 3.0. The evaluation process is in accordance with the qualitative requirements for evaluation defined in the Quality Evaluation Standards for European Structural and Investment Funds for the 2014-2020 programming period, issued by the Central Coordination Authority).</w:t>
      </w:r>
    </w:p>
    <w:p w14:paraId="403F9CAD" w14:textId="77777777" w:rsidR="00FB7270" w:rsidRPr="00CB0C03" w:rsidRDefault="00FB7270" w:rsidP="00FB7270">
      <w:pPr>
        <w:rPr>
          <w:rFonts w:ascii="Verdana" w:eastAsia="Verdana" w:hAnsi="Verdana" w:cs="Times New Roman"/>
          <w:szCs w:val="18"/>
          <w:lang w:val="en-GB"/>
        </w:rPr>
      </w:pPr>
      <w:r w:rsidRPr="00CB0C03">
        <w:rPr>
          <w:rFonts w:ascii="Verdana" w:eastAsia="Verdana" w:hAnsi="Verdana" w:cs="Times New Roman"/>
          <w:szCs w:val="18"/>
          <w:lang w:val="en-GB"/>
        </w:rPr>
        <w:t>The evaluation involved the assessment of the performance, effectiveness and efficiency of OPII by analysing the state of implementation of the priority axes, specific objectives and their expected results, the output, result and financial indicators, including the results set out in the performance framework.</w:t>
      </w:r>
    </w:p>
    <w:p w14:paraId="636A71F0" w14:textId="77777777" w:rsidR="00FB7270" w:rsidRPr="00CB0C03" w:rsidRDefault="00FB7270" w:rsidP="00FB7270">
      <w:pPr>
        <w:rPr>
          <w:rFonts w:ascii="Verdana" w:eastAsia="Verdana" w:hAnsi="Verdana" w:cs="Times New Roman"/>
          <w:szCs w:val="18"/>
          <w:lang w:val="en-GB"/>
        </w:rPr>
      </w:pPr>
      <w:r w:rsidRPr="00CB0C03">
        <w:rPr>
          <w:rFonts w:ascii="Verdana" w:eastAsia="Verdana" w:hAnsi="Verdana" w:cs="Times New Roman"/>
          <w:szCs w:val="18"/>
          <w:lang w:val="en-GB"/>
        </w:rPr>
        <w:t>The evaluation was based on the methodology approved in the initial report and two main methods were used: data collection and desk research. Data were collected in two ways:</w:t>
      </w:r>
    </w:p>
    <w:p w14:paraId="05A1DCE8" w14:textId="77777777" w:rsidR="00FB7270" w:rsidRPr="00CB0C03" w:rsidRDefault="00FB7270" w:rsidP="00FB7270">
      <w:pPr>
        <w:numPr>
          <w:ilvl w:val="0"/>
          <w:numId w:val="80"/>
        </w:numPr>
        <w:rPr>
          <w:rFonts w:ascii="Verdana" w:eastAsia="Times New Roman" w:hAnsi="Verdana" w:cs="Times New Roman"/>
          <w:szCs w:val="18"/>
          <w:lang w:val="en-GB"/>
        </w:rPr>
      </w:pPr>
      <w:r w:rsidRPr="00CB0C03">
        <w:rPr>
          <w:rFonts w:ascii="Verdana" w:eastAsia="Times New Roman" w:hAnsi="Verdana" w:cs="Times New Roman"/>
          <w:szCs w:val="18"/>
          <w:lang w:val="en-GB"/>
        </w:rPr>
        <w:t xml:space="preserve">collection of secondary data - data provided by the managing authority of OPII, from </w:t>
      </w:r>
      <w:hyperlink r:id="rId15" w:history="1">
        <w:r w:rsidRPr="00CB0C03">
          <w:rPr>
            <w:rFonts w:ascii="Verdana" w:eastAsia="Times New Roman" w:hAnsi="Verdana" w:cs="Times New Roman"/>
            <w:color w:val="00A3E0"/>
            <w:szCs w:val="18"/>
            <w:u w:val="single"/>
            <w:lang w:val="en-GB"/>
          </w:rPr>
          <w:t>www.opii.gov.sk</w:t>
        </w:r>
      </w:hyperlink>
      <w:r w:rsidRPr="00CB0C03">
        <w:rPr>
          <w:rFonts w:ascii="Verdana" w:eastAsia="Times New Roman" w:hAnsi="Verdana" w:cs="Times New Roman"/>
          <w:szCs w:val="18"/>
          <w:lang w:val="en-GB"/>
        </w:rPr>
        <w:t xml:space="preserve"> and ITMS2014+; and</w:t>
      </w:r>
    </w:p>
    <w:p w14:paraId="2DA46628" w14:textId="77777777" w:rsidR="00FB7270" w:rsidRPr="00CB0C03" w:rsidRDefault="00FB7270" w:rsidP="00FB7270">
      <w:pPr>
        <w:numPr>
          <w:ilvl w:val="0"/>
          <w:numId w:val="80"/>
        </w:numPr>
        <w:rPr>
          <w:rFonts w:ascii="Verdana" w:eastAsia="Times New Roman" w:hAnsi="Verdana" w:cs="Times New Roman"/>
          <w:szCs w:val="18"/>
          <w:lang w:val="en-GB"/>
        </w:rPr>
      </w:pPr>
      <w:r w:rsidRPr="00CB0C03">
        <w:rPr>
          <w:rFonts w:ascii="Verdana" w:eastAsia="Times New Roman" w:hAnsi="Verdana" w:cs="Times New Roman"/>
          <w:szCs w:val="18"/>
          <w:lang w:val="en-GB"/>
        </w:rPr>
        <w:t xml:space="preserve">Collection of primary data - data obtained from questionnaires and interviews, which complemented secondary data. The questionnaires were filled in by MA project managers, IA OPII project managers and beneficiaries. Interviews were conducted with MA and IA OPII project managers to supplement the information in the questionnaires.  </w:t>
      </w:r>
    </w:p>
    <w:p w14:paraId="16EFD703" w14:textId="77777777" w:rsidR="00FB7270" w:rsidRPr="00CB0C03" w:rsidRDefault="00FB7270" w:rsidP="00FB7270">
      <w:pPr>
        <w:rPr>
          <w:rFonts w:ascii="Verdana" w:eastAsia="Verdana" w:hAnsi="Verdana" w:cs="Times New Roman"/>
          <w:szCs w:val="18"/>
          <w:lang w:val="en-GB"/>
        </w:rPr>
      </w:pPr>
      <w:r w:rsidRPr="00CB0C03">
        <w:rPr>
          <w:rFonts w:ascii="Verdana" w:eastAsia="Verdana" w:hAnsi="Verdana" w:cs="Times New Roman"/>
          <w:szCs w:val="18"/>
          <w:lang w:val="en-GB"/>
        </w:rPr>
        <w:t>The desk research method was based on a detailed analysis of information gathered by data collection, which was used to prepare the evaluation of project implementation. The conclusions and recommendations are based on the evaluation questions and they are prepared for all priority axes generally and individually. A comparative analysis and the logical framework method was used to make conclusions.</w:t>
      </w:r>
    </w:p>
    <w:p w14:paraId="0A1856B3" w14:textId="77777777" w:rsidR="00FB7270" w:rsidRPr="00CB0C03" w:rsidRDefault="00FB7270" w:rsidP="00FB7270">
      <w:pPr>
        <w:rPr>
          <w:rFonts w:ascii="Verdana" w:eastAsia="Verdana" w:hAnsi="Verdana" w:cs="Times New Roman"/>
          <w:szCs w:val="18"/>
          <w:lang w:val="en-GB"/>
        </w:rPr>
      </w:pPr>
      <w:r w:rsidRPr="00CB0C03">
        <w:rPr>
          <w:rFonts w:ascii="Verdana" w:eastAsia="Verdana" w:hAnsi="Verdana" w:cs="Times New Roman"/>
          <w:szCs w:val="18"/>
          <w:lang w:val="en-GB"/>
        </w:rPr>
        <w:t>Based on the analysis, the evaluator answered the evaluation questions, which were defined in the terms of reference:</w:t>
      </w:r>
    </w:p>
    <w:p w14:paraId="62C2C4E0" w14:textId="77777777" w:rsidR="00FB7270" w:rsidRPr="00CB0C03" w:rsidRDefault="00FB7270" w:rsidP="00FB7270">
      <w:pPr>
        <w:rPr>
          <w:rFonts w:ascii="Verdana" w:eastAsia="Verdana" w:hAnsi="Verdana" w:cs="Times New Roman"/>
          <w:i/>
          <w:szCs w:val="18"/>
          <w:lang w:val="en-GB"/>
        </w:rPr>
      </w:pPr>
      <w:r w:rsidRPr="00CB0C03">
        <w:rPr>
          <w:rFonts w:ascii="Verdana" w:eastAsia="Verdana" w:hAnsi="Verdana" w:cs="Times New Roman"/>
          <w:i/>
          <w:iCs/>
          <w:szCs w:val="18"/>
          <w:lang w:val="en-GB"/>
        </w:rPr>
        <w:t>Evaluation Question 1 - Is there a need to increase the performance and pace of contracting and absorbing OPII funds with regard to the objectives and expected results? If so, what internal measures should be adopted and applied by MA OPII/IA in the implementation of OPII, or initiated in relation to external entities and the environment?</w:t>
      </w:r>
    </w:p>
    <w:p w14:paraId="6507B9E3" w14:textId="77777777" w:rsidR="00FB7270" w:rsidRPr="00CB0C03" w:rsidRDefault="00FB7270" w:rsidP="00FB7270">
      <w:pPr>
        <w:rPr>
          <w:rFonts w:ascii="Verdana" w:eastAsia="Verdana" w:hAnsi="Verdana" w:cs="Times New Roman"/>
          <w:i/>
          <w:szCs w:val="18"/>
          <w:lang w:val="en-GB"/>
        </w:rPr>
      </w:pPr>
      <w:r w:rsidRPr="00CB0C03">
        <w:rPr>
          <w:rFonts w:ascii="Verdana" w:eastAsia="Verdana" w:hAnsi="Verdana" w:cs="Times New Roman"/>
          <w:i/>
          <w:iCs/>
          <w:szCs w:val="18"/>
          <w:lang w:val="en-GB"/>
        </w:rPr>
        <w:t>Evaluation Question 2 - Is there a risk at the level of the Cohesion Fund (CF) and the European Regional Development Fund (ERDF) that the minimum amounts of EU funds set for OPII in accordance with the n+3 rule will not be met?</w:t>
      </w:r>
    </w:p>
    <w:p w14:paraId="7473249C" w14:textId="77777777" w:rsidR="00FB7270" w:rsidRPr="00CB0C03" w:rsidRDefault="00FB7270" w:rsidP="00FB7270">
      <w:pPr>
        <w:rPr>
          <w:rFonts w:ascii="Verdana" w:eastAsia="Verdana" w:hAnsi="Verdana" w:cs="Times New Roman"/>
          <w:i/>
          <w:szCs w:val="18"/>
          <w:lang w:val="en-GB"/>
        </w:rPr>
      </w:pPr>
      <w:r w:rsidRPr="00CB0C03">
        <w:rPr>
          <w:rFonts w:ascii="Verdana" w:eastAsia="Verdana" w:hAnsi="Verdana" w:cs="Times New Roman"/>
          <w:i/>
          <w:iCs/>
          <w:szCs w:val="18"/>
          <w:lang w:val="en-GB"/>
        </w:rPr>
        <w:t>Evaluation Question 3 - In which priority axes is there a risk of non-fulfilment of the performance framework? Which priority axes would benefit from a proposal to adjust the objectives (for 2023) and at what values and amounts, with subsequent submission for EC assessment under the OPII amendment under Article 30 of the General Regulation?</w:t>
      </w:r>
    </w:p>
    <w:p w14:paraId="00506B23" w14:textId="77777777" w:rsidR="00FB7270" w:rsidRPr="00CB0C03" w:rsidRDefault="00FB7270" w:rsidP="00FB7270">
      <w:pPr>
        <w:rPr>
          <w:rFonts w:ascii="Verdana" w:eastAsia="Verdana" w:hAnsi="Verdana" w:cs="Times New Roman"/>
          <w:i/>
          <w:szCs w:val="18"/>
          <w:lang w:val="en-GB"/>
        </w:rPr>
      </w:pPr>
      <w:r w:rsidRPr="00CB0C03">
        <w:rPr>
          <w:rFonts w:ascii="Verdana" w:eastAsia="Verdana" w:hAnsi="Verdana" w:cs="Times New Roman"/>
          <w:i/>
          <w:iCs/>
          <w:szCs w:val="18"/>
          <w:lang w:val="en-GB"/>
        </w:rPr>
        <w:t>Evaluation Question 4 - Is it necessary to add new or modify the existing activities, to add new beneficiaries or to extend target areas to support OPII implementation in some priority axes? Is it necessary to make financial transfers between priority axes to support the implementation of OPII?</w:t>
      </w:r>
    </w:p>
    <w:p w14:paraId="282AD7F0" w14:textId="77777777" w:rsidR="00FB7270" w:rsidRPr="00CB0C03" w:rsidRDefault="00FB7270" w:rsidP="00FB7270">
      <w:pPr>
        <w:rPr>
          <w:rFonts w:ascii="Verdana" w:eastAsia="Verdana" w:hAnsi="Verdana" w:cs="Times New Roman"/>
          <w:szCs w:val="18"/>
          <w:lang w:val="en-GB"/>
        </w:rPr>
      </w:pPr>
      <w:r w:rsidRPr="00CB0C03">
        <w:rPr>
          <w:rFonts w:ascii="Verdana" w:eastAsia="Verdana" w:hAnsi="Verdana" w:cs="Times New Roman"/>
          <w:szCs w:val="18"/>
          <w:lang w:val="en-GB"/>
        </w:rPr>
        <w:t>The evaluation of the implementation of projects is prepared by individual priority axes. The level of certified absorption reached 30.48</w:t>
      </w:r>
      <w:r w:rsidR="00E84067">
        <w:rPr>
          <w:rFonts w:ascii="Verdana" w:eastAsia="Verdana" w:hAnsi="Verdana" w:cs="Times New Roman"/>
          <w:szCs w:val="18"/>
          <w:lang w:val="en-GB"/>
        </w:rPr>
        <w:t xml:space="preserve"> </w:t>
      </w:r>
      <w:r w:rsidRPr="00CB0C03">
        <w:rPr>
          <w:rFonts w:ascii="Verdana" w:eastAsia="Verdana" w:hAnsi="Verdana" w:cs="Times New Roman"/>
          <w:szCs w:val="18"/>
          <w:lang w:val="en-GB"/>
        </w:rPr>
        <w:t xml:space="preserve">% as at 31 December 2018, including technical assistance, which was not subject to evaluation. In absolute terms, total certified expenditure as at 31 December 2018 (EU source) amounted to EUR 1 204 million. Priority Axis 2 – Road Infrastructure (TEN-T) had the </w:t>
      </w:r>
      <w:r w:rsidRPr="00CB0C03">
        <w:rPr>
          <w:rFonts w:ascii="Verdana" w:eastAsia="Verdana" w:hAnsi="Verdana" w:cs="Times New Roman"/>
          <w:szCs w:val="18"/>
          <w:lang w:val="en-GB"/>
        </w:rPr>
        <w:lastRenderedPageBreak/>
        <w:t>highest absorption under OPII (53.83</w:t>
      </w:r>
      <w:r w:rsidR="00E84067">
        <w:rPr>
          <w:rFonts w:ascii="Verdana" w:eastAsia="Verdana" w:hAnsi="Verdana" w:cs="Times New Roman"/>
          <w:szCs w:val="18"/>
          <w:lang w:val="en-GB"/>
        </w:rPr>
        <w:t xml:space="preserve"> </w:t>
      </w:r>
      <w:r w:rsidRPr="00CB0C03">
        <w:rPr>
          <w:rFonts w:ascii="Verdana" w:eastAsia="Verdana" w:hAnsi="Verdana" w:cs="Times New Roman"/>
          <w:szCs w:val="18"/>
          <w:lang w:val="en-GB"/>
        </w:rPr>
        <w:t>%) and Priority Axis 4 – Waterway Transport Infrastructure (TEN-T CORE) (0.04</w:t>
      </w:r>
      <w:r w:rsidR="00E84067">
        <w:rPr>
          <w:rFonts w:ascii="Verdana" w:eastAsia="Verdana" w:hAnsi="Verdana" w:cs="Times New Roman"/>
          <w:szCs w:val="18"/>
          <w:lang w:val="en-GB"/>
        </w:rPr>
        <w:t xml:space="preserve"> </w:t>
      </w:r>
      <w:r w:rsidRPr="00CB0C03">
        <w:rPr>
          <w:rFonts w:ascii="Verdana" w:eastAsia="Verdana" w:hAnsi="Verdana" w:cs="Times New Roman"/>
          <w:szCs w:val="18"/>
          <w:lang w:val="en-GB"/>
        </w:rPr>
        <w:t>%) had the lowest absorption under OPII. The level of contracting as at 31 December 2018 was 63.55</w:t>
      </w:r>
      <w:r w:rsidR="00E84067">
        <w:rPr>
          <w:rFonts w:ascii="Verdana" w:eastAsia="Verdana" w:hAnsi="Verdana" w:cs="Times New Roman"/>
          <w:szCs w:val="18"/>
          <w:lang w:val="en-GB"/>
        </w:rPr>
        <w:t xml:space="preserve"> </w:t>
      </w:r>
      <w:r w:rsidRPr="00CB0C03">
        <w:rPr>
          <w:rFonts w:ascii="Verdana" w:eastAsia="Verdana" w:hAnsi="Verdana" w:cs="Times New Roman"/>
          <w:szCs w:val="18"/>
          <w:lang w:val="en-GB"/>
        </w:rPr>
        <w:t>% (EUR 2 896 million); Priority Axis 2 had the highest contracting rate (115.10</w:t>
      </w:r>
      <w:r w:rsidR="00E84067">
        <w:rPr>
          <w:rFonts w:ascii="Verdana" w:eastAsia="Verdana" w:hAnsi="Verdana" w:cs="Times New Roman"/>
          <w:szCs w:val="18"/>
          <w:lang w:val="en-GB"/>
        </w:rPr>
        <w:t xml:space="preserve"> </w:t>
      </w:r>
      <w:r w:rsidRPr="00CB0C03">
        <w:rPr>
          <w:rFonts w:ascii="Verdana" w:eastAsia="Verdana" w:hAnsi="Verdana" w:cs="Times New Roman"/>
          <w:szCs w:val="18"/>
          <w:lang w:val="en-GB"/>
        </w:rPr>
        <w:t>%) and Priority Axis 4 had the lowest (0.35</w:t>
      </w:r>
      <w:r w:rsidR="00E84067">
        <w:rPr>
          <w:rFonts w:ascii="Verdana" w:eastAsia="Verdana" w:hAnsi="Verdana" w:cs="Times New Roman"/>
          <w:szCs w:val="18"/>
          <w:lang w:val="en-GB"/>
        </w:rPr>
        <w:t xml:space="preserve"> </w:t>
      </w:r>
      <w:r w:rsidRPr="00CB0C03">
        <w:rPr>
          <w:rFonts w:ascii="Verdana" w:eastAsia="Verdana" w:hAnsi="Verdana" w:cs="Times New Roman"/>
          <w:szCs w:val="18"/>
          <w:lang w:val="en-GB"/>
        </w:rPr>
        <w:t>%).</w:t>
      </w:r>
    </w:p>
    <w:p w14:paraId="0EAACAD7" w14:textId="77777777" w:rsidR="00FB7270" w:rsidRPr="00CB0C03" w:rsidRDefault="00FB7270" w:rsidP="00FB7270">
      <w:pPr>
        <w:rPr>
          <w:rFonts w:ascii="Verdana" w:eastAsia="Verdana" w:hAnsi="Verdana" w:cs="Times New Roman"/>
          <w:szCs w:val="18"/>
          <w:lang w:val="en-GB"/>
        </w:rPr>
      </w:pPr>
      <w:r w:rsidRPr="00CB0C03">
        <w:rPr>
          <w:rFonts w:ascii="Verdana" w:eastAsia="Verdana" w:hAnsi="Verdana" w:cs="Times New Roman"/>
          <w:szCs w:val="18"/>
          <w:lang w:val="en-GB"/>
        </w:rPr>
        <w:t>The comparison of fulfilment of financial indicators of the performance framework with total absorption and contracting as at 31 December 2018 is shown below:</w:t>
      </w:r>
    </w:p>
    <w:p w14:paraId="493441E4" w14:textId="77777777" w:rsidR="00FB7270" w:rsidRPr="00CB0C03" w:rsidRDefault="00FB7270" w:rsidP="00FB7270">
      <w:pPr>
        <w:rPr>
          <w:rFonts w:ascii="Verdana" w:eastAsia="Verdana" w:hAnsi="Verdana" w:cs="Times New Roman"/>
          <w:lang w:val="en-GB"/>
        </w:rPr>
      </w:pPr>
      <w:r w:rsidRPr="00CB0C03">
        <w:rPr>
          <w:rFonts w:ascii="Verdana" w:eastAsia="Verdana" w:hAnsi="Verdana" w:cs="Times New Roman"/>
          <w:noProof/>
          <w:lang w:eastAsia="sk-SK"/>
        </w:rPr>
        <w:drawing>
          <wp:inline distT="0" distB="0" distL="0" distR="0" wp14:anchorId="143789CF" wp14:editId="31AE8BEA">
            <wp:extent cx="5499100" cy="32131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99100" cy="3213100"/>
                    </a:xfrm>
                    <a:prstGeom prst="rect">
                      <a:avLst/>
                    </a:prstGeom>
                    <a:noFill/>
                  </pic:spPr>
                </pic:pic>
              </a:graphicData>
            </a:graphic>
          </wp:inline>
        </w:drawing>
      </w:r>
    </w:p>
    <w:p w14:paraId="74D0B2F9" w14:textId="77777777" w:rsidR="00FB7270" w:rsidRPr="00CB0C03" w:rsidRDefault="00FB7270" w:rsidP="00FB7270">
      <w:pPr>
        <w:rPr>
          <w:rFonts w:ascii="Verdana" w:eastAsia="Verdana" w:hAnsi="Verdana" w:cs="Times New Roman"/>
          <w:i/>
          <w:lang w:val="en-GB"/>
        </w:rPr>
      </w:pPr>
      <w:r w:rsidRPr="00CB0C03">
        <w:rPr>
          <w:rFonts w:ascii="Verdana" w:eastAsia="Verdana" w:hAnsi="Verdana" w:cs="Times New Roman"/>
          <w:i/>
          <w:iCs/>
          <w:lang w:val="en-GB"/>
        </w:rPr>
        <w:t>The evaluation results led the evaluator to conclude as follows:</w:t>
      </w:r>
    </w:p>
    <w:p w14:paraId="056EF0EC" w14:textId="77777777" w:rsidR="00FB7270" w:rsidRPr="00CB0C03" w:rsidRDefault="00FB7270" w:rsidP="00FB7270">
      <w:pPr>
        <w:rPr>
          <w:rFonts w:ascii="Verdana" w:eastAsia="Verdana" w:hAnsi="Verdana" w:cs="Times New Roman"/>
          <w:lang w:val="en-GB"/>
        </w:rPr>
      </w:pPr>
      <w:r w:rsidRPr="00CB0C03">
        <w:rPr>
          <w:rFonts w:ascii="Verdana" w:eastAsia="Verdana" w:hAnsi="Verdana" w:cs="Times New Roman"/>
          <w:lang w:val="en-GB"/>
        </w:rPr>
        <w:t xml:space="preserve">The level of </w:t>
      </w:r>
      <w:r w:rsidRPr="00CB0C03">
        <w:rPr>
          <w:rFonts w:ascii="Verdana" w:eastAsia="Verdana" w:hAnsi="Verdana" w:cs="Times New Roman"/>
          <w:b/>
          <w:bCs/>
          <w:lang w:val="en-GB"/>
        </w:rPr>
        <w:t xml:space="preserve">contracting and absorbing </w:t>
      </w:r>
      <w:r w:rsidRPr="00CB0C03">
        <w:rPr>
          <w:rFonts w:ascii="Verdana" w:eastAsia="Verdana" w:hAnsi="Verdana" w:cs="Times New Roman"/>
          <w:lang w:val="en-GB"/>
        </w:rPr>
        <w:t>the Operational Programme Integrated Infrastructure is one of the best among the operational programmes in the Slovak Republic. Nevertheless, it is necessary to increase the pace of contracting, ie to contract other projects, which will contribute to the fulfilment of the 2023 objectives. Projects that should be supported under each priority axis should focus in particular on the fulfilment of performance framework indicators. Otherwise, the OPII Managing Authority may subject to financial corrections by the EC for not meeting the target values of the indicators included in the performance framework. The Conclusions and Recommendations section identifies projects for each priority axis, which will contribute to the fulfilment of the performance framework based on the information from the questionnaires.</w:t>
      </w:r>
    </w:p>
    <w:p w14:paraId="0C1D47F5" w14:textId="77777777" w:rsidR="00FB7270" w:rsidRPr="00CB0C03" w:rsidRDefault="00FB7270" w:rsidP="00FB7270">
      <w:pPr>
        <w:rPr>
          <w:rFonts w:ascii="Verdana" w:eastAsia="Verdana" w:hAnsi="Verdana" w:cs="Times New Roman"/>
          <w:lang w:val="en-GB"/>
        </w:rPr>
      </w:pPr>
      <w:r w:rsidRPr="00CB0C03">
        <w:rPr>
          <w:rFonts w:ascii="Verdana" w:eastAsia="Verdana" w:hAnsi="Verdana" w:cs="Times New Roman"/>
          <w:lang w:val="en-GB"/>
        </w:rPr>
        <w:t>Given the results of the evaluation, it is necessary to start contracting, implementing and absorbing projects, especially in Priority Axis 4 – Waterway Transport Infrastructure (TEN-T CORE) and Priority Axis 5 – Railway Infrastructure, where the contracting level is alarming and was below 1% as at 31 December 2018. The pace of absorption needs to be increased also in Priority Axis 7 – Information Society, where projects worth 30</w:t>
      </w:r>
      <w:r w:rsidR="00E84067">
        <w:rPr>
          <w:rFonts w:ascii="Verdana" w:eastAsia="Verdana" w:hAnsi="Verdana" w:cs="Times New Roman"/>
          <w:lang w:val="en-GB"/>
        </w:rPr>
        <w:t xml:space="preserve"> </w:t>
      </w:r>
      <w:r w:rsidRPr="00CB0C03">
        <w:rPr>
          <w:rFonts w:ascii="Verdana" w:eastAsia="Verdana" w:hAnsi="Verdana" w:cs="Times New Roman"/>
          <w:lang w:val="en-GB"/>
        </w:rPr>
        <w:t>% are contracted, but most projects are not implemented in accordance with the schedule</w:t>
      </w:r>
      <w:r w:rsidR="00C27F6C">
        <w:rPr>
          <w:rFonts w:ascii="Verdana" w:eastAsia="Verdana" w:hAnsi="Verdana" w:cs="Times New Roman"/>
          <w:lang w:val="en-GB"/>
        </w:rPr>
        <w:t>,</w:t>
      </w:r>
      <w:r w:rsidR="00C27F6C" w:rsidRPr="00C27F6C">
        <w:t xml:space="preserve"> </w:t>
      </w:r>
      <w:r w:rsidR="00C27F6C" w:rsidRPr="00C27F6C">
        <w:rPr>
          <w:rFonts w:ascii="Verdana" w:eastAsia="Verdana" w:hAnsi="Verdana" w:cs="Times New Roman"/>
          <w:lang w:val="en-GB"/>
        </w:rPr>
        <w:t>which is mainly due to the lengthy preparation and implementation of public procurement by applicants.</w:t>
      </w:r>
      <w:r w:rsidRPr="00CB0C03">
        <w:rPr>
          <w:rFonts w:ascii="Verdana" w:eastAsia="Verdana" w:hAnsi="Verdana" w:cs="Times New Roman"/>
          <w:lang w:val="en-GB"/>
        </w:rPr>
        <w:t xml:space="preserve">. The performance framework objectives for 2018 was not met in Priority Axes 4, 5 and 7. </w:t>
      </w:r>
    </w:p>
    <w:p w14:paraId="5A5E3AA6" w14:textId="77777777" w:rsidR="00FB7270" w:rsidRPr="00CB0C03" w:rsidRDefault="00FB7270" w:rsidP="00FB7270">
      <w:pPr>
        <w:rPr>
          <w:rFonts w:ascii="Verdana" w:eastAsia="Verdana" w:hAnsi="Verdana" w:cs="Times New Roman"/>
          <w:lang w:val="en-GB"/>
        </w:rPr>
      </w:pPr>
      <w:r w:rsidRPr="00CB0C03">
        <w:rPr>
          <w:rFonts w:ascii="Verdana" w:eastAsia="Verdana" w:hAnsi="Verdana" w:cs="Times New Roman"/>
          <w:lang w:val="en-GB"/>
        </w:rPr>
        <w:t xml:space="preserve">Based on the evaluation of the absorption of funds for the entire operational program for 2016, 2017 and 2018, which met the </w:t>
      </w:r>
      <w:r w:rsidRPr="00CB0C03">
        <w:rPr>
          <w:rFonts w:ascii="Verdana" w:eastAsia="Verdana" w:hAnsi="Verdana" w:cs="Times New Roman"/>
          <w:b/>
          <w:bCs/>
          <w:lang w:val="en-GB"/>
        </w:rPr>
        <w:t>(n+3)</w:t>
      </w:r>
      <w:r w:rsidRPr="00CB0C03">
        <w:rPr>
          <w:rFonts w:ascii="Verdana" w:eastAsia="Verdana" w:hAnsi="Verdana" w:cs="Times New Roman"/>
          <w:lang w:val="en-GB"/>
        </w:rPr>
        <w:t xml:space="preserve"> 2014 and 2015 commitment, it can be assumed that the minimum absorption amounts will be met under OPII in the next years. Financial commitments and their absorption are detailed in the Conclusions and Recommendations. The pace of absorption needs to be increased for projects funded by the European Regional Development Fund, where the fulfilment of the first two commitments was also problematic. Nevertheless, OPII fulfilled the financial commitments thanks to the high absorption of the Cohesion Fund.</w:t>
      </w:r>
    </w:p>
    <w:p w14:paraId="6BFCD86E" w14:textId="77777777" w:rsidR="00FB7270" w:rsidRPr="00CB0C03" w:rsidRDefault="00FB7270" w:rsidP="00FB7270">
      <w:pPr>
        <w:rPr>
          <w:rFonts w:ascii="Verdana" w:eastAsia="Verdana" w:hAnsi="Verdana" w:cs="Times New Roman"/>
          <w:lang w:val="en-GB"/>
        </w:rPr>
      </w:pPr>
      <w:r w:rsidRPr="00CB0C03">
        <w:rPr>
          <w:rFonts w:ascii="Verdana" w:eastAsia="Verdana" w:hAnsi="Verdana" w:cs="Times New Roman"/>
          <w:lang w:val="en-GB"/>
        </w:rPr>
        <w:lastRenderedPageBreak/>
        <w:t>If the priority axis indicators are not met at 65%, a correction of 5-25% is applied in line with the EC guideline. For OPII, the risk of failure to meet the performance framework applies in particular to Priority Axes 4, 5 and 7.</w:t>
      </w:r>
    </w:p>
    <w:p w14:paraId="5E07E3E7" w14:textId="77777777" w:rsidR="00FB7270" w:rsidRPr="00CB0C03" w:rsidRDefault="00FB7270" w:rsidP="00FB7270">
      <w:pPr>
        <w:rPr>
          <w:rFonts w:ascii="Verdana" w:eastAsia="Verdana" w:hAnsi="Verdana" w:cs="Times New Roman"/>
          <w:b/>
          <w:lang w:val="en-GB"/>
        </w:rPr>
      </w:pPr>
      <w:r w:rsidRPr="00CB0C03">
        <w:rPr>
          <w:rFonts w:ascii="Verdana" w:eastAsia="Verdana" w:hAnsi="Verdana" w:cs="Times New Roman"/>
          <w:b/>
          <w:bCs/>
          <w:lang w:val="en-GB"/>
        </w:rPr>
        <w:t>Key Findings and Recommendations</w:t>
      </w:r>
    </w:p>
    <w:p w14:paraId="6FBEFD24" w14:textId="77777777" w:rsidR="00FB7270" w:rsidRPr="00CB0C03" w:rsidRDefault="00FB7270" w:rsidP="00FB7270">
      <w:pPr>
        <w:rPr>
          <w:rFonts w:ascii="Verdana" w:eastAsia="Verdana" w:hAnsi="Verdana" w:cs="Times New Roman"/>
          <w:lang w:val="en-GB"/>
        </w:rPr>
      </w:pPr>
      <w:r w:rsidRPr="00CB0C03">
        <w:rPr>
          <w:rFonts w:ascii="Verdana" w:eastAsia="Verdana" w:hAnsi="Verdana" w:cs="Times New Roman"/>
          <w:lang w:val="en-GB"/>
        </w:rPr>
        <w:t>Given the evaluation conclusions, the following main findings were identified that affect the performance and absorption of OPII:</w:t>
      </w:r>
    </w:p>
    <w:p w14:paraId="0D024152" w14:textId="77777777" w:rsidR="00FB7270" w:rsidRPr="00CB0C03" w:rsidRDefault="00FB7270" w:rsidP="00FB7270">
      <w:pPr>
        <w:numPr>
          <w:ilvl w:val="0"/>
          <w:numId w:val="80"/>
        </w:numPr>
        <w:rPr>
          <w:rFonts w:ascii="Verdana" w:eastAsia="Times New Roman" w:hAnsi="Verdana" w:cs="Times New Roman"/>
          <w:szCs w:val="24"/>
          <w:lang w:val="en-GB"/>
        </w:rPr>
      </w:pPr>
      <w:r w:rsidRPr="00CB0C03">
        <w:rPr>
          <w:rFonts w:ascii="Verdana" w:eastAsia="Times New Roman" w:hAnsi="Verdana" w:cs="Times New Roman"/>
          <w:szCs w:val="24"/>
          <w:lang w:val="en-GB"/>
        </w:rPr>
        <w:t>Target values of measurable indicators of OPII do not correspond to changes that occurred during implementation (changes in national projects, change of the CBA methodology, external impacts). This finding applies to Priority Axes 1</w:t>
      </w:r>
      <w:r w:rsidR="00E84067">
        <w:rPr>
          <w:rFonts w:ascii="Verdana" w:eastAsia="Times New Roman" w:hAnsi="Verdana" w:cs="Times New Roman"/>
          <w:szCs w:val="24"/>
          <w:lang w:val="en-GB"/>
        </w:rPr>
        <w:t xml:space="preserve"> – </w:t>
      </w:r>
      <w:r w:rsidRPr="00CB0C03">
        <w:rPr>
          <w:rFonts w:ascii="Verdana" w:eastAsia="Times New Roman" w:hAnsi="Verdana" w:cs="Times New Roman"/>
          <w:szCs w:val="24"/>
          <w:lang w:val="en-GB"/>
        </w:rPr>
        <w:t>6, in particular the indicators: time savings, emission savings and the number of passengers transported;</w:t>
      </w:r>
    </w:p>
    <w:p w14:paraId="2A90A85A" w14:textId="77777777" w:rsidR="00FB7270" w:rsidRPr="00CB0C03" w:rsidRDefault="00FB7270" w:rsidP="00FB7270">
      <w:pPr>
        <w:numPr>
          <w:ilvl w:val="0"/>
          <w:numId w:val="80"/>
        </w:numPr>
        <w:rPr>
          <w:rFonts w:ascii="Verdana" w:eastAsia="Times New Roman" w:hAnsi="Verdana" w:cs="Times New Roman"/>
          <w:szCs w:val="24"/>
          <w:lang w:val="en-GB"/>
        </w:rPr>
      </w:pPr>
      <w:r w:rsidRPr="00CB0C03">
        <w:rPr>
          <w:rFonts w:ascii="Verdana" w:eastAsia="Times New Roman" w:hAnsi="Verdana" w:cs="Times New Roman"/>
          <w:szCs w:val="24"/>
          <w:lang w:val="en-GB"/>
        </w:rPr>
        <w:t xml:space="preserve">Indicators in planned and implemented Priority Axis 7 projects do not reflect the indicators set at OPII level; </w:t>
      </w:r>
    </w:p>
    <w:p w14:paraId="0A975C11" w14:textId="77777777" w:rsidR="00FB7270" w:rsidRPr="00CB0C03" w:rsidRDefault="00FB7270" w:rsidP="00FB7270">
      <w:pPr>
        <w:numPr>
          <w:ilvl w:val="0"/>
          <w:numId w:val="80"/>
        </w:numPr>
        <w:rPr>
          <w:rFonts w:ascii="Verdana" w:eastAsia="Times New Roman" w:hAnsi="Verdana" w:cs="Times New Roman"/>
          <w:szCs w:val="24"/>
          <w:lang w:val="en-GB"/>
        </w:rPr>
      </w:pPr>
      <w:r w:rsidRPr="00CB0C03">
        <w:rPr>
          <w:rFonts w:ascii="Verdana" w:eastAsia="Times New Roman" w:hAnsi="Verdana" w:cs="Times New Roman"/>
          <w:szCs w:val="24"/>
          <w:lang w:val="en-GB"/>
        </w:rPr>
        <w:t xml:space="preserve">Preparation of projects for EU funding is not sufficient in Priority Axes 4, 5 and 7. Priority Axis 4 has the following serious deficiencies: unsettled property and legal relations in the Bratislava Public Port, a lengthy public procurement process for feasibility studies, and the resulting delays in project implementation. Priority Axis 5 suffers from a lengthy preparation of projects and insufficient awareness of the Managing Authority about the state of project preparation. Priority axis 7 has the most serious problems with public procurement due to errors in the process of preparing and publishing public procurement; </w:t>
      </w:r>
    </w:p>
    <w:p w14:paraId="6BB3A3B5" w14:textId="77777777" w:rsidR="00FB7270" w:rsidRPr="00CB0C03" w:rsidRDefault="00FB7270" w:rsidP="00FB7270">
      <w:pPr>
        <w:numPr>
          <w:ilvl w:val="0"/>
          <w:numId w:val="80"/>
        </w:numPr>
        <w:rPr>
          <w:rFonts w:ascii="Verdana" w:eastAsia="Times New Roman" w:hAnsi="Verdana" w:cs="Times New Roman"/>
          <w:szCs w:val="24"/>
          <w:lang w:val="en-GB"/>
        </w:rPr>
      </w:pPr>
      <w:r w:rsidRPr="00CB0C03">
        <w:rPr>
          <w:rFonts w:ascii="Verdana" w:eastAsia="Times New Roman" w:hAnsi="Verdana" w:cs="Times New Roman"/>
          <w:szCs w:val="24"/>
          <w:lang w:val="en-GB"/>
        </w:rPr>
        <w:t>Non-compliance with procedures (eg missed deadlines for the submission of monitoring reports, or failure to submit follow-up monitoring reports) set out in the management documentation by beneficiaries and, in some cases, non-compliance with procedures (eg no check of the monitoring report) in the internal management documentation by the Intermediation Authority.</w:t>
      </w:r>
    </w:p>
    <w:p w14:paraId="659C450C" w14:textId="77777777" w:rsidR="00FB7270" w:rsidRPr="00CB0C03" w:rsidRDefault="00FB7270" w:rsidP="00FB7270">
      <w:pPr>
        <w:rPr>
          <w:rFonts w:ascii="Verdana" w:eastAsia="Verdana" w:hAnsi="Verdana" w:cs="Times New Roman"/>
          <w:lang w:val="en-GB"/>
        </w:rPr>
      </w:pPr>
      <w:r w:rsidRPr="00CB0C03">
        <w:rPr>
          <w:rFonts w:ascii="Verdana" w:eastAsia="Verdana" w:hAnsi="Verdana" w:cs="Times New Roman"/>
          <w:lang w:val="en-GB"/>
        </w:rPr>
        <w:t>To eliminate the risks associated with implementation, the evaluator recommends the following measures:</w:t>
      </w:r>
    </w:p>
    <w:p w14:paraId="3711C596" w14:textId="77777777" w:rsidR="00FB7270" w:rsidRPr="00C27F6C" w:rsidRDefault="00FB7270" w:rsidP="00C27F6C">
      <w:pPr>
        <w:pStyle w:val="ListParagraph"/>
        <w:numPr>
          <w:ilvl w:val="0"/>
          <w:numId w:val="97"/>
        </w:numPr>
        <w:rPr>
          <w:lang w:val="en-GB"/>
        </w:rPr>
      </w:pPr>
      <w:r w:rsidRPr="00C27F6C">
        <w:rPr>
          <w:lang w:val="en-GB"/>
        </w:rPr>
        <w:t xml:space="preserve">Develop an action plan for Priority Axes 4, 5 and 7 in risk to move the implementation of key projects towards OPII objectives. If the objectives set out in the action plan are not met, it will be necessary to reallocate unabsorbed funds to other priority axes that have a higher absorption capacity. </w:t>
      </w:r>
    </w:p>
    <w:p w14:paraId="3FD5D85E" w14:textId="77777777" w:rsidR="00FB7270" w:rsidRPr="00CB0C03" w:rsidRDefault="00FB7270" w:rsidP="00C27F6C">
      <w:pPr>
        <w:numPr>
          <w:ilvl w:val="0"/>
          <w:numId w:val="97"/>
        </w:numPr>
        <w:rPr>
          <w:rFonts w:ascii="Verdana" w:eastAsia="Times New Roman" w:hAnsi="Verdana" w:cs="Times New Roman"/>
          <w:szCs w:val="24"/>
          <w:lang w:val="en-GB"/>
        </w:rPr>
      </w:pPr>
      <w:r w:rsidRPr="00CB0C03">
        <w:rPr>
          <w:rFonts w:ascii="Verdana" w:eastAsia="Times New Roman" w:hAnsi="Verdana" w:cs="Times New Roman"/>
          <w:szCs w:val="24"/>
          <w:lang w:val="en-GB"/>
        </w:rPr>
        <w:t>Carry out an impact assessment to show the impact of implemented projects on the indicators reported at OPII level based on statistics. This evaluation should clearly show the interdependence of projects and the operational programme. The impact of external factors on these indicators will also need to be considered in the evaluation.</w:t>
      </w:r>
    </w:p>
    <w:p w14:paraId="09DA75EE" w14:textId="77777777" w:rsidR="00FB7270" w:rsidRPr="00CB0C03" w:rsidRDefault="00FB7270" w:rsidP="00C27F6C">
      <w:pPr>
        <w:numPr>
          <w:ilvl w:val="0"/>
          <w:numId w:val="97"/>
        </w:numPr>
        <w:rPr>
          <w:rFonts w:ascii="Verdana" w:eastAsia="Times New Roman" w:hAnsi="Verdana" w:cs="Times New Roman"/>
          <w:szCs w:val="24"/>
          <w:lang w:val="en-GB"/>
        </w:rPr>
      </w:pPr>
      <w:r w:rsidRPr="00CB0C03">
        <w:rPr>
          <w:rFonts w:ascii="Verdana" w:eastAsia="Times New Roman" w:hAnsi="Verdana" w:cs="Times New Roman"/>
          <w:szCs w:val="24"/>
          <w:lang w:val="en-GB"/>
        </w:rPr>
        <w:t>Revise target values of indicators “time savings” and “emissions savings” of Priority Axes 1 to 6 and set new target values ​​that will reflect projects implemented in individual priority axes and the rules set out in new methodological documents (eg the CBA manual).</w:t>
      </w:r>
    </w:p>
    <w:p w14:paraId="1CEACE88" w14:textId="77777777" w:rsidR="00FB7270" w:rsidRPr="00CB0C03" w:rsidRDefault="00FB7270" w:rsidP="00C27F6C">
      <w:pPr>
        <w:numPr>
          <w:ilvl w:val="0"/>
          <w:numId w:val="97"/>
        </w:numPr>
        <w:rPr>
          <w:rFonts w:ascii="Verdana" w:eastAsia="Times New Roman" w:hAnsi="Verdana" w:cs="Times New Roman"/>
          <w:szCs w:val="24"/>
          <w:lang w:val="en-GB"/>
        </w:rPr>
      </w:pPr>
      <w:r w:rsidRPr="00CB0C03">
        <w:rPr>
          <w:rFonts w:ascii="Verdana" w:eastAsia="Times New Roman" w:hAnsi="Verdana" w:cs="Times New Roman"/>
          <w:szCs w:val="24"/>
          <w:lang w:val="en-GB"/>
        </w:rPr>
        <w:t xml:space="preserve">Develop a new methodology for indicators set for Priority Axis 7, in which project indicators will clearly reflect individual project activities and contribute to the development of indicators at programme level. Regarding methodology, we also recommend developing a matrix for links and definition of indicators at project and programme level. </w:t>
      </w:r>
      <w:r w:rsidRPr="00CB0C03">
        <w:rPr>
          <w:rFonts w:ascii="Verdana" w:eastAsia="Times New Roman" w:hAnsi="Verdana" w:cs="Times New Roman"/>
          <w:szCs w:val="18"/>
          <w:lang w:val="en-GB"/>
        </w:rPr>
        <w:t>Moreover, we recommend adjusting the management documentation of Priority Axis 7, which will impose the beneficiary’s obligation to enter indicators in the non-refundable financial contribution application.</w:t>
      </w:r>
    </w:p>
    <w:p w14:paraId="7701EB2E" w14:textId="77777777" w:rsidR="00FB7270" w:rsidRPr="00CB0C03" w:rsidRDefault="00FB7270" w:rsidP="00C27F6C">
      <w:pPr>
        <w:numPr>
          <w:ilvl w:val="0"/>
          <w:numId w:val="97"/>
        </w:numPr>
        <w:rPr>
          <w:rFonts w:ascii="Verdana" w:eastAsia="Times New Roman" w:hAnsi="Verdana" w:cs="Times New Roman"/>
          <w:szCs w:val="24"/>
          <w:lang w:val="en-GB"/>
        </w:rPr>
      </w:pPr>
      <w:r w:rsidRPr="00CB0C03">
        <w:rPr>
          <w:rFonts w:ascii="Verdana" w:eastAsia="Times New Roman" w:hAnsi="Verdana" w:cs="Times New Roman"/>
          <w:szCs w:val="24"/>
          <w:lang w:val="en-GB"/>
        </w:rPr>
        <w:t>Improve the Managing Authority’s awareness of the state of preparedness of railway infrastructure projects can be achieved by developing a database of planned projects that will be continuously updated based on information from applicants. Based on this database, it will be possible to analyse project preparedness.</w:t>
      </w:r>
    </w:p>
    <w:p w14:paraId="1FA83142" w14:textId="77777777" w:rsidR="00FB7270" w:rsidRPr="00CB0C03" w:rsidRDefault="00FB7270" w:rsidP="00C27F6C">
      <w:pPr>
        <w:numPr>
          <w:ilvl w:val="0"/>
          <w:numId w:val="97"/>
        </w:numPr>
        <w:rPr>
          <w:rFonts w:ascii="Verdana" w:eastAsia="Times New Roman" w:hAnsi="Verdana" w:cs="Times New Roman"/>
          <w:szCs w:val="24"/>
          <w:lang w:val="en-GB"/>
        </w:rPr>
      </w:pPr>
      <w:r w:rsidRPr="00CB0C03">
        <w:rPr>
          <w:rFonts w:ascii="Verdana" w:eastAsia="Times New Roman" w:hAnsi="Verdana" w:cs="Times New Roman"/>
          <w:szCs w:val="24"/>
          <w:lang w:val="en-GB"/>
        </w:rPr>
        <w:lastRenderedPageBreak/>
        <w:t xml:space="preserve">Intensify the preparation and implementation of feasibility studies and project documentation projects under Priority Axis 4, which are a prerequisite for the implementation of investment projects. The implementation and funding of the follow-up activities are conditional on discussing the results of the study with Jaspers and obtaining a positive opinion from the EC. </w:t>
      </w:r>
    </w:p>
    <w:p w14:paraId="12767A09" w14:textId="77777777" w:rsidR="00FB7270" w:rsidRPr="00CB0C03" w:rsidRDefault="00FB7270" w:rsidP="00C27F6C">
      <w:pPr>
        <w:numPr>
          <w:ilvl w:val="0"/>
          <w:numId w:val="97"/>
        </w:numPr>
        <w:rPr>
          <w:rFonts w:ascii="Verdana" w:eastAsia="Times New Roman" w:hAnsi="Verdana" w:cs="Times New Roman"/>
          <w:szCs w:val="24"/>
          <w:lang w:val="en-GB"/>
        </w:rPr>
      </w:pPr>
      <w:r w:rsidRPr="00CB0C03">
        <w:rPr>
          <w:rFonts w:ascii="Verdana" w:eastAsia="Times New Roman" w:hAnsi="Verdana" w:cs="Times New Roman"/>
          <w:szCs w:val="24"/>
          <w:lang w:val="en-GB"/>
        </w:rPr>
        <w:t xml:space="preserve">The risks related to public procurement under Priority Axis 7 can be eliminated by consultations between beneficiaries and the Managing Authority staff in the preparation of tender documents so that they have complete tender conditions prior to the submission of the NFC application, which have been reviewed by the Managing Authority and the PPO. </w:t>
      </w:r>
    </w:p>
    <w:p w14:paraId="66346291" w14:textId="77777777" w:rsidR="00FB7270" w:rsidRPr="00CB0C03" w:rsidRDefault="00FB7270" w:rsidP="00C27F6C">
      <w:pPr>
        <w:numPr>
          <w:ilvl w:val="0"/>
          <w:numId w:val="97"/>
        </w:numPr>
        <w:rPr>
          <w:rFonts w:ascii="Verdana" w:eastAsia="Times New Roman" w:hAnsi="Verdana" w:cs="Times New Roman"/>
          <w:szCs w:val="24"/>
          <w:lang w:val="en-GB"/>
        </w:rPr>
      </w:pPr>
      <w:r w:rsidRPr="00CB0C03">
        <w:rPr>
          <w:lang w:val="en-GB"/>
        </w:rPr>
        <w:t>Based on the Intermediate Authority’s deficiencies identified in the management and control of Priority Axis 7, carry out a detailed review of the tasks performed by the Intermediate Authority.</w:t>
      </w:r>
      <w:r w:rsidRPr="00CB0C03">
        <w:rPr>
          <w:rFonts w:ascii="Verdana" w:eastAsia="Times New Roman" w:hAnsi="Verdana" w:cs="Times New Roman"/>
          <w:szCs w:val="18"/>
          <w:lang w:val="en-GB"/>
        </w:rPr>
        <w:t xml:space="preserve"> </w:t>
      </w:r>
    </w:p>
    <w:p w14:paraId="02B63078" w14:textId="77777777" w:rsidR="00FB7270" w:rsidRPr="00CB0C03" w:rsidRDefault="00FB7270" w:rsidP="00C27F6C">
      <w:pPr>
        <w:numPr>
          <w:ilvl w:val="0"/>
          <w:numId w:val="97"/>
        </w:numPr>
        <w:rPr>
          <w:rFonts w:ascii="Verdana" w:eastAsia="Times New Roman" w:hAnsi="Verdana" w:cs="Times New Roman"/>
          <w:szCs w:val="24"/>
          <w:lang w:val="en-GB"/>
        </w:rPr>
      </w:pPr>
      <w:r w:rsidRPr="00CB0C03">
        <w:rPr>
          <w:rFonts w:ascii="Verdana" w:eastAsia="Times New Roman" w:hAnsi="Verdana" w:cs="Times New Roman"/>
          <w:szCs w:val="24"/>
          <w:lang w:val="en-GB"/>
        </w:rPr>
        <w:t>The most substantial changes in terms of supplementing the activities, new beneficiaries, or extending the target area must be made in Priority Axis 4. It is important to add new eligible beneficiaries:</w:t>
      </w:r>
    </w:p>
    <w:p w14:paraId="226E0C44" w14:textId="77777777" w:rsidR="00FB7270" w:rsidRPr="00CB0C03" w:rsidRDefault="00FB7270" w:rsidP="00FB7270">
      <w:pPr>
        <w:numPr>
          <w:ilvl w:val="0"/>
          <w:numId w:val="80"/>
        </w:numPr>
        <w:ind w:left="1170" w:hanging="450"/>
        <w:contextualSpacing/>
        <w:rPr>
          <w:rFonts w:ascii="Verdana" w:eastAsia="Verdana" w:hAnsi="Verdana" w:cs="Times New Roman"/>
          <w:szCs w:val="18"/>
          <w:lang w:val="en-GB"/>
        </w:rPr>
      </w:pPr>
      <w:r w:rsidRPr="00CB0C03">
        <w:rPr>
          <w:rFonts w:ascii="Verdana" w:eastAsia="Verdana" w:hAnsi="Verdana" w:cs="Times New Roman"/>
          <w:szCs w:val="18"/>
          <w:lang w:val="en-GB"/>
        </w:rPr>
        <w:t>Slovenský vodohospodársky podnik, štátny podnik;</w:t>
      </w:r>
    </w:p>
    <w:p w14:paraId="72D947AC" w14:textId="77777777" w:rsidR="00FB7270" w:rsidRPr="00CB0C03" w:rsidRDefault="00FB7270" w:rsidP="00FB7270">
      <w:pPr>
        <w:numPr>
          <w:ilvl w:val="0"/>
          <w:numId w:val="80"/>
        </w:numPr>
        <w:ind w:left="1170" w:hanging="450"/>
        <w:contextualSpacing/>
        <w:rPr>
          <w:rFonts w:ascii="Verdana" w:eastAsia="Verdana" w:hAnsi="Verdana" w:cs="Times New Roman"/>
          <w:szCs w:val="18"/>
          <w:lang w:val="en-GB"/>
        </w:rPr>
      </w:pPr>
      <w:r w:rsidRPr="00CB0C03">
        <w:rPr>
          <w:rFonts w:ascii="Verdana" w:eastAsia="Verdana" w:hAnsi="Verdana" w:cs="Times New Roman"/>
          <w:szCs w:val="18"/>
          <w:lang w:val="en-GB"/>
        </w:rPr>
        <w:t>Vodohospodárska výstavba, štátny podnik;</w:t>
      </w:r>
    </w:p>
    <w:p w14:paraId="149F8075" w14:textId="77777777" w:rsidR="00FB7270" w:rsidRPr="00CB0C03" w:rsidRDefault="00FB7270" w:rsidP="00FB7270">
      <w:pPr>
        <w:numPr>
          <w:ilvl w:val="0"/>
          <w:numId w:val="80"/>
        </w:numPr>
        <w:ind w:left="1170" w:hanging="450"/>
        <w:contextualSpacing/>
        <w:rPr>
          <w:rFonts w:ascii="Verdana" w:eastAsia="Verdana" w:hAnsi="Verdana" w:cs="Times New Roman"/>
          <w:szCs w:val="18"/>
          <w:lang w:val="en-GB"/>
        </w:rPr>
      </w:pPr>
      <w:r w:rsidRPr="00CB0C03">
        <w:rPr>
          <w:rFonts w:ascii="Verdana" w:eastAsia="Verdana" w:hAnsi="Verdana" w:cs="Times New Roman"/>
          <w:szCs w:val="18"/>
          <w:lang w:val="en-GB"/>
        </w:rPr>
        <w:t>Slovak University of Technology in Bratislava;</w:t>
      </w:r>
    </w:p>
    <w:p w14:paraId="460FBC6E" w14:textId="77777777" w:rsidR="00FB7270" w:rsidRPr="00CB0C03" w:rsidRDefault="00FB7270" w:rsidP="00FB7270">
      <w:pPr>
        <w:numPr>
          <w:ilvl w:val="0"/>
          <w:numId w:val="80"/>
        </w:numPr>
        <w:ind w:left="1170" w:hanging="450"/>
        <w:contextualSpacing/>
        <w:rPr>
          <w:rFonts w:ascii="Verdana" w:eastAsia="Verdana" w:hAnsi="Verdana" w:cs="Times New Roman"/>
          <w:szCs w:val="18"/>
          <w:lang w:val="en-GB"/>
        </w:rPr>
      </w:pPr>
      <w:r w:rsidRPr="00CB0C03">
        <w:rPr>
          <w:rFonts w:ascii="Verdana" w:eastAsia="Verdana" w:hAnsi="Verdana" w:cs="Times New Roman"/>
          <w:szCs w:val="18"/>
          <w:lang w:val="en-GB"/>
        </w:rPr>
        <w:t>Transport Office; and</w:t>
      </w:r>
    </w:p>
    <w:p w14:paraId="64BC9D14" w14:textId="77777777" w:rsidR="00FB7270" w:rsidRPr="00CB0C03" w:rsidRDefault="00FB7270" w:rsidP="00FB7270">
      <w:pPr>
        <w:numPr>
          <w:ilvl w:val="0"/>
          <w:numId w:val="80"/>
        </w:numPr>
        <w:ind w:left="1170" w:hanging="450"/>
        <w:contextualSpacing/>
        <w:rPr>
          <w:rFonts w:ascii="Verdana" w:eastAsia="Times New Roman" w:hAnsi="Verdana" w:cs="Times New Roman"/>
          <w:szCs w:val="24"/>
          <w:lang w:val="en-GB"/>
        </w:rPr>
      </w:pPr>
      <w:r w:rsidRPr="00CB0C03">
        <w:rPr>
          <w:rFonts w:ascii="Verdana" w:eastAsia="Verdana" w:hAnsi="Verdana" w:cs="Times New Roman"/>
          <w:szCs w:val="18"/>
          <w:lang w:val="en-GB"/>
        </w:rPr>
        <w:t>Pro-Danubia – Združenie obcí pre miestnu dopravu po Dunaji (Association of Municipalities for Local Transport on the Danube).</w:t>
      </w:r>
    </w:p>
    <w:p w14:paraId="32E2EF4B" w14:textId="77777777" w:rsidR="00FB7270" w:rsidRPr="00CB0C03" w:rsidRDefault="00FB7270" w:rsidP="00FB7270">
      <w:pPr>
        <w:ind w:left="720"/>
        <w:rPr>
          <w:rFonts w:ascii="Verdana" w:eastAsia="Verdana" w:hAnsi="Verdana" w:cs="Times New Roman"/>
          <w:lang w:val="en-GB"/>
        </w:rPr>
      </w:pPr>
      <w:r w:rsidRPr="00CB0C03">
        <w:rPr>
          <w:rFonts w:ascii="Verdana" w:eastAsia="Verdana" w:hAnsi="Verdana" w:cs="Times New Roman"/>
          <w:lang w:val="en-GB"/>
        </w:rPr>
        <w:t xml:space="preserve">To broaden the focus of the studies, we recommend adding activities and target areas for the Komárno port, which could contribute to a more comprehensive improvement of the Danube navigability and its use for freight transport. </w:t>
      </w:r>
    </w:p>
    <w:p w14:paraId="4702E0B8" w14:textId="77777777" w:rsidR="00FB7270" w:rsidRPr="00CB0C03" w:rsidRDefault="00FB7270" w:rsidP="00FB7270">
      <w:pPr>
        <w:rPr>
          <w:rFonts w:ascii="Verdana" w:eastAsia="Verdana" w:hAnsi="Verdana" w:cs="Times New Roman"/>
          <w:lang w:val="en-GB"/>
        </w:rPr>
      </w:pPr>
      <w:r w:rsidRPr="00CB0C03">
        <w:rPr>
          <w:rFonts w:ascii="Verdana" w:eastAsia="Verdana" w:hAnsi="Verdana" w:cs="Times New Roman"/>
          <w:lang w:val="en-GB"/>
        </w:rPr>
        <w:t xml:space="preserve">An overview of key findings and recommendations resulting from the interim evaluation of OPII is shown below: </w:t>
      </w:r>
    </w:p>
    <w:tbl>
      <w:tblPr>
        <w:tblStyle w:val="Svetlzoznamzvraznenie11"/>
        <w:tblW w:w="0" w:type="auto"/>
        <w:tblLook w:val="04A0" w:firstRow="1" w:lastRow="0" w:firstColumn="1" w:lastColumn="0" w:noHBand="0" w:noVBand="1"/>
      </w:tblPr>
      <w:tblGrid>
        <w:gridCol w:w="530"/>
        <w:gridCol w:w="4139"/>
        <w:gridCol w:w="4665"/>
      </w:tblGrid>
      <w:tr w:rsidR="00FB7270" w:rsidRPr="00CB0C03" w14:paraId="671B1B9B" w14:textId="77777777" w:rsidTr="007A68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cBorders>
            <w:vAlign w:val="center"/>
          </w:tcPr>
          <w:p w14:paraId="5473CFD4" w14:textId="77777777" w:rsidR="00FB7270" w:rsidRPr="00CB0C03" w:rsidRDefault="00FB7270" w:rsidP="007A68E9">
            <w:pPr>
              <w:spacing w:before="60"/>
              <w:rPr>
                <w:sz w:val="16"/>
                <w:szCs w:val="16"/>
                <w:lang w:val="en-GB"/>
              </w:rPr>
            </w:pPr>
            <w:r w:rsidRPr="00CB0C03">
              <w:rPr>
                <w:sz w:val="16"/>
                <w:szCs w:val="16"/>
                <w:lang w:val="en-GB"/>
              </w:rPr>
              <w:t>No.</w:t>
            </w:r>
          </w:p>
        </w:tc>
        <w:tc>
          <w:tcPr>
            <w:tcW w:w="4139" w:type="dxa"/>
            <w:tcBorders>
              <w:right w:val="single" w:sz="4" w:space="0" w:color="86BC25"/>
            </w:tcBorders>
            <w:vAlign w:val="center"/>
          </w:tcPr>
          <w:p w14:paraId="79F8E1D0" w14:textId="77777777" w:rsidR="00FB7270" w:rsidRPr="00CB0C03" w:rsidRDefault="00FB7270" w:rsidP="007A68E9">
            <w:pPr>
              <w:spacing w:before="60"/>
              <w:cnfStyle w:val="100000000000" w:firstRow="1" w:lastRow="0" w:firstColumn="0" w:lastColumn="0" w:oddVBand="0" w:evenVBand="0" w:oddHBand="0"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Key Findings/Areas</w:t>
            </w:r>
          </w:p>
        </w:tc>
        <w:tc>
          <w:tcPr>
            <w:tcW w:w="4665" w:type="dxa"/>
            <w:tcBorders>
              <w:left w:val="single" w:sz="4" w:space="0" w:color="86BC25"/>
            </w:tcBorders>
            <w:vAlign w:val="center"/>
          </w:tcPr>
          <w:p w14:paraId="5BFBD4AF" w14:textId="77777777" w:rsidR="00FB7270" w:rsidRPr="00CB0C03" w:rsidRDefault="00FB7270" w:rsidP="007A68E9">
            <w:pPr>
              <w:spacing w:before="60"/>
              <w:cnfStyle w:val="100000000000" w:firstRow="1" w:lastRow="0" w:firstColumn="0" w:lastColumn="0" w:oddVBand="0" w:evenVBand="0" w:oddHBand="0"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 xml:space="preserve">Recommendations </w:t>
            </w:r>
          </w:p>
        </w:tc>
      </w:tr>
      <w:tr w:rsidR="00FB7270" w:rsidRPr="00CB0C03" w14:paraId="4F1A85B6" w14:textId="77777777" w:rsidTr="007A68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cBorders>
            <w:vAlign w:val="center"/>
          </w:tcPr>
          <w:p w14:paraId="15FF07F1" w14:textId="77777777" w:rsidR="00FB7270" w:rsidRPr="00FB7270" w:rsidRDefault="00FB7270" w:rsidP="007A68E9">
            <w:pPr>
              <w:spacing w:before="60"/>
              <w:rPr>
                <w:rFonts w:ascii="Verdana" w:hAnsi="Verdana"/>
                <w:b w:val="0"/>
                <w:sz w:val="16"/>
                <w:szCs w:val="16"/>
                <w:lang w:val="en-GB"/>
              </w:rPr>
            </w:pPr>
            <w:r w:rsidRPr="00FB7270">
              <w:rPr>
                <w:rFonts w:ascii="Verdana" w:hAnsi="Verdana"/>
                <w:b w:val="0"/>
                <w:sz w:val="16"/>
                <w:szCs w:val="16"/>
                <w:lang w:val="en-GB"/>
              </w:rPr>
              <w:t>1</w:t>
            </w:r>
          </w:p>
        </w:tc>
        <w:tc>
          <w:tcPr>
            <w:tcW w:w="4139" w:type="dxa"/>
            <w:tcBorders>
              <w:right w:val="single" w:sz="4" w:space="0" w:color="86BC25"/>
            </w:tcBorders>
            <w:vAlign w:val="center"/>
          </w:tcPr>
          <w:p w14:paraId="73E05AFA" w14:textId="77777777" w:rsidR="00FB7270" w:rsidRPr="00CB0C03" w:rsidRDefault="00FB7270" w:rsidP="007A68E9">
            <w:pPr>
              <w:spacing w:before="60"/>
              <w:cnfStyle w:val="000000100000" w:firstRow="0" w:lastRow="0" w:firstColumn="0" w:lastColumn="0" w:oddVBand="0" w:evenVBand="0" w:oddHBand="1"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Insufficient pace of contracting and absorption of PA4, PA5 and PA7</w:t>
            </w:r>
          </w:p>
        </w:tc>
        <w:tc>
          <w:tcPr>
            <w:tcW w:w="4665" w:type="dxa"/>
            <w:tcBorders>
              <w:left w:val="single" w:sz="4" w:space="0" w:color="86BC25"/>
            </w:tcBorders>
            <w:vAlign w:val="center"/>
          </w:tcPr>
          <w:p w14:paraId="010F0C08" w14:textId="77777777" w:rsidR="00FB7270" w:rsidRPr="00CB0C03" w:rsidRDefault="00FB7270" w:rsidP="00FB7270">
            <w:pPr>
              <w:numPr>
                <w:ilvl w:val="0"/>
                <w:numId w:val="90"/>
              </w:numPr>
              <w:spacing w:before="60" w:after="0" w:line="240" w:lineRule="auto"/>
              <w:ind w:left="256" w:hanging="274"/>
              <w:cnfStyle w:val="000000100000" w:firstRow="0" w:lastRow="0" w:firstColumn="0" w:lastColumn="0" w:oddVBand="0" w:evenVBand="0" w:oddHBand="1"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Develop an action plan to move the implementation of key projects towards OPII objectives.</w:t>
            </w:r>
          </w:p>
          <w:p w14:paraId="394D2EE7" w14:textId="77777777" w:rsidR="00FB7270" w:rsidRPr="00CB0C03" w:rsidRDefault="00FB7270" w:rsidP="00FB7270">
            <w:pPr>
              <w:numPr>
                <w:ilvl w:val="0"/>
                <w:numId w:val="90"/>
              </w:numPr>
              <w:spacing w:before="60" w:after="0" w:line="240" w:lineRule="auto"/>
              <w:ind w:left="256" w:hanging="274"/>
              <w:cnfStyle w:val="000000100000" w:firstRow="0" w:lastRow="0" w:firstColumn="0" w:lastColumn="0" w:oddVBand="0" w:evenVBand="0" w:oddHBand="1"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If the objectives set out in the action plan are not met, reallocate unabsorbed funds to other priority axes with higher absorption capacity.</w:t>
            </w:r>
          </w:p>
          <w:p w14:paraId="610D1CE6" w14:textId="77777777" w:rsidR="00FB7270" w:rsidRPr="00CB0C03" w:rsidRDefault="00FB7270" w:rsidP="00FB7270">
            <w:pPr>
              <w:numPr>
                <w:ilvl w:val="0"/>
                <w:numId w:val="90"/>
              </w:numPr>
              <w:spacing w:before="60" w:after="0" w:line="240" w:lineRule="auto"/>
              <w:ind w:left="256" w:hanging="274"/>
              <w:cnfStyle w:val="000000100000" w:firstRow="0" w:lastRow="0" w:firstColumn="0" w:lastColumn="0" w:oddVBand="0" w:evenVBand="0" w:oddHBand="1"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Amend the Operational Programme Integrated Infrastructure 2014-2020 to speed up contracting and absorption by adding new activities, indicators, areas and beneficiaries.</w:t>
            </w:r>
            <w:r w:rsidR="004D11D7">
              <w:rPr>
                <w:rFonts w:ascii="Verdana" w:hAnsi="Verdana"/>
                <w:sz w:val="16"/>
                <w:szCs w:val="16"/>
                <w:lang w:val="en-GB"/>
              </w:rPr>
              <w:t xml:space="preserve"> (does not apply PA7)</w:t>
            </w:r>
          </w:p>
        </w:tc>
      </w:tr>
      <w:tr w:rsidR="00FB7270" w:rsidRPr="00CB0C03" w14:paraId="50F53A1F" w14:textId="77777777" w:rsidTr="007A68E9">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cBorders>
            <w:vAlign w:val="center"/>
          </w:tcPr>
          <w:p w14:paraId="47886F02" w14:textId="77777777" w:rsidR="00FB7270" w:rsidRPr="00FB7270" w:rsidRDefault="00FB7270" w:rsidP="007A68E9">
            <w:pPr>
              <w:spacing w:before="60"/>
              <w:rPr>
                <w:b w:val="0"/>
                <w:sz w:val="16"/>
                <w:szCs w:val="16"/>
                <w:lang w:val="en-GB"/>
              </w:rPr>
            </w:pPr>
            <w:r w:rsidRPr="00FB7270">
              <w:rPr>
                <w:rFonts w:ascii="Verdana" w:hAnsi="Verdana"/>
                <w:b w:val="0"/>
                <w:sz w:val="16"/>
                <w:szCs w:val="16"/>
                <w:lang w:val="en-GB"/>
              </w:rPr>
              <w:t>2</w:t>
            </w:r>
          </w:p>
        </w:tc>
        <w:tc>
          <w:tcPr>
            <w:tcW w:w="4139" w:type="dxa"/>
            <w:tcBorders>
              <w:right w:val="single" w:sz="4" w:space="0" w:color="86BC25"/>
            </w:tcBorders>
            <w:vAlign w:val="center"/>
          </w:tcPr>
          <w:p w14:paraId="58177C09" w14:textId="77777777" w:rsidR="00FB7270" w:rsidRPr="00CB0C03" w:rsidRDefault="00FB7270" w:rsidP="007A68E9">
            <w:pPr>
              <w:spacing w:before="60"/>
              <w:cnfStyle w:val="000000000000" w:firstRow="0" w:lastRow="0" w:firstColumn="0" w:lastColumn="0" w:oddVBand="0" w:evenVBand="0" w:oddHBand="0" w:evenHBand="0" w:firstRowFirstColumn="0" w:firstRowLastColumn="0" w:lastRowFirstColumn="0" w:lastRowLastColumn="0"/>
              <w:rPr>
                <w:sz w:val="16"/>
                <w:szCs w:val="16"/>
                <w:lang w:val="en-GB"/>
              </w:rPr>
            </w:pPr>
            <w:r w:rsidRPr="00CB0C03">
              <w:rPr>
                <w:rFonts w:ascii="Verdana" w:hAnsi="Verdana"/>
                <w:sz w:val="16"/>
                <w:szCs w:val="16"/>
                <w:lang w:val="en-GB"/>
              </w:rPr>
              <w:t>Insufficient interconnection between OPII indicators evaluated on the basis of statistical data and project indicators</w:t>
            </w:r>
          </w:p>
        </w:tc>
        <w:tc>
          <w:tcPr>
            <w:tcW w:w="4665" w:type="dxa"/>
            <w:tcBorders>
              <w:left w:val="single" w:sz="4" w:space="0" w:color="86BC25"/>
            </w:tcBorders>
            <w:vAlign w:val="center"/>
          </w:tcPr>
          <w:p w14:paraId="17FE5D15" w14:textId="77777777" w:rsidR="00FB7270" w:rsidRPr="00CB0C03" w:rsidRDefault="00FB7270" w:rsidP="00FB7270">
            <w:pPr>
              <w:numPr>
                <w:ilvl w:val="0"/>
                <w:numId w:val="91"/>
              </w:numPr>
              <w:spacing w:before="60" w:after="0" w:line="240" w:lineRule="auto"/>
              <w:ind w:left="252" w:hanging="252"/>
              <w:cnfStyle w:val="000000000000" w:firstRow="0" w:lastRow="0" w:firstColumn="0" w:lastColumn="0" w:oddVBand="0" w:evenVBand="0" w:oddHBand="0"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Prepare an impact assessment of implemented OPII projects on the indicators.</w:t>
            </w:r>
          </w:p>
          <w:p w14:paraId="1445B31E" w14:textId="77777777" w:rsidR="00FB7270" w:rsidRPr="00CB0C03" w:rsidRDefault="00FB7270" w:rsidP="00FB7270">
            <w:pPr>
              <w:numPr>
                <w:ilvl w:val="0"/>
                <w:numId w:val="91"/>
              </w:numPr>
              <w:spacing w:before="60" w:after="0" w:line="240" w:lineRule="auto"/>
              <w:ind w:left="252" w:hanging="252"/>
              <w:cnfStyle w:val="000000000000" w:firstRow="0" w:lastRow="0" w:firstColumn="0" w:lastColumn="0" w:oddVBand="0" w:evenVBand="0" w:oddHBand="0"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Update the document “Overview of OPII Indicators 2014-2020 and Description of the Methodology for Setting the Values of Indicators” to ensure that the indicators at programme level are linked to project indicators.</w:t>
            </w:r>
          </w:p>
        </w:tc>
      </w:tr>
      <w:tr w:rsidR="00FB7270" w:rsidRPr="00CB0C03" w14:paraId="19C8EFC3" w14:textId="77777777" w:rsidTr="007A68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cBorders>
            <w:vAlign w:val="center"/>
          </w:tcPr>
          <w:p w14:paraId="6AC3A840" w14:textId="77777777" w:rsidR="00FB7270" w:rsidRPr="00FB7270" w:rsidRDefault="00FB7270" w:rsidP="007A68E9">
            <w:pPr>
              <w:spacing w:before="60"/>
              <w:rPr>
                <w:rFonts w:ascii="Verdana" w:hAnsi="Verdana"/>
                <w:b w:val="0"/>
                <w:sz w:val="16"/>
                <w:szCs w:val="16"/>
                <w:lang w:val="en-GB"/>
              </w:rPr>
            </w:pPr>
            <w:r w:rsidRPr="00FB7270">
              <w:rPr>
                <w:rFonts w:ascii="Verdana" w:hAnsi="Verdana"/>
                <w:b w:val="0"/>
                <w:sz w:val="16"/>
                <w:szCs w:val="16"/>
                <w:lang w:val="en-GB"/>
              </w:rPr>
              <w:t>3</w:t>
            </w:r>
          </w:p>
        </w:tc>
        <w:tc>
          <w:tcPr>
            <w:tcW w:w="4139" w:type="dxa"/>
            <w:tcBorders>
              <w:right w:val="single" w:sz="4" w:space="0" w:color="86BC25"/>
            </w:tcBorders>
            <w:vAlign w:val="center"/>
          </w:tcPr>
          <w:p w14:paraId="6F1A9C27" w14:textId="77777777" w:rsidR="00FB7270" w:rsidRPr="00CB0C03" w:rsidRDefault="00FB7270" w:rsidP="007A68E9">
            <w:pPr>
              <w:spacing w:before="60"/>
              <w:cnfStyle w:val="000000100000" w:firstRow="0" w:lastRow="0" w:firstColumn="0" w:lastColumn="0" w:oddVBand="0" w:evenVBand="0" w:oddHBand="1"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Insufficient awareness of the state of preparation of PA1 and PA5 projects</w:t>
            </w:r>
          </w:p>
        </w:tc>
        <w:tc>
          <w:tcPr>
            <w:tcW w:w="4665" w:type="dxa"/>
            <w:tcBorders>
              <w:left w:val="single" w:sz="4" w:space="0" w:color="86BC25"/>
            </w:tcBorders>
            <w:vAlign w:val="center"/>
          </w:tcPr>
          <w:p w14:paraId="6AE57C80" w14:textId="77777777" w:rsidR="00FB7270" w:rsidRPr="00CB0C03" w:rsidRDefault="00FB7270" w:rsidP="00FB7270">
            <w:pPr>
              <w:numPr>
                <w:ilvl w:val="0"/>
                <w:numId w:val="92"/>
              </w:numPr>
              <w:spacing w:before="60" w:after="0" w:line="240" w:lineRule="auto"/>
              <w:ind w:left="252" w:hanging="270"/>
              <w:cnfStyle w:val="000000100000" w:firstRow="0" w:lastRow="0" w:firstColumn="0" w:lastColumn="0" w:oddVBand="0" w:evenVBand="0" w:oddHBand="1"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Develop a database of projects to be regularly updated by the beneficiaries and inform the MA OPII about the work progress.</w:t>
            </w:r>
          </w:p>
          <w:p w14:paraId="00E62FEB" w14:textId="77777777" w:rsidR="00FB7270" w:rsidRPr="00FB7270" w:rsidRDefault="00FB7270" w:rsidP="007A68E9">
            <w:pPr>
              <w:numPr>
                <w:ilvl w:val="0"/>
                <w:numId w:val="92"/>
              </w:numPr>
              <w:spacing w:before="60" w:after="0" w:line="240" w:lineRule="auto"/>
              <w:ind w:left="252" w:hanging="270"/>
              <w:cnfStyle w:val="000000100000" w:firstRow="0" w:lastRow="0" w:firstColumn="0" w:lastColumn="0" w:oddVBand="0" w:evenVBand="0" w:oddHBand="1"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 xml:space="preserve">Analyse project preparedness in terms of their potential for successful completion in the 2014-2020 programming period.  </w:t>
            </w:r>
          </w:p>
        </w:tc>
      </w:tr>
      <w:tr w:rsidR="00FB7270" w:rsidRPr="00CB0C03" w14:paraId="3FA47C8F" w14:textId="77777777" w:rsidTr="007A68E9">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cBorders>
            <w:vAlign w:val="center"/>
          </w:tcPr>
          <w:p w14:paraId="4CA2D7D1" w14:textId="77777777" w:rsidR="00FB7270" w:rsidRPr="00FB7270" w:rsidRDefault="00FB7270" w:rsidP="007A68E9">
            <w:pPr>
              <w:spacing w:before="60"/>
              <w:rPr>
                <w:rFonts w:ascii="Verdana" w:hAnsi="Verdana"/>
                <w:b w:val="0"/>
                <w:sz w:val="16"/>
                <w:szCs w:val="16"/>
                <w:lang w:val="en-GB"/>
              </w:rPr>
            </w:pPr>
            <w:r w:rsidRPr="00FB7270">
              <w:rPr>
                <w:rFonts w:ascii="Verdana" w:hAnsi="Verdana"/>
                <w:b w:val="0"/>
                <w:sz w:val="16"/>
                <w:szCs w:val="16"/>
                <w:lang w:val="en-GB"/>
              </w:rPr>
              <w:t>4</w:t>
            </w:r>
          </w:p>
        </w:tc>
        <w:tc>
          <w:tcPr>
            <w:tcW w:w="4139" w:type="dxa"/>
            <w:tcBorders>
              <w:right w:val="single" w:sz="4" w:space="0" w:color="86BC25"/>
            </w:tcBorders>
            <w:vAlign w:val="center"/>
          </w:tcPr>
          <w:p w14:paraId="1E3E5950" w14:textId="77777777" w:rsidR="00FB7270" w:rsidRPr="00CB0C03" w:rsidRDefault="00FB7270" w:rsidP="007A68E9">
            <w:pPr>
              <w:spacing w:before="60"/>
              <w:cnfStyle w:val="000000000000" w:firstRow="0" w:lastRow="0" w:firstColumn="0" w:lastColumn="0" w:oddVBand="0" w:evenVBand="0" w:oddHBand="0"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Deficiencies in the management and control of PA7 projects by IA OPII</w:t>
            </w:r>
          </w:p>
        </w:tc>
        <w:tc>
          <w:tcPr>
            <w:tcW w:w="4665" w:type="dxa"/>
            <w:tcBorders>
              <w:left w:val="single" w:sz="4" w:space="0" w:color="86BC25"/>
            </w:tcBorders>
            <w:vAlign w:val="center"/>
          </w:tcPr>
          <w:p w14:paraId="58F50EE7" w14:textId="77777777" w:rsidR="00FB7270" w:rsidRPr="00CB0C03" w:rsidRDefault="00FB7270" w:rsidP="00FB7270">
            <w:pPr>
              <w:numPr>
                <w:ilvl w:val="0"/>
                <w:numId w:val="93"/>
              </w:numPr>
              <w:spacing w:before="60" w:after="0" w:line="240" w:lineRule="auto"/>
              <w:ind w:left="252" w:hanging="252"/>
              <w:cnfStyle w:val="000000000000" w:firstRow="0" w:lastRow="0" w:firstColumn="0" w:lastColumn="0" w:oddVBand="0" w:evenVBand="0" w:oddHBand="0"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Review the tasks performed by the Intermediate Authority</w:t>
            </w:r>
            <w:r w:rsidR="00C27F6C">
              <w:rPr>
                <w:rFonts w:ascii="Verdana" w:hAnsi="Verdana"/>
                <w:sz w:val="16"/>
                <w:szCs w:val="16"/>
                <w:lang w:val="en-GB"/>
              </w:rPr>
              <w:t xml:space="preserve">. Monitor the progress of the measures to be defined in the action plan as part of the </w:t>
            </w:r>
            <w:r w:rsidRPr="00CB0C03">
              <w:rPr>
                <w:rFonts w:ascii="Verdana" w:hAnsi="Verdana"/>
                <w:sz w:val="16"/>
                <w:szCs w:val="16"/>
                <w:lang w:val="en-GB"/>
              </w:rPr>
              <w:t>regular coordination meetings between MA and IA OPII.</w:t>
            </w:r>
          </w:p>
          <w:p w14:paraId="4C49A0A3" w14:textId="77777777" w:rsidR="00FB7270" w:rsidRPr="00CB0C03" w:rsidRDefault="00FB7270" w:rsidP="00FB7270">
            <w:pPr>
              <w:numPr>
                <w:ilvl w:val="0"/>
                <w:numId w:val="93"/>
              </w:numPr>
              <w:spacing w:before="60" w:after="0" w:line="240" w:lineRule="auto"/>
              <w:ind w:left="252" w:hanging="252"/>
              <w:cnfStyle w:val="000000000000" w:firstRow="0" w:lastRow="0" w:firstColumn="0" w:lastColumn="0" w:oddVBand="0" w:evenVBand="0" w:oddHBand="0"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Strengthen MA OPII’s expert administrative capacity in relation to the management and control of IA OPII.</w:t>
            </w:r>
          </w:p>
        </w:tc>
      </w:tr>
      <w:tr w:rsidR="00FB7270" w:rsidRPr="00CB0C03" w14:paraId="6214861A" w14:textId="77777777" w:rsidTr="007A68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cBorders>
            <w:vAlign w:val="center"/>
          </w:tcPr>
          <w:p w14:paraId="244B50A5" w14:textId="77777777" w:rsidR="00FB7270" w:rsidRPr="00FB7270" w:rsidRDefault="00FB7270" w:rsidP="007A68E9">
            <w:pPr>
              <w:spacing w:before="60"/>
              <w:rPr>
                <w:rFonts w:ascii="Verdana" w:hAnsi="Verdana"/>
                <w:b w:val="0"/>
                <w:sz w:val="16"/>
                <w:szCs w:val="16"/>
                <w:lang w:val="en-GB"/>
              </w:rPr>
            </w:pPr>
            <w:r w:rsidRPr="00FB7270">
              <w:rPr>
                <w:rFonts w:ascii="Verdana" w:hAnsi="Verdana"/>
                <w:b w:val="0"/>
                <w:sz w:val="16"/>
                <w:szCs w:val="16"/>
                <w:lang w:val="en-GB"/>
              </w:rPr>
              <w:lastRenderedPageBreak/>
              <w:t>5</w:t>
            </w:r>
          </w:p>
        </w:tc>
        <w:tc>
          <w:tcPr>
            <w:tcW w:w="4139" w:type="dxa"/>
            <w:tcBorders>
              <w:right w:val="single" w:sz="4" w:space="0" w:color="86BC25"/>
            </w:tcBorders>
            <w:vAlign w:val="center"/>
          </w:tcPr>
          <w:p w14:paraId="7861837C" w14:textId="77777777" w:rsidR="00FB7270" w:rsidRPr="00CB0C03" w:rsidRDefault="00FB7270" w:rsidP="007A68E9">
            <w:pPr>
              <w:spacing w:before="60"/>
              <w:cnfStyle w:val="000000100000" w:firstRow="0" w:lastRow="0" w:firstColumn="0" w:lastColumn="0" w:oddVBand="0" w:evenVBand="0" w:oddHBand="1"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Insufficient definition of obligations for beneficiaries and applicants in the management documentation for PA7</w:t>
            </w:r>
          </w:p>
        </w:tc>
        <w:tc>
          <w:tcPr>
            <w:tcW w:w="4665" w:type="dxa"/>
            <w:tcBorders>
              <w:left w:val="single" w:sz="4" w:space="0" w:color="86BC25"/>
            </w:tcBorders>
            <w:vAlign w:val="center"/>
          </w:tcPr>
          <w:p w14:paraId="4FFE1911" w14:textId="77777777" w:rsidR="00FB7270" w:rsidRPr="00CB0C03" w:rsidRDefault="00FB7270" w:rsidP="00C27F6C">
            <w:pPr>
              <w:numPr>
                <w:ilvl w:val="0"/>
                <w:numId w:val="94"/>
              </w:numPr>
              <w:spacing w:before="60" w:after="0" w:line="240" w:lineRule="auto"/>
              <w:ind w:left="252" w:hanging="270"/>
              <w:cnfStyle w:val="000000100000" w:firstRow="0" w:lastRow="0" w:firstColumn="0" w:lastColumn="0" w:oddVBand="0" w:evenVBand="0" w:oddHBand="1"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Update the document “Manual for Applicants in Priority Axis 7 - Information Society” as regards the entering of mandatory indicators in the NFC application.</w:t>
            </w:r>
          </w:p>
        </w:tc>
      </w:tr>
      <w:tr w:rsidR="00FB7270" w:rsidRPr="00CB0C03" w14:paraId="307F75DD" w14:textId="77777777" w:rsidTr="007A68E9">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cBorders>
            <w:vAlign w:val="center"/>
          </w:tcPr>
          <w:p w14:paraId="486986FC" w14:textId="77777777" w:rsidR="00FB7270" w:rsidRPr="00FB7270" w:rsidRDefault="00FB7270" w:rsidP="007A68E9">
            <w:pPr>
              <w:spacing w:before="60"/>
              <w:rPr>
                <w:rFonts w:ascii="Verdana" w:hAnsi="Verdana"/>
                <w:b w:val="0"/>
                <w:sz w:val="16"/>
                <w:szCs w:val="16"/>
                <w:lang w:val="en-GB"/>
              </w:rPr>
            </w:pPr>
            <w:r w:rsidRPr="00FB7270">
              <w:rPr>
                <w:rFonts w:ascii="Verdana" w:hAnsi="Verdana"/>
                <w:b w:val="0"/>
                <w:sz w:val="16"/>
                <w:szCs w:val="16"/>
                <w:lang w:val="en-GB"/>
              </w:rPr>
              <w:t>6</w:t>
            </w:r>
          </w:p>
        </w:tc>
        <w:tc>
          <w:tcPr>
            <w:tcW w:w="4139" w:type="dxa"/>
            <w:tcBorders>
              <w:right w:val="single" w:sz="4" w:space="0" w:color="86BC25"/>
            </w:tcBorders>
            <w:vAlign w:val="center"/>
          </w:tcPr>
          <w:p w14:paraId="136C4ED6" w14:textId="77777777" w:rsidR="00FB7270" w:rsidRPr="00CB0C03" w:rsidRDefault="00FB7270" w:rsidP="007A68E9">
            <w:pPr>
              <w:spacing w:before="60"/>
              <w:cnfStyle w:val="000000000000" w:firstRow="0" w:lastRow="0" w:firstColumn="0" w:lastColumn="0" w:oddVBand="0" w:evenVBand="0" w:oddHBand="0" w:evenHBand="0" w:firstRowFirstColumn="0" w:firstRowLastColumn="0" w:lastRowFirstColumn="0" w:lastRowLastColumn="0"/>
              <w:rPr>
                <w:sz w:val="16"/>
                <w:szCs w:val="16"/>
                <w:lang w:val="en-GB"/>
              </w:rPr>
            </w:pPr>
            <w:r w:rsidRPr="00CB0C03">
              <w:rPr>
                <w:rFonts w:ascii="Verdana" w:hAnsi="Verdana"/>
                <w:sz w:val="16"/>
                <w:szCs w:val="16"/>
                <w:lang w:val="en-GB"/>
              </w:rPr>
              <w:t>Increase in PA6 allocation</w:t>
            </w:r>
          </w:p>
        </w:tc>
        <w:tc>
          <w:tcPr>
            <w:tcW w:w="4665" w:type="dxa"/>
            <w:tcBorders>
              <w:left w:val="single" w:sz="4" w:space="0" w:color="86BC25"/>
            </w:tcBorders>
            <w:vAlign w:val="center"/>
          </w:tcPr>
          <w:p w14:paraId="3D1920B0" w14:textId="77777777" w:rsidR="00FB7270" w:rsidRPr="00CB0C03" w:rsidRDefault="00FB7270" w:rsidP="00FB7270">
            <w:pPr>
              <w:numPr>
                <w:ilvl w:val="0"/>
                <w:numId w:val="95"/>
              </w:numPr>
              <w:spacing w:before="60" w:after="0" w:line="240" w:lineRule="auto"/>
              <w:ind w:left="252" w:hanging="270"/>
              <w:cnfStyle w:val="000000000000" w:firstRow="0" w:lastRow="0" w:firstColumn="0" w:lastColumn="0" w:oddVBand="0" w:evenVBand="0" w:oddHBand="0"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Strengthen the administrative capacity of beneficiaries and MA OPII and transfer the funds from technical assistance from operational programs, whose performance reserve was withdrawn.</w:t>
            </w:r>
          </w:p>
          <w:p w14:paraId="0807DB94" w14:textId="77777777" w:rsidR="00FB7270" w:rsidRPr="00CB0C03" w:rsidRDefault="00FB7270" w:rsidP="00FB7270">
            <w:pPr>
              <w:numPr>
                <w:ilvl w:val="0"/>
                <w:numId w:val="95"/>
              </w:numPr>
              <w:spacing w:before="60" w:after="0" w:line="240" w:lineRule="auto"/>
              <w:ind w:left="252" w:hanging="270"/>
              <w:cnfStyle w:val="000000000000" w:firstRow="0" w:lastRow="0" w:firstColumn="0" w:lastColumn="0" w:oddVBand="0" w:evenVBand="0" w:oddHBand="0" w:evenHBand="0" w:firstRowFirstColumn="0" w:firstRowLastColumn="0" w:lastRowFirstColumn="0" w:lastRowLastColumn="0"/>
              <w:rPr>
                <w:rFonts w:ascii="Verdana" w:hAnsi="Verdana"/>
                <w:sz w:val="16"/>
                <w:szCs w:val="16"/>
                <w:lang w:val="en-GB"/>
              </w:rPr>
            </w:pPr>
            <w:r w:rsidRPr="00CB0C03">
              <w:rPr>
                <w:rFonts w:ascii="Verdana" w:hAnsi="Verdana"/>
                <w:sz w:val="16"/>
                <w:szCs w:val="16"/>
                <w:lang w:val="en-GB"/>
              </w:rPr>
              <w:t>Amend the Operational Programme Integrated Infrastructure 2014-2020 - increase the target values of the indicators following the increase in the PA6 allocation.</w:t>
            </w:r>
          </w:p>
        </w:tc>
      </w:tr>
    </w:tbl>
    <w:p w14:paraId="24D9627F" w14:textId="77777777" w:rsidR="00FB7270" w:rsidRDefault="00FB7270" w:rsidP="00FB7270">
      <w:pPr>
        <w:pStyle w:val="06Normal"/>
      </w:pPr>
    </w:p>
    <w:p w14:paraId="42A4795A" w14:textId="77777777" w:rsidR="00FB7270" w:rsidRDefault="00FB7270">
      <w:pPr>
        <w:spacing w:before="0" w:after="200" w:line="276" w:lineRule="auto"/>
        <w:jc w:val="left"/>
        <w:rPr>
          <w:sz w:val="60"/>
        </w:rPr>
      </w:pPr>
      <w:r>
        <w:br w:type="page"/>
      </w:r>
    </w:p>
    <w:p w14:paraId="3AD05C05" w14:textId="77777777" w:rsidR="006C1B91" w:rsidRPr="00DD6590" w:rsidRDefault="008C6F86" w:rsidP="00AF1CE5">
      <w:pPr>
        <w:pStyle w:val="Sectiontitle"/>
        <w:outlineLvl w:val="0"/>
      </w:pPr>
      <w:bookmarkStart w:id="7" w:name="_Toc10709700"/>
      <w:r w:rsidRPr="00DD6590">
        <w:lastRenderedPageBreak/>
        <w:t>Úvod</w:t>
      </w:r>
      <w:bookmarkEnd w:id="4"/>
      <w:bookmarkEnd w:id="7"/>
    </w:p>
    <w:p w14:paraId="6666FBFD" w14:textId="77777777" w:rsidR="00E15DEF" w:rsidRPr="00DD6590" w:rsidRDefault="00E15DEF" w:rsidP="008F3793"/>
    <w:p w14:paraId="17DE0064" w14:textId="77777777" w:rsidR="003E108C" w:rsidRPr="00DD6590" w:rsidRDefault="003E108C" w:rsidP="00255B0C">
      <w:pPr>
        <w:pStyle w:val="Heading1"/>
      </w:pPr>
      <w:bookmarkStart w:id="8" w:name="_Toc10709701"/>
      <w:r w:rsidRPr="00DD6590">
        <w:t>Predmet a cieľ hodnotenia</w:t>
      </w:r>
      <w:bookmarkEnd w:id="8"/>
    </w:p>
    <w:p w14:paraId="3AC1A9E3" w14:textId="77777777" w:rsidR="008F3793" w:rsidRPr="00DD6590" w:rsidRDefault="008F3793" w:rsidP="00361D85">
      <w:r w:rsidRPr="00DD6590">
        <w:t xml:space="preserve">Operačný program Integrovaná infraštruktúra predstavuje programový dokument Slovenskej republiky  pre čerpanie pomoci z fondov EÚ na roky 2014 – 2020 v sektore dopravy a v oblasti </w:t>
      </w:r>
      <w:r w:rsidR="00E23B3D" w:rsidRPr="00DD6590">
        <w:t xml:space="preserve">zlepšovania </w:t>
      </w:r>
      <w:r w:rsidRPr="00DD6590">
        <w:t>prístupu k</w:t>
      </w:r>
      <w:r w:rsidR="00E23B3D" w:rsidRPr="00DD6590">
        <w:t> </w:t>
      </w:r>
      <w:r w:rsidRPr="00DD6590">
        <w:t>informačným</w:t>
      </w:r>
      <w:r w:rsidR="00E23B3D" w:rsidRPr="00DD6590">
        <w:t xml:space="preserve"> a komunikačným</w:t>
      </w:r>
      <w:r w:rsidRPr="00DD6590">
        <w:t xml:space="preserve"> technológiám</w:t>
      </w:r>
      <w:r w:rsidR="00B13443">
        <w:t>,</w:t>
      </w:r>
      <w:r w:rsidRPr="00DD6590">
        <w:t xml:space="preserve"> ich využívania a kvality. </w:t>
      </w:r>
    </w:p>
    <w:p w14:paraId="329F2DBA" w14:textId="77777777" w:rsidR="008F3793" w:rsidRPr="00DD6590" w:rsidRDefault="008F3793" w:rsidP="00361D85">
      <w:r w:rsidRPr="00DD6590">
        <w:t>Globálnym cieľom OPII je podpora trvalo udržateľnej mobility, hospodárskeho rastu, tvorby pracovných miest a zlepšenie podnikateľského prostredia prostredníctvom rozvoja dopravnej infraštruktúry,  verejnej osobnej dopravy a informačnej spoločnosti.</w:t>
      </w:r>
    </w:p>
    <w:p w14:paraId="1FA9FE42" w14:textId="77777777" w:rsidR="008F3793" w:rsidRPr="00DD6590" w:rsidRDefault="003E108C" w:rsidP="00361D85">
      <w:r w:rsidRPr="00DD6590">
        <w:t>Predmetom tohto dokumentu je „</w:t>
      </w:r>
      <w:r w:rsidR="008F3793" w:rsidRPr="00DD6590">
        <w:t>Hodnotenie plnenia zámerov a očakávaných výsledkov a identifikácia možných úprav OPII</w:t>
      </w:r>
      <w:r w:rsidRPr="00DD6590">
        <w:t>“</w:t>
      </w:r>
      <w:r w:rsidR="008F3793" w:rsidRPr="00DD6590">
        <w:t xml:space="preserve"> (ďalej ako „hodnotenie“)</w:t>
      </w:r>
      <w:r w:rsidR="00661EAF" w:rsidRPr="00DD6590">
        <w:t xml:space="preserve">, ktoré </w:t>
      </w:r>
      <w:r w:rsidR="008F3793" w:rsidRPr="00DD6590">
        <w:t xml:space="preserve">je prvým hodnotením stavu implementácie OPII. Hlavnou úlohou hodnotenia je analýza absorpčného potenciálu prioritných osí OPII a preskúmanie schopnosti naplniť ciele a očakávané výsledky definované v OPII. </w:t>
      </w:r>
      <w:r w:rsidR="00B13443">
        <w:t>Hodnotenie tiež umožňuje</w:t>
      </w:r>
      <w:r w:rsidR="008F3793" w:rsidRPr="00DD6590">
        <w:t xml:space="preserve"> riadiacemu orgánu identifik</w:t>
      </w:r>
      <w:r w:rsidR="00B13443">
        <w:t>ovať</w:t>
      </w:r>
      <w:r w:rsidR="008F3793" w:rsidRPr="00DD6590">
        <w:t xml:space="preserve"> potrebn</w:t>
      </w:r>
      <w:r w:rsidR="00B13443">
        <w:t>é</w:t>
      </w:r>
      <w:r w:rsidR="008F3793" w:rsidRPr="00DD6590">
        <w:t xml:space="preserve"> zm</w:t>
      </w:r>
      <w:r w:rsidR="00B13443">
        <w:t>eny</w:t>
      </w:r>
      <w:r w:rsidR="008F3793" w:rsidRPr="00DD6590">
        <w:t xml:space="preserve"> </w:t>
      </w:r>
      <w:r w:rsidR="00B13443">
        <w:t>na</w:t>
      </w:r>
      <w:r w:rsidR="008F3793" w:rsidRPr="00DD6590">
        <w:t xml:space="preserve"> dosiahnutie úspešnej implementácie OPII. Povinnosť vykonávať hodnotenie na posúdenie účinnosti, efektívnosti a vplyvu OP vyplýva z čl. 56(3) </w:t>
      </w:r>
      <w:r w:rsidR="00E23B3D" w:rsidRPr="00DD6590">
        <w:t>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FA7C9A" w:rsidRPr="00DD6590">
        <w:t xml:space="preserve"> (ďalej ako „všeobecné nariadenie“) </w:t>
      </w:r>
      <w:r w:rsidR="008F3793" w:rsidRPr="00DD6590">
        <w:t>.</w:t>
      </w:r>
    </w:p>
    <w:p w14:paraId="578BDA9B" w14:textId="77777777" w:rsidR="00361D85" w:rsidRPr="00DD6590" w:rsidRDefault="008F3793" w:rsidP="00361D85">
      <w:r w:rsidRPr="00DD6590">
        <w:t>Hodnotenie bolo realizované v súlade s Plánom hodnotení OPII pre programové obdobie 2014 – 2020, verzia 3.0 a bolo vykonané za obdobie 1.</w:t>
      </w:r>
      <w:r w:rsidR="00B13443">
        <w:t xml:space="preserve"> </w:t>
      </w:r>
      <w:r w:rsidRPr="00DD6590">
        <w:t>1</w:t>
      </w:r>
      <w:r w:rsidR="00B13443">
        <w:t>.</w:t>
      </w:r>
      <w:r w:rsidRPr="00DD6590">
        <w:t xml:space="preserve"> 2014 až 31.</w:t>
      </w:r>
      <w:r w:rsidR="00B13443">
        <w:t xml:space="preserve"> </w:t>
      </w:r>
      <w:r w:rsidRPr="00DD6590">
        <w:t>12.</w:t>
      </w:r>
      <w:r w:rsidR="00B13443">
        <w:t xml:space="preserve"> </w:t>
      </w:r>
      <w:r w:rsidRPr="00DD6590">
        <w:t xml:space="preserve">2018. Na základe záverov hodnotenia bola vypracovaná táto Záverečná správa, ktorá je uceleným prehľadom postupov, záverov a odporúčaní vyplývajúcich z hodnotenia. </w:t>
      </w:r>
      <w:r w:rsidR="00434B3C" w:rsidRPr="00DD6590">
        <w:t xml:space="preserve">Čerpané finančné prostriedky v tomto dokumente predstavujú všetky schválené a uhradené žiadosti o platbu riadiacim orgánom. </w:t>
      </w:r>
      <w:r w:rsidR="00A76BB7" w:rsidRPr="00DD6590">
        <w:t>Matice uvedené v časti Zistenia sú vypracované na základe dotazníkov vyplnených projektovými manažérmi RO OPII, projektovými manažérmi SO OPII a prijímateľmi.</w:t>
      </w:r>
    </w:p>
    <w:p w14:paraId="2B4E41BA" w14:textId="77777777" w:rsidR="003E108C" w:rsidRPr="00DD6590" w:rsidRDefault="003E108C" w:rsidP="00255B0C">
      <w:pPr>
        <w:pStyle w:val="Heading1"/>
      </w:pPr>
      <w:bookmarkStart w:id="9" w:name="_Toc10709702"/>
      <w:r w:rsidRPr="00DD6590">
        <w:t>Štruktúra dokumentu</w:t>
      </w:r>
      <w:bookmarkEnd w:id="9"/>
      <w:r w:rsidRPr="00DD6590">
        <w:t xml:space="preserve"> </w:t>
      </w:r>
    </w:p>
    <w:p w14:paraId="743C591B" w14:textId="77777777" w:rsidR="003E108C" w:rsidRPr="00DD6590" w:rsidRDefault="003E108C" w:rsidP="003E108C">
      <w:r w:rsidRPr="00DD6590">
        <w:t>Dokument je rozdelený do šiestich častí.</w:t>
      </w:r>
    </w:p>
    <w:p w14:paraId="4A334729" w14:textId="77777777" w:rsidR="003E108C" w:rsidRPr="00DD6590" w:rsidRDefault="003E108C" w:rsidP="003E108C">
      <w:r w:rsidRPr="00DD6590">
        <w:t xml:space="preserve">Za úvodom a manažérskym zhrnutím nasleduje kapitola „Metodika“, ktorá popisuje postup hodnotenia  a základné </w:t>
      </w:r>
      <w:r w:rsidR="007373A9">
        <w:t>metódy</w:t>
      </w:r>
      <w:r w:rsidR="007373A9" w:rsidRPr="00DD6590">
        <w:t xml:space="preserve"> </w:t>
      </w:r>
      <w:r w:rsidRPr="00DD6590">
        <w:t xml:space="preserve">využité pri hodnotení. </w:t>
      </w:r>
    </w:p>
    <w:p w14:paraId="2C3DCE88" w14:textId="77777777" w:rsidR="003E108C" w:rsidRPr="00DD6590" w:rsidRDefault="00654546" w:rsidP="003E108C">
      <w:r>
        <w:t>Ď</w:t>
      </w:r>
      <w:r w:rsidR="003E108C" w:rsidRPr="00DD6590">
        <w:t>alš</w:t>
      </w:r>
      <w:r>
        <w:t>ia</w:t>
      </w:r>
      <w:r w:rsidR="003E108C" w:rsidRPr="00DD6590">
        <w:t xml:space="preserve"> kapitol</w:t>
      </w:r>
      <w:r>
        <w:t>a</w:t>
      </w:r>
      <w:r w:rsidR="003E108C" w:rsidRPr="00DD6590">
        <w:t xml:space="preserve"> </w:t>
      </w:r>
      <w:r>
        <w:t>obsahuje</w:t>
      </w:r>
      <w:r w:rsidR="003E108C" w:rsidRPr="00DD6590">
        <w:t xml:space="preserve"> rozpracovan</w:t>
      </w:r>
      <w:r>
        <w:t>ú</w:t>
      </w:r>
      <w:r w:rsidR="003E108C" w:rsidRPr="00DD6590">
        <w:t xml:space="preserve"> analýz</w:t>
      </w:r>
      <w:r>
        <w:t>u</w:t>
      </w:r>
      <w:r w:rsidR="003E108C" w:rsidRPr="00DD6590">
        <w:t xml:space="preserve"> implementovaných projektov v rámci jednotlivých prioritných osí</w:t>
      </w:r>
      <w:r>
        <w:t>,</w:t>
      </w:r>
      <w:r w:rsidR="003E108C" w:rsidRPr="00DD6590">
        <w:t xml:space="preserve"> vyhodnotenie implementácie z finančného hľadiska</w:t>
      </w:r>
      <w:r>
        <w:t>,</w:t>
      </w:r>
      <w:r w:rsidR="003E108C" w:rsidRPr="00DD6590">
        <w:t xml:space="preserve"> ako aj napĺňanie jednotlivých </w:t>
      </w:r>
      <w:r w:rsidR="007373A9" w:rsidRPr="00DD6590">
        <w:t>ukazovateľov</w:t>
      </w:r>
      <w:r w:rsidR="007373A9">
        <w:t xml:space="preserve"> stanovených v OPII</w:t>
      </w:r>
      <w:r w:rsidR="003E108C" w:rsidRPr="00DD6590">
        <w:t xml:space="preserve">. </w:t>
      </w:r>
    </w:p>
    <w:p w14:paraId="5A28FAB1" w14:textId="77777777" w:rsidR="003E108C" w:rsidRPr="00DD6590" w:rsidRDefault="003E108C" w:rsidP="003E108C">
      <w:r w:rsidRPr="00DD6590">
        <w:t xml:space="preserve">Na základe záverov analýzy bola spracovaná kapitola Zistenia, ktorá vyhodnocuje riziká implementácie prioritných osí a jednotlivých realizovaných a plánovaných projektov. </w:t>
      </w:r>
    </w:p>
    <w:p w14:paraId="7126367C" w14:textId="77777777" w:rsidR="00725CA5" w:rsidRPr="00DD6590" w:rsidRDefault="003E108C" w:rsidP="003E108C">
      <w:r w:rsidRPr="00DD6590">
        <w:t>V</w:t>
      </w:r>
      <w:r w:rsidR="00654546">
        <w:t xml:space="preserve"> poslednej</w:t>
      </w:r>
      <w:r w:rsidRPr="00DD6590">
        <w:t xml:space="preserve"> kapitole sú zhrnuté závery a odporúčania. Táto kapitola je rozdelená podľa hodnotiacich otázok, ktoré mali byť na základe zadávacích podmienok zodpovedané a sumarizujú riziká a potrebné zmeny v rámci OPII. </w:t>
      </w:r>
      <w:r w:rsidR="00376317" w:rsidRPr="00DD6590">
        <w:br w:type="page"/>
      </w:r>
    </w:p>
    <w:p w14:paraId="6205193F" w14:textId="77777777" w:rsidR="00725CA5" w:rsidRPr="00DD6590" w:rsidRDefault="00725CA5" w:rsidP="00A63338">
      <w:pPr>
        <w:pStyle w:val="Sectiontitle"/>
        <w:outlineLvl w:val="0"/>
      </w:pPr>
      <w:bookmarkStart w:id="10" w:name="_Toc1132680"/>
      <w:bookmarkStart w:id="11" w:name="_Toc10709703"/>
      <w:r w:rsidRPr="00DD6590">
        <w:lastRenderedPageBreak/>
        <w:t>Metodika</w:t>
      </w:r>
      <w:bookmarkEnd w:id="10"/>
      <w:bookmarkEnd w:id="11"/>
    </w:p>
    <w:p w14:paraId="78A67CCB" w14:textId="77777777" w:rsidR="003B3987" w:rsidRPr="00DD6590" w:rsidRDefault="003B3987" w:rsidP="003B3987">
      <w:r w:rsidRPr="00DD6590">
        <w:t xml:space="preserve">Metodika hodnotenia </w:t>
      </w:r>
      <w:r w:rsidR="00D75260" w:rsidRPr="00DD6590">
        <w:t xml:space="preserve">plnenia zámerov a očakávaných výsledkov a identifikácie možných úprav OPII </w:t>
      </w:r>
      <w:r w:rsidRPr="00DD6590">
        <w:t>bola stanovená tak</w:t>
      </w:r>
      <w:r w:rsidR="00D75260" w:rsidRPr="00DD6590">
        <w:t>,</w:t>
      </w:r>
      <w:r w:rsidRPr="00DD6590">
        <w:t xml:space="preserve"> aby reflektovala cie</w:t>
      </w:r>
      <w:r w:rsidR="00D75260" w:rsidRPr="00DD6590">
        <w:t>ľ</w:t>
      </w:r>
      <w:r w:rsidRPr="00DD6590">
        <w:t xml:space="preserve"> hodnotenia</w:t>
      </w:r>
      <w:r w:rsidR="00D75260" w:rsidRPr="00DD6590">
        <w:t xml:space="preserve">, ktorým je získanie komplexnej spätnej väzby o spôsobe využívania finančných prostriedkov z EŠIF v sektore dopravy a na podporu informačnej spoločnosti a preskúmanie absorpčnej kapacity jednotlivých prioritných osí a OPII ako celku. Zároveň bola navrhnutá tak, aby </w:t>
      </w:r>
      <w:r w:rsidRPr="00DD6590">
        <w:t>mohli byť zodpovedané hodnotiace otázky stanovené v </w:t>
      </w:r>
      <w:r w:rsidR="00D75260" w:rsidRPr="00DD6590">
        <w:t>Z</w:t>
      </w:r>
      <w:r w:rsidRPr="00DD6590">
        <w:t>adávacích podmienkach.</w:t>
      </w:r>
    </w:p>
    <w:p w14:paraId="260E8211" w14:textId="77777777" w:rsidR="003B3987" w:rsidRPr="00DD6590" w:rsidRDefault="003B3987" w:rsidP="003B3987">
      <w:r w:rsidRPr="00DD6590">
        <w:t xml:space="preserve">Návrh metodiky hodnotenia OPII bol vypracovaný v Úvodnej správe, ktorá bola schválená v súlade s kapitolou č. 8 Zadávacích podmienok pre toto hodnotenie. </w:t>
      </w:r>
    </w:p>
    <w:p w14:paraId="15A085A5" w14:textId="77777777" w:rsidR="00F53B09" w:rsidRPr="00DD6590" w:rsidRDefault="00F53B09" w:rsidP="00F53B09">
      <w:r w:rsidRPr="00DD6590">
        <w:t xml:space="preserve">Hodnotenie má charakter priebežného hodnotenia, </w:t>
      </w:r>
      <w:r w:rsidR="00D75260" w:rsidRPr="00DD6590">
        <w:t>a</w:t>
      </w:r>
      <w:r w:rsidRPr="00DD6590">
        <w:t xml:space="preserve"> zaoberá sa stavom implementácie programu k 31.</w:t>
      </w:r>
      <w:r w:rsidR="008A7C57">
        <w:t> </w:t>
      </w:r>
      <w:r w:rsidRPr="00DD6590">
        <w:t>12.</w:t>
      </w:r>
      <w:r w:rsidR="008A7C57">
        <w:t xml:space="preserve"> </w:t>
      </w:r>
      <w:r w:rsidRPr="00DD6590">
        <w:t xml:space="preserve">2018. </w:t>
      </w:r>
      <w:r w:rsidR="00D75260" w:rsidRPr="00DD6590">
        <w:t>V</w:t>
      </w:r>
      <w:r w:rsidRPr="00DD6590">
        <w:t>ychádza z definovaných cieľov</w:t>
      </w:r>
      <w:r w:rsidR="00D75260" w:rsidRPr="00DD6590">
        <w:t>, čím</w:t>
      </w:r>
      <w:r w:rsidRPr="00DD6590">
        <w:t xml:space="preserve"> predstavuje tzv. „goal-based/objective-based hodnotenie. </w:t>
      </w:r>
    </w:p>
    <w:p w14:paraId="4A33B8A6" w14:textId="77777777" w:rsidR="00AF1CE5" w:rsidRPr="00DD6590" w:rsidRDefault="008F3793" w:rsidP="008F3793">
      <w:r w:rsidRPr="00DD6590">
        <w:t>Hodnotenie bolo vykonané v súlade so </w:t>
      </w:r>
      <w:r w:rsidR="00F3249F" w:rsidRPr="00DD6590">
        <w:t>Štandardami kvality hodnotenia európskych štrukturálnych a investičných fondov v programovom období 2014 – 2020</w:t>
      </w:r>
      <w:r w:rsidR="00081C31" w:rsidRPr="00DD6590">
        <w:rPr>
          <w:rStyle w:val="FootnoteReference"/>
        </w:rPr>
        <w:footnoteReference w:id="1"/>
      </w:r>
      <w:r w:rsidR="00F3249F" w:rsidRPr="00DD6590">
        <w:t xml:space="preserve"> (CKO)</w:t>
      </w:r>
      <w:r w:rsidR="008A7C57">
        <w:t>.</w:t>
      </w:r>
      <w:r w:rsidR="00744F8E" w:rsidRPr="00DD6590">
        <w:t xml:space="preserve"> </w:t>
      </w:r>
      <w:r w:rsidR="008A7C57">
        <w:t>P</w:t>
      </w:r>
      <w:r w:rsidR="00744F8E" w:rsidRPr="00DD6590">
        <w:t>ouži</w:t>
      </w:r>
      <w:r w:rsidR="008A7C57">
        <w:t>li sa</w:t>
      </w:r>
      <w:r w:rsidR="00744F8E" w:rsidRPr="00DD6590">
        <w:t xml:space="preserve"> štandardné metódy, ktoré sa využívajú pri tomto type hodnotenia</w:t>
      </w:r>
      <w:r w:rsidR="00F3249F" w:rsidRPr="00DD6590">
        <w:t>.</w:t>
      </w:r>
      <w:r w:rsidR="00744F8E" w:rsidRPr="00DD6590">
        <w:t xml:space="preserve"> </w:t>
      </w:r>
      <w:r w:rsidR="00081C31" w:rsidRPr="00DD6590">
        <w:t>S ohľadom na zameranie hodnotenia</w:t>
      </w:r>
      <w:r w:rsidR="00744F8E" w:rsidRPr="00DD6590">
        <w:t xml:space="preserve"> boli využité neexperimentálne prístupy</w:t>
      </w:r>
      <w:r w:rsidR="00AF1CE5" w:rsidRPr="00DD6590">
        <w:t xml:space="preserve"> </w:t>
      </w:r>
      <w:r w:rsidR="008A7C57">
        <w:rPr>
          <w:i/>
        </w:rPr>
        <w:t>‒</w:t>
      </w:r>
      <w:r w:rsidR="00081C31" w:rsidRPr="00DD6590">
        <w:t xml:space="preserve"> </w:t>
      </w:r>
      <w:r w:rsidR="00AF1CE5" w:rsidRPr="00DD6590">
        <w:t>kvalitatívne</w:t>
      </w:r>
      <w:r w:rsidR="00744F8E" w:rsidRPr="00DD6590">
        <w:t xml:space="preserve"> a kvantitatívne nástroje </w:t>
      </w:r>
      <w:r w:rsidR="008A7C57">
        <w:t xml:space="preserve">na </w:t>
      </w:r>
      <w:r w:rsidR="00744F8E" w:rsidRPr="00DD6590">
        <w:t>zber dát a analýzy údajov</w:t>
      </w:r>
      <w:r w:rsidR="00E96336" w:rsidRPr="00DD6590">
        <w:t xml:space="preserve"> a pre všetky analyzované prioritné osi </w:t>
      </w:r>
      <w:r w:rsidR="008A7C57">
        <w:t>sa</w:t>
      </w:r>
      <w:r w:rsidR="00E96336" w:rsidRPr="00DD6590">
        <w:t xml:space="preserve"> použ</w:t>
      </w:r>
      <w:r w:rsidR="008A7C57">
        <w:t>il</w:t>
      </w:r>
      <w:r w:rsidR="00E96336" w:rsidRPr="00DD6590">
        <w:t xml:space="preserve"> rovnaký postup</w:t>
      </w:r>
      <w:r w:rsidR="00744F8E" w:rsidRPr="00DD6590">
        <w:t xml:space="preserve">. </w:t>
      </w:r>
      <w:r w:rsidR="00081C31" w:rsidRPr="00DD6590">
        <w:t>Zdrojom</w:t>
      </w:r>
      <w:r w:rsidR="0022322B" w:rsidRPr="00DD6590">
        <w:t xml:space="preserve"> hodnotenia boli sekundárne a primárne dáta a informácie.</w:t>
      </w:r>
    </w:p>
    <w:p w14:paraId="3D3F8A80" w14:textId="77777777" w:rsidR="0022322B" w:rsidRPr="00DD6590" w:rsidRDefault="0022322B" w:rsidP="008F3793">
      <w:r w:rsidRPr="00DD6590">
        <w:t xml:space="preserve">Dizajn hodnotenia vychádzal z programovej logiky OPII a intervenčnej logiky programu a pri hodnotení </w:t>
      </w:r>
      <w:r w:rsidR="008A7C57">
        <w:t>sa</w:t>
      </w:r>
      <w:r w:rsidRPr="00DD6590">
        <w:t xml:space="preserve"> využíva</w:t>
      </w:r>
      <w:r w:rsidR="008A7C57">
        <w:t>la</w:t>
      </w:r>
      <w:r w:rsidRPr="00DD6590">
        <w:t xml:space="preserve"> triangulácia dát a metód. Dizajn hodnotenia OPII bol nastavený v úvodnej správe hodnotenia a je znázornený v </w:t>
      </w:r>
      <w:r w:rsidR="007373A9">
        <w:t>nasledujúcej</w:t>
      </w:r>
      <w:r w:rsidR="007373A9" w:rsidRPr="00DD6590">
        <w:t xml:space="preserve"> </w:t>
      </w:r>
      <w:r w:rsidRPr="00DD6590">
        <w:t>schéme:</w:t>
      </w:r>
    </w:p>
    <w:p w14:paraId="49B1344E" w14:textId="77777777" w:rsidR="0022322B" w:rsidRPr="00DD6590" w:rsidRDefault="0022322B" w:rsidP="008F3793">
      <w:r w:rsidRPr="00DD6590">
        <w:rPr>
          <w:noProof/>
          <w:sz w:val="16"/>
          <w:szCs w:val="16"/>
          <w:lang w:eastAsia="sk-SK"/>
        </w:rPr>
        <w:drawing>
          <wp:inline distT="0" distB="0" distL="0" distR="0" wp14:anchorId="103A4EF3" wp14:editId="27F389EF">
            <wp:extent cx="5284161" cy="3657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84161" cy="3657600"/>
                    </a:xfrm>
                    <a:prstGeom prst="rect">
                      <a:avLst/>
                    </a:prstGeom>
                    <a:noFill/>
                  </pic:spPr>
                </pic:pic>
              </a:graphicData>
            </a:graphic>
          </wp:inline>
        </w:drawing>
      </w:r>
    </w:p>
    <w:p w14:paraId="2E306C14" w14:textId="77777777" w:rsidR="00744F8E" w:rsidRPr="00DD6590" w:rsidRDefault="00744F8E" w:rsidP="00255B0C">
      <w:pPr>
        <w:pStyle w:val="Heading1"/>
      </w:pPr>
      <w:bookmarkStart w:id="12" w:name="_Toc10709704"/>
      <w:r w:rsidRPr="00DD6590">
        <w:lastRenderedPageBreak/>
        <w:t>Zber sekundárnych dát</w:t>
      </w:r>
      <w:bookmarkEnd w:id="12"/>
      <w:r w:rsidRPr="00DD6590">
        <w:t xml:space="preserve"> </w:t>
      </w:r>
    </w:p>
    <w:p w14:paraId="12AF09A5" w14:textId="77777777" w:rsidR="00744F8E" w:rsidRPr="00DD6590" w:rsidRDefault="00081C31" w:rsidP="00744F8E">
      <w:pPr>
        <w:rPr>
          <w:szCs w:val="18"/>
        </w:rPr>
      </w:pPr>
      <w:r w:rsidRPr="00DD6590">
        <w:t>Sekundárne zdroje dát predstavujú dáta, za ktoré zhotoviteľ hodnotiacej správy nezodpovedá. Sú to</w:t>
      </w:r>
      <w:r w:rsidR="00744F8E" w:rsidRPr="00DD6590">
        <w:rPr>
          <w:szCs w:val="18"/>
        </w:rPr>
        <w:t xml:space="preserve"> </w:t>
      </w:r>
      <w:r w:rsidRPr="00DD6590">
        <w:rPr>
          <w:szCs w:val="18"/>
        </w:rPr>
        <w:t>dokumenty</w:t>
      </w:r>
      <w:r w:rsidR="008A7C57">
        <w:rPr>
          <w:szCs w:val="18"/>
        </w:rPr>
        <w:t>,</w:t>
      </w:r>
      <w:r w:rsidRPr="00DD6590">
        <w:rPr>
          <w:szCs w:val="18"/>
        </w:rPr>
        <w:t xml:space="preserve"> </w:t>
      </w:r>
      <w:r w:rsidR="008A7C57">
        <w:rPr>
          <w:szCs w:val="18"/>
        </w:rPr>
        <w:t>k</w:t>
      </w:r>
      <w:r w:rsidRPr="00DD6590">
        <w:rPr>
          <w:szCs w:val="18"/>
        </w:rPr>
        <w:t xml:space="preserve">toré  </w:t>
      </w:r>
      <w:r w:rsidR="00744F8E" w:rsidRPr="00DD6590">
        <w:rPr>
          <w:szCs w:val="18"/>
        </w:rPr>
        <w:t xml:space="preserve">je možné rozdeliť </w:t>
      </w:r>
      <w:r w:rsidR="008A7C57">
        <w:rPr>
          <w:szCs w:val="18"/>
        </w:rPr>
        <w:t>do</w:t>
      </w:r>
      <w:r w:rsidR="00994438" w:rsidRPr="00DD6590">
        <w:rPr>
          <w:szCs w:val="18"/>
        </w:rPr>
        <w:t xml:space="preserve"> nasledov</w:t>
      </w:r>
      <w:r w:rsidR="008A7C57">
        <w:rPr>
          <w:szCs w:val="18"/>
        </w:rPr>
        <w:t>ných skupí</w:t>
      </w:r>
      <w:r w:rsidR="00994438" w:rsidRPr="00DD6590">
        <w:rPr>
          <w:szCs w:val="18"/>
        </w:rPr>
        <w:t>n</w:t>
      </w:r>
      <w:r w:rsidR="00744F8E" w:rsidRPr="00DD6590">
        <w:rPr>
          <w:szCs w:val="18"/>
        </w:rPr>
        <w:t>:</w:t>
      </w:r>
    </w:p>
    <w:p w14:paraId="6011B244" w14:textId="77777777" w:rsidR="00744F8E" w:rsidRPr="00DD6590" w:rsidRDefault="00081C31" w:rsidP="003E761D">
      <w:pPr>
        <w:pStyle w:val="ListParagraph"/>
        <w:numPr>
          <w:ilvl w:val="0"/>
          <w:numId w:val="37"/>
        </w:numPr>
        <w:rPr>
          <w:rFonts w:asciiTheme="minorHAnsi" w:hAnsiTheme="minorHAnsi"/>
          <w:szCs w:val="18"/>
        </w:rPr>
      </w:pPr>
      <w:r w:rsidRPr="00DD6590">
        <w:rPr>
          <w:rFonts w:asciiTheme="minorHAnsi" w:hAnsiTheme="minorHAnsi"/>
          <w:szCs w:val="18"/>
        </w:rPr>
        <w:t>R</w:t>
      </w:r>
      <w:r w:rsidR="00744F8E" w:rsidRPr="00DD6590">
        <w:rPr>
          <w:rFonts w:asciiTheme="minorHAnsi" w:hAnsiTheme="minorHAnsi"/>
          <w:szCs w:val="18"/>
        </w:rPr>
        <w:t>iadiac</w:t>
      </w:r>
      <w:r w:rsidRPr="00DD6590">
        <w:rPr>
          <w:rFonts w:asciiTheme="minorHAnsi" w:hAnsiTheme="minorHAnsi"/>
          <w:szCs w:val="18"/>
        </w:rPr>
        <w:t xml:space="preserve">a dokumentácia </w:t>
      </w:r>
      <w:r w:rsidR="00744F8E" w:rsidRPr="00DD6590">
        <w:rPr>
          <w:rFonts w:asciiTheme="minorHAnsi" w:hAnsiTheme="minorHAnsi"/>
          <w:szCs w:val="18"/>
        </w:rPr>
        <w:t>OPII:</w:t>
      </w:r>
    </w:p>
    <w:p w14:paraId="21F0C4CE" w14:textId="77777777" w:rsidR="00744F8E" w:rsidRPr="00DD6590" w:rsidRDefault="00744F8E" w:rsidP="003E761D">
      <w:pPr>
        <w:pStyle w:val="ListParagraph"/>
        <w:numPr>
          <w:ilvl w:val="0"/>
          <w:numId w:val="85"/>
        </w:numPr>
        <w:rPr>
          <w:rFonts w:asciiTheme="minorHAnsi" w:hAnsiTheme="minorHAnsi"/>
          <w:szCs w:val="18"/>
        </w:rPr>
      </w:pPr>
      <w:r w:rsidRPr="00DD6590">
        <w:rPr>
          <w:rFonts w:asciiTheme="minorHAnsi" w:hAnsiTheme="minorHAnsi"/>
          <w:szCs w:val="18"/>
        </w:rPr>
        <w:t>Operačný program Integrovaná infraštruktúra 2014 – 2020</w:t>
      </w:r>
    </w:p>
    <w:p w14:paraId="2CBACE1B" w14:textId="77777777" w:rsidR="00744F8E" w:rsidRPr="00DD6590" w:rsidRDefault="00744F8E" w:rsidP="003E761D">
      <w:pPr>
        <w:pStyle w:val="ListParagraph"/>
        <w:numPr>
          <w:ilvl w:val="0"/>
          <w:numId w:val="85"/>
        </w:numPr>
        <w:rPr>
          <w:rFonts w:asciiTheme="minorHAnsi" w:hAnsiTheme="minorHAnsi"/>
          <w:szCs w:val="18"/>
        </w:rPr>
      </w:pPr>
      <w:r w:rsidRPr="00DD6590">
        <w:rPr>
          <w:rFonts w:asciiTheme="minorHAnsi" w:hAnsiTheme="minorHAnsi"/>
          <w:szCs w:val="18"/>
        </w:rPr>
        <w:t>Výročné správy o vykonávaní OPII za roky 2015, 2016 a 2017</w:t>
      </w:r>
    </w:p>
    <w:p w14:paraId="1581AF4A" w14:textId="77777777" w:rsidR="00744F8E" w:rsidRPr="00DD6590" w:rsidRDefault="00744F8E" w:rsidP="003E761D">
      <w:pPr>
        <w:pStyle w:val="ListParagraph"/>
        <w:numPr>
          <w:ilvl w:val="0"/>
          <w:numId w:val="85"/>
        </w:numPr>
        <w:rPr>
          <w:rFonts w:asciiTheme="minorHAnsi" w:hAnsiTheme="minorHAnsi"/>
          <w:szCs w:val="18"/>
        </w:rPr>
      </w:pPr>
      <w:r w:rsidRPr="00DD6590">
        <w:rPr>
          <w:rFonts w:asciiTheme="minorHAnsi" w:hAnsiTheme="minorHAnsi"/>
          <w:szCs w:val="18"/>
        </w:rPr>
        <w:t xml:space="preserve">Prehľad ukazovateľov </w:t>
      </w:r>
      <w:r w:rsidR="00081C31" w:rsidRPr="00DD6590">
        <w:rPr>
          <w:rFonts w:asciiTheme="minorHAnsi" w:hAnsiTheme="minorHAnsi"/>
          <w:szCs w:val="18"/>
        </w:rPr>
        <w:t>OP</w:t>
      </w:r>
      <w:r w:rsidRPr="00DD6590">
        <w:rPr>
          <w:rFonts w:asciiTheme="minorHAnsi" w:hAnsiTheme="minorHAnsi"/>
          <w:szCs w:val="18"/>
        </w:rPr>
        <w:t xml:space="preserve"> vrátane popisu metodiky stanovenia hodnôt ukazovateľov</w:t>
      </w:r>
    </w:p>
    <w:p w14:paraId="2B2E5651" w14:textId="77777777" w:rsidR="00744F8E" w:rsidRPr="00DD6590" w:rsidRDefault="00081C31" w:rsidP="003E761D">
      <w:pPr>
        <w:pStyle w:val="ListParagraph"/>
        <w:numPr>
          <w:ilvl w:val="0"/>
          <w:numId w:val="37"/>
        </w:numPr>
        <w:rPr>
          <w:rFonts w:asciiTheme="minorHAnsi" w:hAnsiTheme="minorHAnsi"/>
          <w:szCs w:val="18"/>
        </w:rPr>
      </w:pPr>
      <w:r w:rsidRPr="00DD6590">
        <w:rPr>
          <w:rFonts w:asciiTheme="minorHAnsi" w:hAnsiTheme="minorHAnsi"/>
          <w:szCs w:val="18"/>
        </w:rPr>
        <w:t>Podklady</w:t>
      </w:r>
      <w:r w:rsidR="00744F8E" w:rsidRPr="00DD6590">
        <w:rPr>
          <w:rFonts w:asciiTheme="minorHAnsi" w:hAnsiTheme="minorHAnsi"/>
          <w:szCs w:val="18"/>
        </w:rPr>
        <w:t xml:space="preserve"> k jednotlivým projektom </w:t>
      </w:r>
      <w:r w:rsidR="00605C16" w:rsidRPr="00DD6590">
        <w:rPr>
          <w:rFonts w:asciiTheme="minorHAnsi" w:hAnsiTheme="minorHAnsi"/>
          <w:szCs w:val="18"/>
        </w:rPr>
        <w:t>v realizácii, resp. ukončeným projektom:</w:t>
      </w:r>
    </w:p>
    <w:p w14:paraId="2BB23040" w14:textId="77777777" w:rsidR="00744F8E" w:rsidRPr="00DD6590" w:rsidRDefault="00605C16" w:rsidP="003E761D">
      <w:pPr>
        <w:pStyle w:val="ListParagraph"/>
        <w:numPr>
          <w:ilvl w:val="0"/>
          <w:numId w:val="86"/>
        </w:numPr>
        <w:rPr>
          <w:rFonts w:asciiTheme="minorHAnsi" w:hAnsiTheme="minorHAnsi"/>
          <w:szCs w:val="18"/>
        </w:rPr>
      </w:pPr>
      <w:r w:rsidRPr="00DD6590">
        <w:rPr>
          <w:rFonts w:asciiTheme="minorHAnsi" w:hAnsiTheme="minorHAnsi"/>
          <w:szCs w:val="18"/>
        </w:rPr>
        <w:t>Žiadosti o NFP jednotlivých schválených projektov</w:t>
      </w:r>
    </w:p>
    <w:p w14:paraId="6DF1E462" w14:textId="77777777" w:rsidR="00605C16" w:rsidRPr="00DD6590" w:rsidRDefault="00605C16" w:rsidP="003E761D">
      <w:pPr>
        <w:pStyle w:val="ListParagraph"/>
        <w:numPr>
          <w:ilvl w:val="0"/>
          <w:numId w:val="86"/>
        </w:numPr>
        <w:rPr>
          <w:rFonts w:asciiTheme="minorHAnsi" w:hAnsiTheme="minorHAnsi"/>
          <w:szCs w:val="18"/>
        </w:rPr>
      </w:pPr>
      <w:r w:rsidRPr="00DD6590">
        <w:rPr>
          <w:rFonts w:asciiTheme="minorHAnsi" w:hAnsiTheme="minorHAnsi"/>
          <w:szCs w:val="18"/>
        </w:rPr>
        <w:t xml:space="preserve">Zmluvy o NFP a dodatky </w:t>
      </w:r>
    </w:p>
    <w:p w14:paraId="73D37B56" w14:textId="77777777" w:rsidR="00994438" w:rsidRPr="00DD6590" w:rsidRDefault="00081C31" w:rsidP="003E761D">
      <w:pPr>
        <w:pStyle w:val="ListParagraph"/>
        <w:numPr>
          <w:ilvl w:val="0"/>
          <w:numId w:val="86"/>
        </w:numPr>
        <w:rPr>
          <w:rFonts w:asciiTheme="minorHAnsi" w:hAnsiTheme="minorHAnsi"/>
          <w:szCs w:val="18"/>
        </w:rPr>
      </w:pPr>
      <w:r w:rsidRPr="00DD6590">
        <w:rPr>
          <w:rFonts w:asciiTheme="minorHAnsi" w:hAnsiTheme="minorHAnsi"/>
          <w:szCs w:val="18"/>
        </w:rPr>
        <w:t xml:space="preserve">Dokumentácia k </w:t>
      </w:r>
      <w:r w:rsidR="00A85853">
        <w:rPr>
          <w:rFonts w:asciiTheme="minorHAnsi" w:hAnsiTheme="minorHAnsi"/>
          <w:szCs w:val="18"/>
        </w:rPr>
        <w:t>v</w:t>
      </w:r>
      <w:r w:rsidR="00A85853" w:rsidRPr="00DD6590">
        <w:rPr>
          <w:rFonts w:asciiTheme="minorHAnsi" w:hAnsiTheme="minorHAnsi"/>
          <w:szCs w:val="18"/>
        </w:rPr>
        <w:t xml:space="preserve">erejnému </w:t>
      </w:r>
      <w:r w:rsidR="00994438" w:rsidRPr="00DD6590">
        <w:rPr>
          <w:rFonts w:asciiTheme="minorHAnsi" w:hAnsiTheme="minorHAnsi"/>
          <w:szCs w:val="18"/>
        </w:rPr>
        <w:t>obstarávani</w:t>
      </w:r>
      <w:r w:rsidRPr="00DD6590">
        <w:rPr>
          <w:rFonts w:asciiTheme="minorHAnsi" w:hAnsiTheme="minorHAnsi"/>
          <w:szCs w:val="18"/>
        </w:rPr>
        <w:t>u</w:t>
      </w:r>
    </w:p>
    <w:p w14:paraId="132F7646" w14:textId="77777777" w:rsidR="00605C16" w:rsidRPr="00DD6590" w:rsidRDefault="00605C16" w:rsidP="003E761D">
      <w:pPr>
        <w:pStyle w:val="ListParagraph"/>
        <w:numPr>
          <w:ilvl w:val="0"/>
          <w:numId w:val="86"/>
        </w:numPr>
        <w:rPr>
          <w:rFonts w:asciiTheme="minorHAnsi" w:hAnsiTheme="minorHAnsi"/>
          <w:szCs w:val="18"/>
        </w:rPr>
      </w:pPr>
      <w:r w:rsidRPr="00DD6590">
        <w:rPr>
          <w:rFonts w:asciiTheme="minorHAnsi" w:hAnsiTheme="minorHAnsi"/>
          <w:szCs w:val="18"/>
        </w:rPr>
        <w:t>Výročné monitorovacie správy</w:t>
      </w:r>
    </w:p>
    <w:p w14:paraId="1ED921CA" w14:textId="77777777" w:rsidR="00605C16" w:rsidRPr="00DD6590" w:rsidRDefault="00605C16" w:rsidP="003E761D">
      <w:pPr>
        <w:pStyle w:val="ListParagraph"/>
        <w:numPr>
          <w:ilvl w:val="0"/>
          <w:numId w:val="86"/>
        </w:numPr>
        <w:rPr>
          <w:rFonts w:asciiTheme="minorHAnsi" w:hAnsiTheme="minorHAnsi"/>
          <w:szCs w:val="18"/>
        </w:rPr>
      </w:pPr>
      <w:r w:rsidRPr="00DD6590">
        <w:rPr>
          <w:rFonts w:asciiTheme="minorHAnsi" w:hAnsiTheme="minorHAnsi"/>
          <w:szCs w:val="18"/>
        </w:rPr>
        <w:t xml:space="preserve">Záverečné monitorovacie správy </w:t>
      </w:r>
    </w:p>
    <w:p w14:paraId="0AF20B5E" w14:textId="77777777" w:rsidR="00605C16" w:rsidRPr="00DD6590" w:rsidRDefault="00605C16" w:rsidP="003E761D">
      <w:pPr>
        <w:pStyle w:val="ListParagraph"/>
        <w:numPr>
          <w:ilvl w:val="0"/>
          <w:numId w:val="86"/>
        </w:numPr>
        <w:rPr>
          <w:rFonts w:asciiTheme="minorHAnsi" w:hAnsiTheme="minorHAnsi"/>
          <w:szCs w:val="18"/>
        </w:rPr>
      </w:pPr>
      <w:r w:rsidRPr="00DD6590">
        <w:rPr>
          <w:rFonts w:asciiTheme="minorHAnsi" w:hAnsiTheme="minorHAnsi"/>
          <w:szCs w:val="18"/>
        </w:rPr>
        <w:t>Následné monitorovacie správy</w:t>
      </w:r>
    </w:p>
    <w:p w14:paraId="02AAC57B" w14:textId="77777777" w:rsidR="00605C16" w:rsidRPr="00DD6590" w:rsidRDefault="00605C16" w:rsidP="003E761D">
      <w:pPr>
        <w:pStyle w:val="ListParagraph"/>
        <w:numPr>
          <w:ilvl w:val="0"/>
          <w:numId w:val="86"/>
        </w:numPr>
        <w:rPr>
          <w:rFonts w:asciiTheme="minorHAnsi" w:hAnsiTheme="minorHAnsi"/>
          <w:szCs w:val="18"/>
        </w:rPr>
      </w:pPr>
      <w:r w:rsidRPr="00DD6590">
        <w:rPr>
          <w:rFonts w:asciiTheme="minorHAnsi" w:hAnsiTheme="minorHAnsi"/>
          <w:szCs w:val="18"/>
        </w:rPr>
        <w:t xml:space="preserve">Harmonogramy realizácie projektov </w:t>
      </w:r>
    </w:p>
    <w:p w14:paraId="6C66B93A" w14:textId="77777777" w:rsidR="00605C16" w:rsidRPr="00DD6590" w:rsidRDefault="00605C16" w:rsidP="003E761D">
      <w:pPr>
        <w:pStyle w:val="ListParagraph"/>
        <w:numPr>
          <w:ilvl w:val="0"/>
          <w:numId w:val="86"/>
        </w:numPr>
        <w:rPr>
          <w:rFonts w:asciiTheme="minorHAnsi" w:hAnsiTheme="minorHAnsi"/>
          <w:szCs w:val="18"/>
        </w:rPr>
      </w:pPr>
      <w:r w:rsidRPr="00DD6590">
        <w:rPr>
          <w:rFonts w:asciiTheme="minorHAnsi" w:hAnsiTheme="minorHAnsi"/>
          <w:szCs w:val="18"/>
        </w:rPr>
        <w:t>Merateľné ukazovatele</w:t>
      </w:r>
    </w:p>
    <w:p w14:paraId="3BDCD318" w14:textId="77777777" w:rsidR="00605C16" w:rsidRPr="00DD6590" w:rsidRDefault="00605C16" w:rsidP="003E761D">
      <w:pPr>
        <w:pStyle w:val="ListParagraph"/>
        <w:numPr>
          <w:ilvl w:val="0"/>
          <w:numId w:val="86"/>
        </w:numPr>
        <w:rPr>
          <w:rFonts w:asciiTheme="minorHAnsi" w:hAnsiTheme="minorHAnsi"/>
          <w:szCs w:val="18"/>
        </w:rPr>
      </w:pPr>
      <w:r w:rsidRPr="00DD6590">
        <w:rPr>
          <w:rFonts w:asciiTheme="minorHAnsi" w:hAnsiTheme="minorHAnsi"/>
          <w:szCs w:val="18"/>
        </w:rPr>
        <w:t xml:space="preserve">Žiadosti o platbu </w:t>
      </w:r>
    </w:p>
    <w:p w14:paraId="219B1537" w14:textId="77777777" w:rsidR="00605C16" w:rsidRPr="00DD6590" w:rsidRDefault="00081C31" w:rsidP="003E761D">
      <w:pPr>
        <w:pStyle w:val="ListParagraph"/>
        <w:numPr>
          <w:ilvl w:val="0"/>
          <w:numId w:val="37"/>
        </w:numPr>
        <w:rPr>
          <w:szCs w:val="18"/>
        </w:rPr>
      </w:pPr>
      <w:r w:rsidRPr="00DD6590">
        <w:rPr>
          <w:szCs w:val="18"/>
        </w:rPr>
        <w:t>Ďalšia</w:t>
      </w:r>
      <w:r w:rsidR="00605C16" w:rsidRPr="00DD6590">
        <w:rPr>
          <w:szCs w:val="18"/>
        </w:rPr>
        <w:t xml:space="preserve"> dokumentáci</w:t>
      </w:r>
      <w:r w:rsidRPr="00DD6590">
        <w:rPr>
          <w:szCs w:val="18"/>
        </w:rPr>
        <w:t>a</w:t>
      </w:r>
      <w:r w:rsidR="00605C16" w:rsidRPr="00DD6590">
        <w:rPr>
          <w:szCs w:val="18"/>
        </w:rPr>
        <w:t>:</w:t>
      </w:r>
    </w:p>
    <w:p w14:paraId="55899C1F" w14:textId="77777777" w:rsidR="00605C16" w:rsidRPr="00DD6590" w:rsidRDefault="00605C16" w:rsidP="003E761D">
      <w:pPr>
        <w:pStyle w:val="ListParagraph"/>
        <w:numPr>
          <w:ilvl w:val="0"/>
          <w:numId w:val="87"/>
        </w:numPr>
        <w:rPr>
          <w:szCs w:val="18"/>
        </w:rPr>
      </w:pPr>
      <w:r w:rsidRPr="00DD6590">
        <w:rPr>
          <w:szCs w:val="18"/>
        </w:rPr>
        <w:t xml:space="preserve">Výročné správy žiadateľov/prijímateľov </w:t>
      </w:r>
    </w:p>
    <w:p w14:paraId="1B37337F" w14:textId="77777777" w:rsidR="00605C16" w:rsidRPr="00DD6590" w:rsidRDefault="00605C16" w:rsidP="003E761D">
      <w:pPr>
        <w:pStyle w:val="ListParagraph"/>
        <w:numPr>
          <w:ilvl w:val="0"/>
          <w:numId w:val="87"/>
        </w:numPr>
        <w:rPr>
          <w:szCs w:val="18"/>
        </w:rPr>
      </w:pPr>
      <w:r w:rsidRPr="00DD6590">
        <w:rPr>
          <w:szCs w:val="18"/>
        </w:rPr>
        <w:t xml:space="preserve">Štatistické dáta - </w:t>
      </w:r>
      <w:hyperlink r:id="rId18" w:history="1">
        <w:r w:rsidR="00F90DAF" w:rsidRPr="006404D6">
          <w:rPr>
            <w:rStyle w:val="Hyperlink"/>
            <w:szCs w:val="18"/>
          </w:rPr>
          <w:t>https://ec.europa.eu/eurostat/</w:t>
        </w:r>
      </w:hyperlink>
      <w:r w:rsidRPr="00DD6590">
        <w:rPr>
          <w:szCs w:val="18"/>
        </w:rPr>
        <w:t>,</w:t>
      </w:r>
      <w:r w:rsidR="00F90DAF">
        <w:rPr>
          <w:szCs w:val="18"/>
        </w:rPr>
        <w:t xml:space="preserve"> </w:t>
      </w:r>
      <w:hyperlink r:id="rId19" w:history="1">
        <w:r w:rsidR="00F90DAF" w:rsidRPr="006404D6">
          <w:rPr>
            <w:rStyle w:val="Hyperlink"/>
            <w:szCs w:val="18"/>
          </w:rPr>
          <w:t>www.statistics.sk</w:t>
        </w:r>
      </w:hyperlink>
      <w:r w:rsidR="00F90DAF">
        <w:rPr>
          <w:szCs w:val="18"/>
        </w:rPr>
        <w:t xml:space="preserve">  </w:t>
      </w:r>
    </w:p>
    <w:p w14:paraId="2FBF47A2" w14:textId="77777777" w:rsidR="00744F8E" w:rsidRPr="00DD6590" w:rsidRDefault="00744F8E" w:rsidP="00744F8E">
      <w:r w:rsidRPr="00DD6590">
        <w:t>V prvej fáze boli analyzované sekundárne dáta z</w:t>
      </w:r>
      <w:r w:rsidR="00081C31" w:rsidRPr="00DD6590">
        <w:t>ískané z webovej stránky RO OPII</w:t>
      </w:r>
      <w:r w:rsidRPr="00DD6590">
        <w:t> </w:t>
      </w:r>
      <w:hyperlink r:id="rId20" w:history="1">
        <w:r w:rsidRPr="00DD6590">
          <w:rPr>
            <w:rStyle w:val="Hyperlink"/>
          </w:rPr>
          <w:t>www.opii.gov.sk</w:t>
        </w:r>
      </w:hyperlink>
      <w:r w:rsidRPr="00DD6590">
        <w:t xml:space="preserve"> a ITMS2014+</w:t>
      </w:r>
      <w:r w:rsidR="00081C31" w:rsidRPr="00DD6590">
        <w:t xml:space="preserve"> a údaje a dáta poskytnuté zadávateľom</w:t>
      </w:r>
      <w:r w:rsidRPr="00DD6590">
        <w:t xml:space="preserve">. Sekundárne dáta boli spracované v rámci prílohy č. 1, ktorá slúži ako podklad pre vyhodnotenie pokroku realizácie jednotlivých projektov. Príloha je vypracovaná podľa jednotlivých prioritných osí a slúži ako komplexný prehľad implementácie projektov OPII. Sekundárne dáta boli dopĺňané </w:t>
      </w:r>
      <w:r w:rsidR="00081C31" w:rsidRPr="00DD6590">
        <w:t>primárnymi dátami získanými</w:t>
      </w:r>
      <w:r w:rsidRPr="00DD6590">
        <w:t xml:space="preserve"> z dotazníkov a z rozhovorov s projektovými manažérmi a prijímateľmi.  </w:t>
      </w:r>
    </w:p>
    <w:p w14:paraId="582BEA0A" w14:textId="77777777" w:rsidR="00744F8E" w:rsidRPr="00DD6590" w:rsidRDefault="00744F8E" w:rsidP="00255B0C">
      <w:pPr>
        <w:pStyle w:val="Heading1"/>
      </w:pPr>
      <w:bookmarkStart w:id="13" w:name="_Toc10709705"/>
      <w:r w:rsidRPr="00DD6590">
        <w:t xml:space="preserve">Terénny prieskum </w:t>
      </w:r>
      <w:r w:rsidR="0022322B" w:rsidRPr="00DD6590">
        <w:t>– primárne dáta</w:t>
      </w:r>
      <w:bookmarkEnd w:id="13"/>
    </w:p>
    <w:p w14:paraId="27BE79D2" w14:textId="77777777" w:rsidR="00744F8E" w:rsidRPr="00DD6590" w:rsidRDefault="00744F8E" w:rsidP="00744F8E">
      <w:pPr>
        <w:pStyle w:val="06Normal"/>
      </w:pPr>
      <w:r w:rsidRPr="00DD6590">
        <w:t>Dotazníkový prieskum tvoril spolu s rozhovormi základné metódy terénneho prieskumu. V rámci hodnotenia prebiehali dva typy dotazníkového prieskumu</w:t>
      </w:r>
      <w:r w:rsidR="00A85853">
        <w:t>,</w:t>
      </w:r>
      <w:r w:rsidRPr="00DD6590">
        <w:t xml:space="preserve"> a to na RO OPII</w:t>
      </w:r>
      <w:r w:rsidR="001C0133" w:rsidRPr="00DD6590">
        <w:t xml:space="preserve"> a SO OPII</w:t>
      </w:r>
      <w:r w:rsidRPr="00DD6590">
        <w:t xml:space="preserve"> – s projektovými manažérmi a s prijímateľmi. </w:t>
      </w:r>
    </w:p>
    <w:p w14:paraId="51542E40" w14:textId="77777777" w:rsidR="00744F8E" w:rsidRPr="00DD6590" w:rsidRDefault="00744F8E" w:rsidP="00744F8E">
      <w:pPr>
        <w:pStyle w:val="Heading2"/>
      </w:pPr>
      <w:bookmarkStart w:id="14" w:name="_Toc10709706"/>
      <w:r w:rsidRPr="00DD6590">
        <w:t>Dotazníkový prieskum</w:t>
      </w:r>
      <w:bookmarkEnd w:id="14"/>
      <w:r w:rsidRPr="00DD6590">
        <w:t xml:space="preserve"> </w:t>
      </w:r>
    </w:p>
    <w:p w14:paraId="257F3999" w14:textId="77777777" w:rsidR="00744F8E" w:rsidRPr="00DD6590" w:rsidRDefault="00A85853" w:rsidP="00744F8E">
      <w:r>
        <w:t>Na</w:t>
      </w:r>
      <w:r w:rsidRPr="00DD6590">
        <w:t xml:space="preserve"> </w:t>
      </w:r>
      <w:r w:rsidR="00744F8E" w:rsidRPr="00DD6590">
        <w:t xml:space="preserve">doplnenie informácií získaných zberom sekundárnych dát boli vypracované </w:t>
      </w:r>
      <w:r w:rsidRPr="00DD6590">
        <w:t xml:space="preserve">dotazníky </w:t>
      </w:r>
      <w:r w:rsidR="00744F8E" w:rsidRPr="00DD6590">
        <w:t xml:space="preserve">pre jednotlivé prioritné osi </w:t>
      </w:r>
      <w:r>
        <w:rPr>
          <w:i/>
        </w:rPr>
        <w:t>‒</w:t>
      </w:r>
      <w:r w:rsidR="001C0133" w:rsidRPr="00DD6590">
        <w:t xml:space="preserve"> </w:t>
      </w:r>
      <w:r w:rsidR="00744F8E" w:rsidRPr="00DD6590">
        <w:t>príloha č. 2, ktoré vypĺňali projektoví manažéri zodpovední za kontrolu implementácie jednotlivých projektov a tiež prijímatelia a</w:t>
      </w:r>
      <w:r>
        <w:t xml:space="preserve"> ktoré</w:t>
      </w:r>
      <w:r w:rsidR="00744F8E" w:rsidRPr="00DD6590">
        <w:t xml:space="preserve"> boli rozoslané prostredníctvom e</w:t>
      </w:r>
      <w:r w:rsidR="001C0133" w:rsidRPr="00DD6590">
        <w:t>-</w:t>
      </w:r>
      <w:r w:rsidR="00744F8E" w:rsidRPr="00DD6590">
        <w:t xml:space="preserve">mailu. </w:t>
      </w:r>
      <w:r w:rsidR="0054741F" w:rsidRPr="00DD6590">
        <w:t xml:space="preserve">V rámci dotazníkov boli </w:t>
      </w:r>
      <w:r w:rsidRPr="00DD6590">
        <w:t>osloven</w:t>
      </w:r>
      <w:r>
        <w:t>í</w:t>
      </w:r>
      <w:r w:rsidRPr="00DD6590">
        <w:t xml:space="preserve"> štandardn</w:t>
      </w:r>
      <w:r>
        <w:t>í</w:t>
      </w:r>
      <w:r w:rsidRPr="00DD6590">
        <w:t xml:space="preserve"> </w:t>
      </w:r>
      <w:r w:rsidR="0054741F" w:rsidRPr="00DD6590">
        <w:t xml:space="preserve">respondenti pre tento typ hodnotenia, aj vzhľadom na najväčšie znalosti o implementovaných a plánovaných projektoch. </w:t>
      </w:r>
      <w:r w:rsidR="00744F8E" w:rsidRPr="00DD6590">
        <w:t xml:space="preserve">Dotazníky boli vypracované </w:t>
      </w:r>
      <w:r>
        <w:t>na</w:t>
      </w:r>
      <w:r w:rsidRPr="00DD6590">
        <w:t xml:space="preserve"> </w:t>
      </w:r>
      <w:r w:rsidR="00744F8E" w:rsidRPr="00DD6590">
        <w:t>účel</w:t>
      </w:r>
      <w:r>
        <w:t>y</w:t>
      </w:r>
      <w:r w:rsidR="00744F8E" w:rsidRPr="00DD6590">
        <w:t xml:space="preserve"> získania kvalitatívnych údajov o doterajšej implementácii programu ako celku. Dotazníky boli vypracované podľa prioritných osí a zameriavali sa najmä na realizované a plánované projekty a ich výsledky. </w:t>
      </w:r>
    </w:p>
    <w:p w14:paraId="1CD16F16" w14:textId="77777777" w:rsidR="00994438" w:rsidRPr="00DD6590" w:rsidRDefault="00A85853" w:rsidP="001C0133">
      <w:r>
        <w:lastRenderedPageBreak/>
        <w:t>Možno ich</w:t>
      </w:r>
      <w:r w:rsidRPr="00DD6590">
        <w:t xml:space="preserve"> </w:t>
      </w:r>
      <w:r w:rsidR="00994438" w:rsidRPr="00DD6590">
        <w:t>rozdel</w:t>
      </w:r>
      <w:r>
        <w:t>iť</w:t>
      </w:r>
      <w:r w:rsidR="00994438" w:rsidRPr="00DD6590">
        <w:t xml:space="preserve"> na dve časti. Prvá časť bola zameraná na projekty v realizácii a druhá časť na plánované projekty danej prioritnej osi. V dotazníkoch projektov</w:t>
      </w:r>
      <w:r w:rsidR="00081C31" w:rsidRPr="00DD6590">
        <w:t>í</w:t>
      </w:r>
      <w:r w:rsidR="00994438" w:rsidRPr="00DD6590">
        <w:t xml:space="preserve"> manažéri a prijímatelia vypĺňali nasledovné údaje</w:t>
      </w:r>
      <w:r>
        <w:t xml:space="preserve"> o</w:t>
      </w:r>
      <w:r w:rsidR="00994438" w:rsidRPr="00DD6590">
        <w:t xml:space="preserve"> realizovaných projektoch:</w:t>
      </w:r>
    </w:p>
    <w:p w14:paraId="299F63EE" w14:textId="77777777" w:rsidR="00994438" w:rsidRPr="00DD6590" w:rsidRDefault="00E96336" w:rsidP="003E761D">
      <w:pPr>
        <w:pStyle w:val="ListParagraph"/>
        <w:numPr>
          <w:ilvl w:val="0"/>
          <w:numId w:val="37"/>
        </w:numPr>
      </w:pPr>
      <w:r w:rsidRPr="00DD6590">
        <w:t>v</w:t>
      </w:r>
      <w:r w:rsidR="00994438" w:rsidRPr="00DD6590">
        <w:t> akej fáze realizácie sa projekt nachádza</w:t>
      </w:r>
      <w:r w:rsidR="00081C31" w:rsidRPr="00DD6590">
        <w:t>,</w:t>
      </w:r>
      <w:r w:rsidR="00994438" w:rsidRPr="00DD6590">
        <w:t xml:space="preserve"> </w:t>
      </w:r>
    </w:p>
    <w:p w14:paraId="62C95922" w14:textId="77777777" w:rsidR="00994438" w:rsidRPr="00DD6590" w:rsidRDefault="00E96336" w:rsidP="003E761D">
      <w:pPr>
        <w:pStyle w:val="ListParagraph"/>
        <w:numPr>
          <w:ilvl w:val="0"/>
          <w:numId w:val="37"/>
        </w:numPr>
      </w:pPr>
      <w:r w:rsidRPr="00DD6590">
        <w:t>i</w:t>
      </w:r>
      <w:r w:rsidR="00994438" w:rsidRPr="00DD6590">
        <w:t>dentifikované riziká implementácie projektu</w:t>
      </w:r>
      <w:r w:rsidR="00081C31" w:rsidRPr="00DD6590">
        <w:t>,</w:t>
      </w:r>
    </w:p>
    <w:p w14:paraId="616D459E" w14:textId="77777777" w:rsidR="00994438" w:rsidRPr="00DD6590" w:rsidRDefault="00E96336" w:rsidP="003E761D">
      <w:pPr>
        <w:pStyle w:val="ListParagraph"/>
        <w:numPr>
          <w:ilvl w:val="0"/>
          <w:numId w:val="37"/>
        </w:numPr>
      </w:pPr>
      <w:r w:rsidRPr="00DD6590">
        <w:t>p</w:t>
      </w:r>
      <w:r w:rsidR="00994438" w:rsidRPr="00DD6590">
        <w:t>osun harmonogramu projektu a</w:t>
      </w:r>
      <w:r w:rsidR="00081C31" w:rsidRPr="00DD6590">
        <w:t> </w:t>
      </w:r>
      <w:r w:rsidR="00994438" w:rsidRPr="00DD6590">
        <w:t>dôvod</w:t>
      </w:r>
      <w:r w:rsidR="00081C31" w:rsidRPr="00DD6590">
        <w:t>,</w:t>
      </w:r>
    </w:p>
    <w:p w14:paraId="38149730" w14:textId="77777777" w:rsidR="00994438" w:rsidRPr="00DD6590" w:rsidRDefault="00E96336" w:rsidP="003E761D">
      <w:pPr>
        <w:pStyle w:val="ListParagraph"/>
        <w:numPr>
          <w:ilvl w:val="0"/>
          <w:numId w:val="37"/>
        </w:numPr>
      </w:pPr>
      <w:r w:rsidRPr="00DD6590">
        <w:t>p</w:t>
      </w:r>
      <w:r w:rsidR="00994438" w:rsidRPr="00DD6590">
        <w:t>redpoklad naplnenia ukazovateľov</w:t>
      </w:r>
      <w:r w:rsidR="00A85853">
        <w:t>.</w:t>
      </w:r>
    </w:p>
    <w:p w14:paraId="08F8EFA5" w14:textId="77777777" w:rsidR="00E96336" w:rsidRPr="00DD6590" w:rsidRDefault="00994438" w:rsidP="001C0133">
      <w:r w:rsidRPr="00DD6590">
        <w:t xml:space="preserve">V rámci plánovaných projektov </w:t>
      </w:r>
      <w:r w:rsidR="00A85853">
        <w:t xml:space="preserve">sa </w:t>
      </w:r>
      <w:r w:rsidR="00E96336" w:rsidRPr="00DD6590">
        <w:t>vypĺňa</w:t>
      </w:r>
      <w:r w:rsidR="00A85853">
        <w:t>li</w:t>
      </w:r>
      <w:r w:rsidR="00E96336" w:rsidRPr="00DD6590">
        <w:t xml:space="preserve"> nasledovné údaje: </w:t>
      </w:r>
    </w:p>
    <w:p w14:paraId="510E534C" w14:textId="77777777" w:rsidR="00994438" w:rsidRPr="00DD6590" w:rsidRDefault="00E96336" w:rsidP="003E761D">
      <w:pPr>
        <w:pStyle w:val="ListParagraph"/>
        <w:numPr>
          <w:ilvl w:val="0"/>
          <w:numId w:val="37"/>
        </w:numPr>
      </w:pPr>
      <w:r w:rsidRPr="00DD6590">
        <w:t>odhadovaný termín predloženia ŽoNFP na RO</w:t>
      </w:r>
      <w:r w:rsidR="00081C31" w:rsidRPr="00DD6590">
        <w:t>/SO</w:t>
      </w:r>
      <w:r w:rsidRPr="00DD6590">
        <w:t xml:space="preserve"> OPII a ukončenia implementácie projektu</w:t>
      </w:r>
      <w:r w:rsidR="00081C31" w:rsidRPr="00DD6590">
        <w:t>,</w:t>
      </w:r>
    </w:p>
    <w:p w14:paraId="2D9E79F4" w14:textId="77777777" w:rsidR="00E96336" w:rsidRPr="00DD6590" w:rsidRDefault="00E96336" w:rsidP="003E761D">
      <w:pPr>
        <w:pStyle w:val="ListParagraph"/>
        <w:numPr>
          <w:ilvl w:val="0"/>
          <w:numId w:val="37"/>
        </w:numPr>
      </w:pPr>
      <w:r w:rsidRPr="00DD6590">
        <w:t>popis stavu prípravy projektu</w:t>
      </w:r>
      <w:r w:rsidR="00081C31" w:rsidRPr="00DD6590">
        <w:t>,</w:t>
      </w:r>
    </w:p>
    <w:p w14:paraId="33B95C55" w14:textId="77777777" w:rsidR="00E96336" w:rsidRPr="00DD6590" w:rsidRDefault="00E96336" w:rsidP="003E761D">
      <w:pPr>
        <w:pStyle w:val="ListParagraph"/>
        <w:numPr>
          <w:ilvl w:val="0"/>
          <w:numId w:val="37"/>
        </w:numPr>
      </w:pPr>
      <w:r w:rsidRPr="00DD6590">
        <w:t xml:space="preserve">odhadovaná finančná hodnota </w:t>
      </w:r>
      <w:r w:rsidR="00081C31" w:rsidRPr="00DD6590">
        <w:t>príspevku</w:t>
      </w:r>
      <w:r w:rsidRPr="00DD6590">
        <w:t xml:space="preserve"> (NFP)</w:t>
      </w:r>
      <w:r w:rsidR="00081C31" w:rsidRPr="00DD6590">
        <w:t>,</w:t>
      </w:r>
    </w:p>
    <w:p w14:paraId="691808C9" w14:textId="77777777" w:rsidR="00E96336" w:rsidRPr="00DD6590" w:rsidRDefault="00E96336" w:rsidP="003E761D">
      <w:pPr>
        <w:pStyle w:val="ListParagraph"/>
        <w:numPr>
          <w:ilvl w:val="0"/>
          <w:numId w:val="37"/>
        </w:numPr>
      </w:pPr>
      <w:r w:rsidRPr="00DD6590">
        <w:t xml:space="preserve">merateľné ukazovatele, ktoré </w:t>
      </w:r>
      <w:r w:rsidR="007373A9">
        <w:t>by mali byť napĺňané projektami</w:t>
      </w:r>
      <w:r w:rsidRPr="00DD6590">
        <w:t xml:space="preserve">. </w:t>
      </w:r>
    </w:p>
    <w:p w14:paraId="5A15F40A" w14:textId="77777777" w:rsidR="00E96336" w:rsidRPr="00DD6590" w:rsidRDefault="00A85853" w:rsidP="00E96336">
      <w:r>
        <w:t>A</w:t>
      </w:r>
      <w:r w:rsidR="00E96336" w:rsidRPr="00DD6590">
        <w:t xml:space="preserve">k </w:t>
      </w:r>
      <w:r>
        <w:t xml:space="preserve">boli </w:t>
      </w:r>
      <w:r w:rsidR="00E96336" w:rsidRPr="00DD6590">
        <w:t xml:space="preserve">v rámci dotazníkov niektoré údaje nedostatočne vyplnené alebo chýbali, </w:t>
      </w:r>
      <w:r>
        <w:t xml:space="preserve">realizovali sa </w:t>
      </w:r>
      <w:r w:rsidR="00E96336" w:rsidRPr="00DD6590">
        <w:t xml:space="preserve"> v spolupráci s objednávateľom individuálne rozhovory s projektovými manažérmi, resp. prijímateľmi.</w:t>
      </w:r>
    </w:p>
    <w:p w14:paraId="1740087D" w14:textId="77777777" w:rsidR="00744F8E" w:rsidRPr="00DD6590" w:rsidRDefault="00744F8E" w:rsidP="00744F8E">
      <w:pPr>
        <w:pStyle w:val="Heading2"/>
      </w:pPr>
      <w:bookmarkStart w:id="15" w:name="_Toc10709707"/>
      <w:r w:rsidRPr="00DD6590">
        <w:t>Individuálne rozhovory</w:t>
      </w:r>
      <w:bookmarkEnd w:id="15"/>
      <w:r w:rsidRPr="00DD6590">
        <w:t xml:space="preserve"> </w:t>
      </w:r>
    </w:p>
    <w:p w14:paraId="0E92699F" w14:textId="64B8CC1A" w:rsidR="00605C16" w:rsidRPr="00DD6590" w:rsidRDefault="00605C16" w:rsidP="00744F8E">
      <w:r w:rsidRPr="00DD6590">
        <w:t xml:space="preserve">Cieľom </w:t>
      </w:r>
      <w:r w:rsidR="007373A9">
        <w:t>pološtrukúrovaných</w:t>
      </w:r>
      <w:r w:rsidRPr="00DD6590">
        <w:t xml:space="preserve"> rozhovor</w:t>
      </w:r>
      <w:r w:rsidR="00081C31" w:rsidRPr="00DD6590">
        <w:t>ov</w:t>
      </w:r>
      <w:r w:rsidRPr="00DD6590">
        <w:t xml:space="preserve"> bol</w:t>
      </w:r>
      <w:r w:rsidR="00A85853">
        <w:t>o</w:t>
      </w:r>
      <w:r w:rsidRPr="00DD6590">
        <w:t xml:space="preserve"> </w:t>
      </w:r>
      <w:r w:rsidR="00A85853">
        <w:t>zo</w:t>
      </w:r>
      <w:r w:rsidRPr="00DD6590">
        <w:t>zb</w:t>
      </w:r>
      <w:r w:rsidR="00A85853">
        <w:t>ierať</w:t>
      </w:r>
      <w:r w:rsidRPr="00DD6590">
        <w:t xml:space="preserve"> špecifick</w:t>
      </w:r>
      <w:r w:rsidR="00A85853">
        <w:t>é</w:t>
      </w:r>
      <w:r w:rsidRPr="00DD6590">
        <w:t xml:space="preserve"> informáci</w:t>
      </w:r>
      <w:r w:rsidR="00A85853">
        <w:t>e</w:t>
      </w:r>
      <w:r w:rsidRPr="00DD6590">
        <w:t xml:space="preserve"> </w:t>
      </w:r>
      <w:r w:rsidR="007373A9">
        <w:t>prostredníctvom priamych otázok</w:t>
      </w:r>
      <w:r w:rsidRPr="00DD6590">
        <w:t xml:space="preserve">. Táto technika </w:t>
      </w:r>
      <w:r w:rsidR="00A85853">
        <w:t xml:space="preserve">sa </w:t>
      </w:r>
      <w:r w:rsidRPr="00DD6590">
        <w:t>použi</w:t>
      </w:r>
      <w:r w:rsidR="00A85853">
        <w:t>la</w:t>
      </w:r>
      <w:r w:rsidRPr="00DD6590">
        <w:t xml:space="preserve"> na zhromažďovanie špecifických informácií a názorov tých, ktorí sú ovplyvnení programom alebo konkrétnym projektom. Výhodou tejto metódy je, že respondenti odpovedali na otázky, ktoré sa nedali získať v rámci zberu sekundárnych dát</w:t>
      </w:r>
      <w:r w:rsidR="00994438" w:rsidRPr="00DD6590">
        <w:t>, resp. dotazníkovým prieskumom</w:t>
      </w:r>
      <w:r w:rsidRPr="00DD6590">
        <w:t xml:space="preserve">. </w:t>
      </w:r>
    </w:p>
    <w:p w14:paraId="21EAB3CF" w14:textId="77777777" w:rsidR="00744F8E" w:rsidRPr="00DD6590" w:rsidRDefault="00744F8E" w:rsidP="00744F8E">
      <w:r w:rsidRPr="00DD6590">
        <w:t xml:space="preserve">V rámci tejto fázy boli vedené rozhovory s projektovými manažérmi a prijímateľmi </w:t>
      </w:r>
      <w:r w:rsidR="00A85853">
        <w:t>na</w:t>
      </w:r>
      <w:r w:rsidR="00A85853" w:rsidRPr="00DD6590">
        <w:t xml:space="preserve"> </w:t>
      </w:r>
      <w:r w:rsidRPr="00DD6590">
        <w:t>doplnenie informácií o projektoch implementovaných a plánovaných v</w:t>
      </w:r>
      <w:r w:rsidR="0022322B" w:rsidRPr="00DD6590">
        <w:t> </w:t>
      </w:r>
      <w:r w:rsidRPr="00DD6590">
        <w:t>OPII</w:t>
      </w:r>
      <w:r w:rsidR="0022322B" w:rsidRPr="00DD6590">
        <w:t>.</w:t>
      </w:r>
      <w:r w:rsidRPr="00DD6590">
        <w:t xml:space="preserve"> </w:t>
      </w:r>
      <w:r w:rsidR="0022322B" w:rsidRPr="00DD6590">
        <w:t>B</w:t>
      </w:r>
      <w:r w:rsidRPr="00DD6590">
        <w:t xml:space="preserve">olo vykonaných 14 stretnutí a telefonických rozhovorov. Zoznam jednotlivých účastníkov je uvedený v prílohe č. 3.  </w:t>
      </w:r>
    </w:p>
    <w:p w14:paraId="4400C4C5" w14:textId="77777777" w:rsidR="00744F8E" w:rsidRPr="00DD6590" w:rsidRDefault="00744F8E" w:rsidP="00255B0C">
      <w:pPr>
        <w:pStyle w:val="Heading1"/>
        <w:rPr>
          <w:lang w:val="en-US"/>
        </w:rPr>
      </w:pPr>
      <w:bookmarkStart w:id="16" w:name="_Toc10709708"/>
      <w:r w:rsidRPr="00DD6590">
        <w:rPr>
          <w:lang w:val="en-US"/>
        </w:rPr>
        <w:t>Desk research</w:t>
      </w:r>
      <w:bookmarkEnd w:id="16"/>
    </w:p>
    <w:p w14:paraId="6C8998B9" w14:textId="77777777" w:rsidR="007D2207" w:rsidRPr="00DD6590" w:rsidRDefault="00744F8E" w:rsidP="00744F8E">
      <w:r w:rsidRPr="00DD6590">
        <w:t>Na základe získaných údajov o fyzickej a finančnej implementácii OPII</w:t>
      </w:r>
      <w:r w:rsidR="00081C31" w:rsidRPr="00DD6590">
        <w:t xml:space="preserve"> pristúpil </w:t>
      </w:r>
      <w:r w:rsidRPr="00DD6590">
        <w:t>hodnotiteľ k</w:t>
      </w:r>
      <w:r w:rsidR="00081C31" w:rsidRPr="00DD6590">
        <w:t> </w:t>
      </w:r>
      <w:r w:rsidRPr="00DD6590">
        <w:t>posúdeniu</w:t>
      </w:r>
      <w:r w:rsidR="00081C31" w:rsidRPr="00DD6590">
        <w:t xml:space="preserve"> stavu</w:t>
      </w:r>
      <w:r w:rsidRPr="00DD6590">
        <w:t xml:space="preserve"> implementácie projektov. Detailná analýza implementácie projektov je spracovaná v nasledovnej kapitole </w:t>
      </w:r>
      <w:r w:rsidR="00EF55AD">
        <w:rPr>
          <w:i/>
        </w:rPr>
        <w:t xml:space="preserve">‒ </w:t>
      </w:r>
      <w:r w:rsidRPr="00DD6590">
        <w:t xml:space="preserve">Výsledky analýzy. </w:t>
      </w:r>
      <w:r w:rsidR="007D2207" w:rsidRPr="00DD6590">
        <w:t xml:space="preserve">Pri metóde desk research boli použité </w:t>
      </w:r>
      <w:r w:rsidR="006D749F">
        <w:t>nasledujúce</w:t>
      </w:r>
      <w:r w:rsidR="006D749F" w:rsidRPr="00DD6590">
        <w:t xml:space="preserve"> </w:t>
      </w:r>
      <w:r w:rsidR="007373A9" w:rsidRPr="00DD6590">
        <w:t>postupy</w:t>
      </w:r>
      <w:r w:rsidR="007D2207" w:rsidRPr="00DD6590">
        <w:t>:</w:t>
      </w:r>
    </w:p>
    <w:p w14:paraId="75B4E545" w14:textId="77777777" w:rsidR="007D2207" w:rsidRPr="00DD6590" w:rsidRDefault="007D2207" w:rsidP="003E761D">
      <w:pPr>
        <w:pStyle w:val="ListParagraph"/>
        <w:numPr>
          <w:ilvl w:val="0"/>
          <w:numId w:val="88"/>
        </w:numPr>
        <w:ind w:left="270" w:hanging="270"/>
      </w:pPr>
      <w:r w:rsidRPr="00DD6590">
        <w:t>Detailná analýza dát</w:t>
      </w:r>
      <w:r w:rsidR="00EF55AD">
        <w:t>/</w:t>
      </w:r>
      <w:r w:rsidRPr="00DD6590">
        <w:t xml:space="preserve">projektov  </w:t>
      </w:r>
    </w:p>
    <w:p w14:paraId="37CC6FD8" w14:textId="77777777" w:rsidR="007D2207" w:rsidRPr="00DD6590" w:rsidRDefault="007D2207" w:rsidP="007D2207">
      <w:r w:rsidRPr="00DD6590">
        <w:t>Detailná analýza dát bola použitá na analýzu všetkých získaných sekundárnych a primárnych dát</w:t>
      </w:r>
      <w:r w:rsidR="00EF55AD">
        <w:t>.</w:t>
      </w:r>
      <w:r w:rsidRPr="00DD6590">
        <w:t xml:space="preserve"> </w:t>
      </w:r>
      <w:r w:rsidR="00EF55AD">
        <w:t>Z</w:t>
      </w:r>
      <w:r w:rsidRPr="00DD6590">
        <w:t>amer</w:t>
      </w:r>
      <w:r w:rsidR="00EF55AD">
        <w:t xml:space="preserve">iavala </w:t>
      </w:r>
      <w:r w:rsidR="00AE0891">
        <w:t>sa</w:t>
      </w:r>
      <w:r w:rsidR="00AE0891" w:rsidRPr="00AE0891">
        <w:t xml:space="preserve"> </w:t>
      </w:r>
      <w:r w:rsidRPr="00AE0891">
        <w:t xml:space="preserve">na informácie o zrealizovaných, prebiehajúcich, schválených a zamietnutých projektoch, a to </w:t>
      </w:r>
      <w:r w:rsidR="00EA040D">
        <w:t>na údaje získané</w:t>
      </w:r>
      <w:r w:rsidRPr="00AE0891">
        <w:t xml:space="preserve"> zo zberu dát</w:t>
      </w:r>
      <w:r w:rsidRPr="00DD6590">
        <w:t xml:space="preserve">. Na základe analýzy bola vypracovaná </w:t>
      </w:r>
      <w:r w:rsidR="0022322B" w:rsidRPr="00DD6590">
        <w:t xml:space="preserve">podrobná </w:t>
      </w:r>
      <w:r w:rsidRPr="00DD6590">
        <w:t>databáza projektov so všetkými relevantnými dátami k jednotlivým ukazovateľom</w:t>
      </w:r>
      <w:r w:rsidR="0022322B" w:rsidRPr="00DD6590">
        <w:t>,</w:t>
      </w:r>
      <w:r w:rsidRPr="00DD6590">
        <w:t xml:space="preserve"> čerpaniu a harmonogramom realizácie. Detailná analýza projektov bola spracovávaná v spolupráci s odborníkmi v sektore dopravy a IT.</w:t>
      </w:r>
    </w:p>
    <w:p w14:paraId="38EB7AF9" w14:textId="77777777" w:rsidR="007D2207" w:rsidRPr="00DD6590" w:rsidRDefault="007D2207" w:rsidP="003E761D">
      <w:pPr>
        <w:pStyle w:val="ListParagraph"/>
        <w:numPr>
          <w:ilvl w:val="0"/>
          <w:numId w:val="88"/>
        </w:numPr>
        <w:ind w:left="360" w:hanging="360"/>
      </w:pPr>
      <w:r w:rsidRPr="00DD6590">
        <w:t>Komparatívna analýza</w:t>
      </w:r>
    </w:p>
    <w:p w14:paraId="3CD98391" w14:textId="77777777" w:rsidR="007D2207" w:rsidRPr="00DD6590" w:rsidRDefault="007D2207" w:rsidP="007D2207">
      <w:r w:rsidRPr="00DD6590">
        <w:t>Porovnávacia metóda študuje odlišnosti a podobnosti rôznych javov, rysov a</w:t>
      </w:r>
      <w:r w:rsidR="00EF55AD">
        <w:t> </w:t>
      </w:r>
      <w:r w:rsidRPr="00DD6590">
        <w:t>procesov</w:t>
      </w:r>
      <w:r w:rsidR="00EF55AD">
        <w:t>, na základe čoho</w:t>
      </w:r>
      <w:r w:rsidRPr="00DD6590">
        <w:t xml:space="preserve"> poukazuje na spoločné alebo rozdielne vplyvy, na vzájomné kontakty, na stupeň vývoja týchto javov alebo procesov a na minulé, súčasné a budúce smery ich vývoja. </w:t>
      </w:r>
    </w:p>
    <w:p w14:paraId="7F9914BC" w14:textId="77777777" w:rsidR="007D2207" w:rsidRPr="00DD6590" w:rsidRDefault="007D2207" w:rsidP="007D2207">
      <w:r w:rsidRPr="00DD6590">
        <w:t xml:space="preserve">Výsledky detailnej analýzy projektov boli použité ako podklad pre vypracovanie porovnávacej analýzy, ktorá bola zameraná na porovnanie výsledkov realizovaných projektov s plánovanými hodnotami a na zistenie zmien vo vývoji OPII. </w:t>
      </w:r>
    </w:p>
    <w:p w14:paraId="2EBD5FF1" w14:textId="77777777" w:rsidR="007D2207" w:rsidRPr="00DD6590" w:rsidRDefault="007D2207" w:rsidP="003E761D">
      <w:pPr>
        <w:pStyle w:val="ListParagraph"/>
        <w:numPr>
          <w:ilvl w:val="0"/>
          <w:numId w:val="88"/>
        </w:numPr>
        <w:ind w:left="360" w:hanging="360"/>
      </w:pPr>
      <w:r w:rsidRPr="00DD6590">
        <w:t>Metóda logického rámca</w:t>
      </w:r>
    </w:p>
    <w:p w14:paraId="32166CE7" w14:textId="77777777" w:rsidR="007D2207" w:rsidRPr="00DD6590" w:rsidRDefault="007D2207" w:rsidP="007D2207">
      <w:r w:rsidRPr="00DD6590">
        <w:lastRenderedPageBreak/>
        <w:t xml:space="preserve">Metóda logického rámca je postup, pomocou ktorého </w:t>
      </w:r>
      <w:r w:rsidR="00081C31" w:rsidRPr="00DD6590">
        <w:t>bolo</w:t>
      </w:r>
      <w:r w:rsidRPr="00DD6590">
        <w:t xml:space="preserve"> možné </w:t>
      </w:r>
      <w:r w:rsidR="00EF55AD" w:rsidRPr="00DD6590">
        <w:t xml:space="preserve">na jednej strane </w:t>
      </w:r>
      <w:r w:rsidRPr="00DD6590">
        <w:t xml:space="preserve">identifikovať a analyzovať problémy pri implementácii programu a </w:t>
      </w:r>
      <w:r w:rsidR="00EF55AD" w:rsidRPr="00DD6590">
        <w:t xml:space="preserve">na druhej strane </w:t>
      </w:r>
      <w:r w:rsidRPr="00DD6590">
        <w:t>definovať ciele a stanovovať konkrétne aktivity (opatrenia) k riešeniu týchto problémov</w:t>
      </w:r>
      <w:r w:rsidR="00EF55AD">
        <w:t>. Z toho dôvodu bola metóda</w:t>
      </w:r>
      <w:r w:rsidRPr="00DD6590">
        <w:t xml:space="preserve"> </w:t>
      </w:r>
      <w:r w:rsidR="00081C31" w:rsidRPr="00DD6590">
        <w:t>použitá ako</w:t>
      </w:r>
      <w:r w:rsidRPr="00DD6590">
        <w:t xml:space="preserve"> vhodný nástroj </w:t>
      </w:r>
      <w:r w:rsidR="00EF55AD">
        <w:t>na</w:t>
      </w:r>
      <w:r w:rsidRPr="00DD6590">
        <w:t xml:space="preserve"> hodnoteni</w:t>
      </w:r>
      <w:r w:rsidR="00816491" w:rsidRPr="00DD6590">
        <w:t>e</w:t>
      </w:r>
      <w:r w:rsidRPr="00DD6590">
        <w:t xml:space="preserve"> </w:t>
      </w:r>
      <w:r w:rsidR="00816491" w:rsidRPr="00DD6590">
        <w:t>stavu</w:t>
      </w:r>
      <w:r w:rsidRPr="00DD6590">
        <w:t xml:space="preserve"> implementáci</w:t>
      </w:r>
      <w:r w:rsidR="00816491" w:rsidRPr="00DD6590">
        <w:t>e</w:t>
      </w:r>
      <w:r w:rsidRPr="00DD6590">
        <w:t xml:space="preserve"> </w:t>
      </w:r>
      <w:r w:rsidR="00816491" w:rsidRPr="00DD6590">
        <w:t>projektov, prioritných osí a</w:t>
      </w:r>
      <w:r w:rsidR="00EF55AD">
        <w:t> </w:t>
      </w:r>
      <w:r w:rsidRPr="00DD6590">
        <w:t>programu</w:t>
      </w:r>
      <w:r w:rsidR="00EF55AD">
        <w:t>,</w:t>
      </w:r>
      <w:r w:rsidRPr="00DD6590">
        <w:t xml:space="preserve"> a</w:t>
      </w:r>
      <w:r w:rsidR="00816491" w:rsidRPr="00DD6590">
        <w:t>ko aj</w:t>
      </w:r>
      <w:r w:rsidRPr="00DD6590">
        <w:t xml:space="preserve"> hodnotenie absorpčnej kapacity na úrovni prioritných osí.</w:t>
      </w:r>
    </w:p>
    <w:p w14:paraId="215CB748" w14:textId="77777777" w:rsidR="007D2207" w:rsidRPr="00DD6590" w:rsidRDefault="007D2207" w:rsidP="003E761D">
      <w:pPr>
        <w:pStyle w:val="ListParagraph"/>
        <w:numPr>
          <w:ilvl w:val="0"/>
          <w:numId w:val="88"/>
        </w:numPr>
        <w:ind w:left="360" w:hanging="360"/>
      </w:pPr>
      <w:r w:rsidRPr="00DD6590">
        <w:t>Metóda syntézy</w:t>
      </w:r>
    </w:p>
    <w:p w14:paraId="7CF00511" w14:textId="77777777" w:rsidR="007D2207" w:rsidRPr="00DD6590" w:rsidRDefault="007D2207" w:rsidP="00744F8E">
      <w:r w:rsidRPr="00DD6590">
        <w:t xml:space="preserve">Syntéza je opačný </w:t>
      </w:r>
      <w:r w:rsidR="00EF55AD" w:rsidRPr="00DD6590">
        <w:t>proces</w:t>
      </w:r>
      <w:r w:rsidR="00EF55AD">
        <w:t xml:space="preserve"> oproti</w:t>
      </w:r>
      <w:r w:rsidR="00EF55AD" w:rsidRPr="00DD6590">
        <w:t xml:space="preserve"> </w:t>
      </w:r>
      <w:r w:rsidRPr="00DD6590">
        <w:t>analýz</w:t>
      </w:r>
      <w:r w:rsidR="00EF55AD">
        <w:t>e</w:t>
      </w:r>
      <w:r w:rsidRPr="00DD6590">
        <w:t xml:space="preserve">, prípadne ju dopĺňa. Ide o zjednocovanie, zlučovanie výsledkov, procesov do určitého celku. </w:t>
      </w:r>
      <w:r w:rsidR="00EF55AD">
        <w:t>Metóda s</w:t>
      </w:r>
      <w:r w:rsidRPr="00DD6590">
        <w:t>yntéz</w:t>
      </w:r>
      <w:r w:rsidR="00EF55AD">
        <w:t>y sa</w:t>
      </w:r>
      <w:r w:rsidRPr="00DD6590">
        <w:t xml:space="preserve"> využi</w:t>
      </w:r>
      <w:r w:rsidR="00EF55AD">
        <w:t>la</w:t>
      </w:r>
      <w:r w:rsidRPr="00DD6590">
        <w:t xml:space="preserve"> predovšetkým pri triedení a zoskupovaní čiastkových záverov, zistení a výsledkov z jednotlivých analýz a následnej formulácii návrhov a odporúčaní pre OPII. </w:t>
      </w:r>
    </w:p>
    <w:p w14:paraId="1EFF5B0F" w14:textId="77777777" w:rsidR="00744F8E" w:rsidRPr="00DD6590" w:rsidRDefault="00744F8E" w:rsidP="00744F8E">
      <w:r w:rsidRPr="00DD6590">
        <w:t>Po vyhodnotení jednotlivých projektov bola využitá komparatívna analýza na zosumarizovanie zistení pre jednotlivé prioritné osi, ktoré sú popísané v časti Zistenia. Závery a odporúčania sú spracované metódou logického rámca</w:t>
      </w:r>
      <w:r w:rsidR="007D2207" w:rsidRPr="00DD6590">
        <w:t xml:space="preserve"> a metódou syntézy</w:t>
      </w:r>
      <w:r w:rsidRPr="00DD6590">
        <w:t xml:space="preserve"> a vyhodnotené podľa hodnotiacich otázok, ktoré sú rozpracované pre všetky prioritné osi prierezovo</w:t>
      </w:r>
      <w:r w:rsidR="00EF55AD">
        <w:t>,</w:t>
      </w:r>
      <w:r w:rsidRPr="00DD6590">
        <w:t xml:space="preserve"> ako aj pre jednotlivé PO.</w:t>
      </w:r>
    </w:p>
    <w:p w14:paraId="455507EB" w14:textId="77777777" w:rsidR="008F3793" w:rsidRPr="00DD6590" w:rsidRDefault="008F3793" w:rsidP="008F3793">
      <w:r w:rsidRPr="00DD6590">
        <w:t>Priebeh hodnotenia je popísaný v nasledujúcej schéme:</w:t>
      </w:r>
    </w:p>
    <w:p w14:paraId="6A1DA86C" w14:textId="57CB8E7F" w:rsidR="00BA3CE4" w:rsidRPr="00DD6590" w:rsidRDefault="00BA3CE4" w:rsidP="00BA3CE4">
      <w:pPr>
        <w:pStyle w:val="Caption"/>
      </w:pPr>
      <w:bookmarkStart w:id="17" w:name="_Toc9855571"/>
      <w:r w:rsidRPr="00DD6590">
        <w:t xml:space="preserve">Schéma </w:t>
      </w:r>
      <w:r w:rsidRPr="00DD6590">
        <w:fldChar w:fldCharType="begin"/>
      </w:r>
      <w:r w:rsidRPr="00DD6590">
        <w:instrText xml:space="preserve"> SEQ Schéma \* ARABIC </w:instrText>
      </w:r>
      <w:r w:rsidRPr="00DD6590">
        <w:fldChar w:fldCharType="separate"/>
      </w:r>
      <w:r w:rsidR="00DC3C97">
        <w:rPr>
          <w:noProof/>
        </w:rPr>
        <w:t>1</w:t>
      </w:r>
      <w:r w:rsidRPr="00DD6590">
        <w:fldChar w:fldCharType="end"/>
      </w:r>
      <w:r w:rsidRPr="00DD6590">
        <w:t xml:space="preserve"> Priebeh hodnotenia</w:t>
      </w:r>
      <w:bookmarkEnd w:id="17"/>
    </w:p>
    <w:p w14:paraId="0ED32036" w14:textId="77777777" w:rsidR="00BA3CE4" w:rsidRPr="00DD6590" w:rsidRDefault="00357A3C" w:rsidP="00BA3CE4">
      <w:pPr>
        <w:keepNext/>
      </w:pPr>
      <w:r w:rsidRPr="00DD6590">
        <w:rPr>
          <w:noProof/>
          <w:lang w:eastAsia="sk-SK"/>
        </w:rPr>
        <w:drawing>
          <wp:inline distT="0" distB="0" distL="0" distR="0" wp14:anchorId="3A2B0769" wp14:editId="1FC818E5">
            <wp:extent cx="5783580" cy="5105400"/>
            <wp:effectExtent l="0" t="0" r="0" b="1905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54877D73" w14:textId="77777777" w:rsidR="00725CA5" w:rsidRPr="00DD6590" w:rsidRDefault="00725CA5" w:rsidP="00725CA5"/>
    <w:p w14:paraId="6CE489B4" w14:textId="77777777" w:rsidR="00725CA5" w:rsidRPr="00DD6590" w:rsidRDefault="00725CA5" w:rsidP="00A63338">
      <w:pPr>
        <w:pStyle w:val="Sectiontitle"/>
        <w:outlineLvl w:val="0"/>
      </w:pPr>
      <w:bookmarkStart w:id="18" w:name="_Toc1132681"/>
      <w:bookmarkStart w:id="19" w:name="_Toc10709709"/>
      <w:r w:rsidRPr="00DD6590">
        <w:lastRenderedPageBreak/>
        <w:t>Výsledky analýzy</w:t>
      </w:r>
      <w:bookmarkEnd w:id="18"/>
      <w:bookmarkEnd w:id="19"/>
    </w:p>
    <w:p w14:paraId="1683B1EF" w14:textId="77777777" w:rsidR="00F3249F" w:rsidRPr="00DD6590" w:rsidRDefault="00624AB9" w:rsidP="00F3249F">
      <w:pPr>
        <w:rPr>
          <w:szCs w:val="18"/>
        </w:rPr>
      </w:pPr>
      <w:r w:rsidRPr="00DD6590">
        <w:t xml:space="preserve">Predmetom hodnotenia je </w:t>
      </w:r>
      <w:r w:rsidR="00560D57" w:rsidRPr="00DD6590">
        <w:t>Operačný program I</w:t>
      </w:r>
      <w:r w:rsidR="00F3249F" w:rsidRPr="00DD6590">
        <w:t>ntegrovaná infraštruktúra 2014-2020</w:t>
      </w:r>
      <w:r w:rsidRPr="00DD6590">
        <w:t>, ktorý</w:t>
      </w:r>
      <w:r w:rsidR="00F3249F" w:rsidRPr="00DD6590">
        <w:t xml:space="preserve"> je zameraný na modernizáciu a rozvoj </w:t>
      </w:r>
      <w:r w:rsidR="00F3249F" w:rsidRPr="00DD6590">
        <w:rPr>
          <w:szCs w:val="18"/>
        </w:rPr>
        <w:t xml:space="preserve">železničnej infraštruktúry, cestnej infraštruktúry, vodnej dopravy, rozvoj verejnej osobnej dopravy a budovanie informačnej spoločnosti. </w:t>
      </w:r>
    </w:p>
    <w:p w14:paraId="554DD4E5" w14:textId="77777777" w:rsidR="00180E1E" w:rsidRPr="00DD6590" w:rsidRDefault="00491526" w:rsidP="00F3249F">
      <w:pPr>
        <w:rPr>
          <w:szCs w:val="18"/>
        </w:rPr>
      </w:pPr>
      <w:r w:rsidRPr="00DD6590">
        <w:rPr>
          <w:szCs w:val="18"/>
        </w:rPr>
        <w:t>Hodnotenie</w:t>
      </w:r>
      <w:r w:rsidR="00624AB9" w:rsidRPr="00DD6590">
        <w:rPr>
          <w:szCs w:val="18"/>
        </w:rPr>
        <w:t xml:space="preserve"> </w:t>
      </w:r>
      <w:r w:rsidR="00180E1E" w:rsidRPr="00DD6590">
        <w:rPr>
          <w:szCs w:val="18"/>
        </w:rPr>
        <w:t xml:space="preserve">OPII </w:t>
      </w:r>
      <w:r w:rsidR="00624AB9" w:rsidRPr="00DD6590">
        <w:rPr>
          <w:szCs w:val="18"/>
        </w:rPr>
        <w:t>sa zameriava na</w:t>
      </w:r>
      <w:r w:rsidR="00180E1E" w:rsidRPr="00DD6590">
        <w:rPr>
          <w:szCs w:val="18"/>
        </w:rPr>
        <w:t xml:space="preserve"> prioritn</w:t>
      </w:r>
      <w:r w:rsidR="00624AB9" w:rsidRPr="00DD6590">
        <w:rPr>
          <w:szCs w:val="18"/>
        </w:rPr>
        <w:t>é osi</w:t>
      </w:r>
      <w:r w:rsidR="00D802C3" w:rsidRPr="00DD6590">
        <w:rPr>
          <w:szCs w:val="18"/>
        </w:rPr>
        <w:t>:</w:t>
      </w:r>
    </w:p>
    <w:p w14:paraId="25ED4270" w14:textId="77777777" w:rsidR="00D802C3" w:rsidRPr="00DD6590" w:rsidRDefault="00D802C3" w:rsidP="000A39BD">
      <w:pPr>
        <w:pStyle w:val="ListParagraph"/>
        <w:numPr>
          <w:ilvl w:val="0"/>
          <w:numId w:val="7"/>
        </w:numPr>
        <w:contextualSpacing/>
        <w:rPr>
          <w:rFonts w:asciiTheme="minorHAnsi" w:hAnsiTheme="minorHAnsi"/>
          <w:szCs w:val="18"/>
        </w:rPr>
      </w:pPr>
      <w:r w:rsidRPr="00DD6590">
        <w:rPr>
          <w:rFonts w:asciiTheme="minorHAnsi" w:hAnsiTheme="minorHAnsi"/>
          <w:szCs w:val="18"/>
        </w:rPr>
        <w:t>Železničná infraštruktúra (TEN-T CORE) a obnova mobilných prostriedkov</w:t>
      </w:r>
    </w:p>
    <w:p w14:paraId="1A1A9616" w14:textId="77777777" w:rsidR="00D802C3" w:rsidRPr="00DD6590" w:rsidRDefault="00D802C3" w:rsidP="000A39BD">
      <w:pPr>
        <w:pStyle w:val="ListParagraph"/>
        <w:numPr>
          <w:ilvl w:val="0"/>
          <w:numId w:val="7"/>
        </w:numPr>
        <w:spacing w:before="0"/>
        <w:contextualSpacing/>
        <w:rPr>
          <w:rFonts w:asciiTheme="minorHAnsi" w:eastAsiaTheme="minorHAnsi" w:hAnsiTheme="minorHAnsi" w:cstheme="minorBidi"/>
          <w:b/>
          <w:szCs w:val="18"/>
          <w:lang w:eastAsia="en-US"/>
        </w:rPr>
      </w:pPr>
      <w:r w:rsidRPr="00DD6590">
        <w:rPr>
          <w:rFonts w:asciiTheme="minorHAnsi" w:hAnsiTheme="minorHAnsi"/>
          <w:szCs w:val="18"/>
        </w:rPr>
        <w:t>Cestná infraštruktúra (TEN-T</w:t>
      </w:r>
      <w:r w:rsidR="006B7E82" w:rsidRPr="00DD6590">
        <w:rPr>
          <w:rFonts w:asciiTheme="minorHAnsi" w:hAnsiTheme="minorHAnsi"/>
          <w:szCs w:val="18"/>
        </w:rPr>
        <w:t>)</w:t>
      </w:r>
    </w:p>
    <w:p w14:paraId="08FC83D7" w14:textId="77777777" w:rsidR="00D802C3" w:rsidRPr="00DD6590" w:rsidRDefault="00D802C3" w:rsidP="000A39BD">
      <w:pPr>
        <w:pStyle w:val="ListParagraph"/>
        <w:numPr>
          <w:ilvl w:val="0"/>
          <w:numId w:val="7"/>
        </w:numPr>
        <w:contextualSpacing/>
        <w:rPr>
          <w:rFonts w:asciiTheme="minorHAnsi" w:hAnsiTheme="minorHAnsi"/>
          <w:szCs w:val="18"/>
        </w:rPr>
      </w:pPr>
      <w:r w:rsidRPr="00DD6590">
        <w:rPr>
          <w:rFonts w:asciiTheme="minorHAnsi" w:hAnsiTheme="minorHAnsi"/>
          <w:szCs w:val="18"/>
        </w:rPr>
        <w:t xml:space="preserve">Verejná osobná </w:t>
      </w:r>
      <w:r w:rsidR="00491526" w:rsidRPr="00DD6590">
        <w:rPr>
          <w:rFonts w:asciiTheme="minorHAnsi" w:hAnsiTheme="minorHAnsi"/>
          <w:szCs w:val="18"/>
        </w:rPr>
        <w:t>doprava</w:t>
      </w:r>
    </w:p>
    <w:p w14:paraId="5A5A8B46" w14:textId="77777777" w:rsidR="00D802C3" w:rsidRPr="00DD6590" w:rsidRDefault="00D802C3" w:rsidP="000A39BD">
      <w:pPr>
        <w:pStyle w:val="ListParagraph"/>
        <w:numPr>
          <w:ilvl w:val="0"/>
          <w:numId w:val="7"/>
        </w:numPr>
        <w:contextualSpacing/>
        <w:rPr>
          <w:rFonts w:asciiTheme="minorHAnsi" w:hAnsiTheme="minorHAnsi"/>
          <w:szCs w:val="18"/>
        </w:rPr>
      </w:pPr>
      <w:r w:rsidRPr="00DD6590">
        <w:rPr>
          <w:rFonts w:asciiTheme="minorHAnsi" w:hAnsiTheme="minorHAnsi"/>
          <w:szCs w:val="18"/>
        </w:rPr>
        <w:t>Infraštruktúra vodnej dopravy (TEN-T CORE</w:t>
      </w:r>
      <w:r w:rsidR="006B7E82" w:rsidRPr="00DD6590">
        <w:rPr>
          <w:rFonts w:asciiTheme="minorHAnsi" w:hAnsiTheme="minorHAnsi"/>
          <w:szCs w:val="18"/>
        </w:rPr>
        <w:t>)</w:t>
      </w:r>
    </w:p>
    <w:p w14:paraId="5E9DD0CC" w14:textId="77777777" w:rsidR="00D802C3" w:rsidRPr="00DD6590" w:rsidRDefault="00D802C3" w:rsidP="000A39BD">
      <w:pPr>
        <w:pStyle w:val="ListParagraph"/>
        <w:numPr>
          <w:ilvl w:val="0"/>
          <w:numId w:val="7"/>
        </w:numPr>
        <w:contextualSpacing/>
        <w:rPr>
          <w:rFonts w:asciiTheme="minorHAnsi" w:hAnsiTheme="minorHAnsi"/>
          <w:szCs w:val="18"/>
        </w:rPr>
      </w:pPr>
      <w:r w:rsidRPr="00DD6590">
        <w:rPr>
          <w:rFonts w:asciiTheme="minorHAnsi" w:hAnsiTheme="minorHAnsi"/>
          <w:szCs w:val="18"/>
        </w:rPr>
        <w:t xml:space="preserve">Železničná </w:t>
      </w:r>
      <w:r w:rsidR="00491526" w:rsidRPr="00DD6590">
        <w:rPr>
          <w:rFonts w:asciiTheme="minorHAnsi" w:hAnsiTheme="minorHAnsi"/>
          <w:szCs w:val="18"/>
        </w:rPr>
        <w:t>infraštruktúra</w:t>
      </w:r>
    </w:p>
    <w:p w14:paraId="6760102D" w14:textId="77777777" w:rsidR="00D802C3" w:rsidRPr="00DD6590" w:rsidRDefault="00D802C3" w:rsidP="000A39BD">
      <w:pPr>
        <w:pStyle w:val="ListParagraph"/>
        <w:numPr>
          <w:ilvl w:val="0"/>
          <w:numId w:val="7"/>
        </w:numPr>
        <w:contextualSpacing/>
        <w:rPr>
          <w:rFonts w:asciiTheme="minorHAnsi" w:hAnsiTheme="minorHAnsi"/>
          <w:szCs w:val="18"/>
        </w:rPr>
      </w:pPr>
      <w:r w:rsidRPr="00DD6590">
        <w:rPr>
          <w:rFonts w:asciiTheme="minorHAnsi" w:hAnsiTheme="minorHAnsi"/>
          <w:szCs w:val="18"/>
        </w:rPr>
        <w:t>Cestná infraštruktúra (mimo TEN-T CORE</w:t>
      </w:r>
      <w:r w:rsidR="006B7E82" w:rsidRPr="00DD6590">
        <w:rPr>
          <w:rFonts w:asciiTheme="minorHAnsi" w:hAnsiTheme="minorHAnsi"/>
          <w:szCs w:val="18"/>
        </w:rPr>
        <w:t>)</w:t>
      </w:r>
    </w:p>
    <w:p w14:paraId="6B598807" w14:textId="77777777" w:rsidR="00D802C3" w:rsidRPr="00DD6590" w:rsidRDefault="00624AB9" w:rsidP="000A39BD">
      <w:pPr>
        <w:pStyle w:val="ListParagraph"/>
        <w:numPr>
          <w:ilvl w:val="0"/>
          <w:numId w:val="7"/>
        </w:numPr>
        <w:contextualSpacing/>
        <w:rPr>
          <w:rFonts w:asciiTheme="minorHAnsi" w:hAnsiTheme="minorHAnsi"/>
          <w:szCs w:val="18"/>
        </w:rPr>
      </w:pPr>
      <w:r w:rsidRPr="00DD6590">
        <w:rPr>
          <w:rFonts w:asciiTheme="minorHAnsi" w:hAnsiTheme="minorHAnsi"/>
          <w:szCs w:val="18"/>
        </w:rPr>
        <w:t>Informačná spoločnosť</w:t>
      </w:r>
    </w:p>
    <w:p w14:paraId="64C47425" w14:textId="77777777" w:rsidR="00F3249F" w:rsidRPr="00DD6590" w:rsidRDefault="00F3249F" w:rsidP="00F3249F">
      <w:r w:rsidRPr="00DD6590">
        <w:rPr>
          <w:szCs w:val="18"/>
        </w:rPr>
        <w:t>OPII je spolufinancovaný z Kohézneho fondu (ďalej ako</w:t>
      </w:r>
      <w:r w:rsidRPr="00DD6590">
        <w:t xml:space="preserve"> „KF“) a z Európskeho fondu regionálneho rozvoja (ďalej ako „EFRR“)</w:t>
      </w:r>
      <w:r w:rsidR="006B7E82">
        <w:t xml:space="preserve"> a</w:t>
      </w:r>
      <w:r w:rsidRPr="00DD6590">
        <w:t xml:space="preserve"> toto financovanie je zohľadnené aj v rámci jednotlivých prioritných osí, ktoré sú uvedené v nasledujúcej tabuľke vrátane alokácie a zodpovedného subjektu: </w:t>
      </w:r>
    </w:p>
    <w:p w14:paraId="5FA8962B" w14:textId="565DBCEE" w:rsidR="00BA3CE4" w:rsidRPr="00DD6590" w:rsidRDefault="00BA3CE4" w:rsidP="00BA3CE4">
      <w:pPr>
        <w:pStyle w:val="Caption"/>
      </w:pPr>
      <w:bookmarkStart w:id="20" w:name="_Toc9855878"/>
      <w:r w:rsidRPr="00DD6590">
        <w:t xml:space="preserve">Tabuľka </w:t>
      </w:r>
      <w:r w:rsidRPr="00DD6590">
        <w:fldChar w:fldCharType="begin"/>
      </w:r>
      <w:r w:rsidRPr="00DD6590">
        <w:instrText xml:space="preserve"> SEQ Tabuľka \* ARABIC </w:instrText>
      </w:r>
      <w:r w:rsidRPr="00DD6590">
        <w:fldChar w:fldCharType="separate"/>
      </w:r>
      <w:r w:rsidR="00DC3C97">
        <w:rPr>
          <w:noProof/>
        </w:rPr>
        <w:t>1</w:t>
      </w:r>
      <w:r w:rsidRPr="00DD6590">
        <w:fldChar w:fldCharType="end"/>
      </w:r>
      <w:r w:rsidRPr="00DD6590">
        <w:t xml:space="preserve"> Alokácia OPII</w:t>
      </w:r>
      <w:bookmarkEnd w:id="20"/>
    </w:p>
    <w:tbl>
      <w:tblPr>
        <w:tblStyle w:val="Svetlzoznamzvraznenie1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0"/>
        <w:gridCol w:w="1048"/>
        <w:gridCol w:w="1985"/>
        <w:gridCol w:w="1548"/>
        <w:gridCol w:w="1513"/>
      </w:tblGrid>
      <w:tr w:rsidR="00705E85" w:rsidRPr="00DD6590" w14:paraId="572C0AD8" w14:textId="77777777" w:rsidTr="00BA3CE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50"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6195CA95" w14:textId="77777777" w:rsidR="00705E85" w:rsidRPr="00DD6590" w:rsidRDefault="00705E85" w:rsidP="00560D57">
            <w:pPr>
              <w:spacing w:before="0" w:after="0"/>
              <w:rPr>
                <w:rFonts w:asciiTheme="minorHAnsi" w:hAnsiTheme="minorHAnsi"/>
                <w:sz w:val="16"/>
                <w:szCs w:val="16"/>
              </w:rPr>
            </w:pPr>
            <w:r w:rsidRPr="00DD6590">
              <w:rPr>
                <w:rFonts w:asciiTheme="minorHAnsi" w:hAnsiTheme="minorHAnsi"/>
                <w:sz w:val="16"/>
                <w:szCs w:val="16"/>
              </w:rPr>
              <w:t xml:space="preserve">Názov prioritnej osi </w:t>
            </w:r>
          </w:p>
        </w:tc>
        <w:tc>
          <w:tcPr>
            <w:tcW w:w="10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A89A399" w14:textId="77777777" w:rsidR="00705E85" w:rsidRPr="00DD6590" w:rsidRDefault="00705E85" w:rsidP="00560D57">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Fond</w:t>
            </w:r>
          </w:p>
        </w:tc>
        <w:tc>
          <w:tcPr>
            <w:tcW w:w="1985"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1D560CE2" w14:textId="77777777" w:rsidR="00705E85" w:rsidRPr="00DD6590" w:rsidRDefault="00705E85" w:rsidP="00EB6255">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 xml:space="preserve">Alokácia </w:t>
            </w:r>
          </w:p>
        </w:tc>
        <w:tc>
          <w:tcPr>
            <w:tcW w:w="15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9390DF3" w14:textId="77777777" w:rsidR="00705E85" w:rsidRPr="00DD6590" w:rsidRDefault="00705E85" w:rsidP="00560D57">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 xml:space="preserve">Percentuálny podiel </w:t>
            </w:r>
          </w:p>
        </w:tc>
        <w:tc>
          <w:tcPr>
            <w:tcW w:w="1513"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6CD8E091" w14:textId="77777777" w:rsidR="00705E85" w:rsidRPr="00DD6590" w:rsidRDefault="00705E85" w:rsidP="00560D57">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Zodpovedný subjekt</w:t>
            </w:r>
          </w:p>
        </w:tc>
      </w:tr>
      <w:tr w:rsidR="00705E85" w:rsidRPr="00DD6590" w14:paraId="2CEB1A13" w14:textId="77777777" w:rsidTr="00BA3CE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50"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FA8D729" w14:textId="77777777" w:rsidR="00705E85" w:rsidRPr="00DD6590" w:rsidRDefault="00705E85" w:rsidP="004D11D7">
            <w:pPr>
              <w:spacing w:before="0" w:after="0"/>
              <w:jc w:val="center"/>
              <w:rPr>
                <w:rFonts w:asciiTheme="minorHAnsi" w:hAnsiTheme="minorHAnsi"/>
                <w:b w:val="0"/>
                <w:sz w:val="16"/>
                <w:szCs w:val="16"/>
              </w:rPr>
            </w:pPr>
            <w:r w:rsidRPr="00DD6590">
              <w:rPr>
                <w:rFonts w:asciiTheme="minorHAnsi" w:hAnsiTheme="minorHAnsi"/>
                <w:b w:val="0"/>
                <w:sz w:val="16"/>
                <w:szCs w:val="16"/>
              </w:rPr>
              <w:t>PO1 – Železničná infraštruktúra (TEN-T CORE) a obnova mobilných prostriedkov</w:t>
            </w:r>
          </w:p>
        </w:tc>
        <w:tc>
          <w:tcPr>
            <w:tcW w:w="10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1B531FCE" w14:textId="77777777" w:rsidR="00705E85" w:rsidRPr="00DD6590" w:rsidRDefault="00705E85"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KF</w:t>
            </w:r>
          </w:p>
        </w:tc>
        <w:tc>
          <w:tcPr>
            <w:tcW w:w="1985"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5EF7E87E" w14:textId="77777777" w:rsidR="00705E85" w:rsidRPr="00DD6590" w:rsidRDefault="00705E85"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853 928 431 EUR</w:t>
            </w:r>
          </w:p>
        </w:tc>
        <w:tc>
          <w:tcPr>
            <w:tcW w:w="15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679F0EA0" w14:textId="77777777" w:rsidR="00705E85" w:rsidRPr="00DD6590" w:rsidRDefault="00431E74"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19</w:t>
            </w:r>
            <w:r w:rsidR="006B7E82">
              <w:rPr>
                <w:rFonts w:asciiTheme="minorHAnsi" w:hAnsiTheme="minorHAnsi"/>
                <w:sz w:val="16"/>
                <w:szCs w:val="16"/>
              </w:rPr>
              <w:t xml:space="preserve"> </w:t>
            </w:r>
            <w:r w:rsidRPr="00DD6590">
              <w:rPr>
                <w:rFonts w:asciiTheme="minorHAnsi" w:hAnsiTheme="minorHAnsi"/>
                <w:sz w:val="16"/>
                <w:szCs w:val="16"/>
              </w:rPr>
              <w:t>%</w:t>
            </w:r>
          </w:p>
        </w:tc>
        <w:tc>
          <w:tcPr>
            <w:tcW w:w="1513"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5C00FCB2" w14:textId="77777777" w:rsidR="00705E85" w:rsidRPr="00DD6590" w:rsidRDefault="00705E85"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MDV SR</w:t>
            </w:r>
          </w:p>
        </w:tc>
      </w:tr>
      <w:tr w:rsidR="00705E85" w:rsidRPr="00DD6590" w14:paraId="744EC034" w14:textId="77777777" w:rsidTr="00BA3CE4">
        <w:trPr>
          <w:jc w:val="center"/>
        </w:trPr>
        <w:tc>
          <w:tcPr>
            <w:cnfStyle w:val="001000000000" w:firstRow="0" w:lastRow="0" w:firstColumn="1" w:lastColumn="0" w:oddVBand="0" w:evenVBand="0" w:oddHBand="0" w:evenHBand="0" w:firstRowFirstColumn="0" w:firstRowLastColumn="0" w:lastRowFirstColumn="0" w:lastRowLastColumn="0"/>
            <w:tcW w:w="3250"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52540379" w14:textId="77777777" w:rsidR="00705E85" w:rsidRPr="00DD6590" w:rsidRDefault="00705E85" w:rsidP="00560D57">
            <w:pPr>
              <w:spacing w:before="0" w:after="0"/>
              <w:rPr>
                <w:rFonts w:asciiTheme="minorHAnsi" w:hAnsiTheme="minorHAnsi"/>
                <w:b w:val="0"/>
                <w:sz w:val="16"/>
                <w:szCs w:val="16"/>
              </w:rPr>
            </w:pPr>
            <w:r w:rsidRPr="00DD6590">
              <w:rPr>
                <w:rFonts w:asciiTheme="minorHAnsi" w:hAnsiTheme="minorHAnsi"/>
                <w:b w:val="0"/>
                <w:sz w:val="16"/>
                <w:szCs w:val="16"/>
              </w:rPr>
              <w:t>PO2 – Cestná infraštruktúra (TEN-T)</w:t>
            </w:r>
          </w:p>
        </w:tc>
        <w:tc>
          <w:tcPr>
            <w:tcW w:w="10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C16181D" w14:textId="77777777" w:rsidR="00705E85" w:rsidRPr="00DD6590" w:rsidRDefault="00705E85" w:rsidP="00560D57">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KF</w:t>
            </w:r>
          </w:p>
        </w:tc>
        <w:tc>
          <w:tcPr>
            <w:tcW w:w="1985"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6A80499" w14:textId="77777777" w:rsidR="00705E85" w:rsidRPr="00DD6590" w:rsidRDefault="00705E85" w:rsidP="00560D57">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1 344 117 648 EUR</w:t>
            </w:r>
          </w:p>
        </w:tc>
        <w:tc>
          <w:tcPr>
            <w:tcW w:w="15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26C5495C" w14:textId="77777777" w:rsidR="00705E85" w:rsidRPr="00DD6590" w:rsidRDefault="00431E74" w:rsidP="00560D57">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29</w:t>
            </w:r>
            <w:r w:rsidR="006B7E82">
              <w:rPr>
                <w:rFonts w:asciiTheme="minorHAnsi" w:hAnsiTheme="minorHAnsi"/>
                <w:sz w:val="16"/>
                <w:szCs w:val="16"/>
              </w:rPr>
              <w:t xml:space="preserve"> </w:t>
            </w:r>
            <w:r w:rsidRPr="00DD6590">
              <w:rPr>
                <w:rFonts w:asciiTheme="minorHAnsi" w:hAnsiTheme="minorHAnsi"/>
                <w:sz w:val="16"/>
                <w:szCs w:val="16"/>
              </w:rPr>
              <w:t>%</w:t>
            </w:r>
          </w:p>
        </w:tc>
        <w:tc>
          <w:tcPr>
            <w:tcW w:w="1513"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99C17EC" w14:textId="77777777" w:rsidR="00705E85" w:rsidRPr="00DD6590" w:rsidRDefault="00705E85" w:rsidP="00560D57">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MDV SR</w:t>
            </w:r>
          </w:p>
        </w:tc>
      </w:tr>
      <w:tr w:rsidR="00705E85" w:rsidRPr="00DD6590" w14:paraId="7BF3BE08" w14:textId="77777777" w:rsidTr="00BA3CE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50"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C307451" w14:textId="77777777" w:rsidR="00705E85" w:rsidRPr="00DD6590" w:rsidRDefault="00705E85" w:rsidP="00560D57">
            <w:pPr>
              <w:spacing w:before="0" w:after="0"/>
              <w:rPr>
                <w:rFonts w:asciiTheme="minorHAnsi" w:hAnsiTheme="minorHAnsi"/>
                <w:b w:val="0"/>
                <w:sz w:val="16"/>
                <w:szCs w:val="16"/>
              </w:rPr>
            </w:pPr>
            <w:r w:rsidRPr="00DD6590">
              <w:rPr>
                <w:rFonts w:asciiTheme="minorHAnsi" w:hAnsiTheme="minorHAnsi"/>
                <w:b w:val="0"/>
                <w:sz w:val="16"/>
                <w:szCs w:val="16"/>
              </w:rPr>
              <w:t>PO3 – Verejná osobná doprava</w:t>
            </w:r>
          </w:p>
        </w:tc>
        <w:tc>
          <w:tcPr>
            <w:tcW w:w="10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9EB10C8" w14:textId="77777777" w:rsidR="00705E85" w:rsidRPr="00DD6590" w:rsidRDefault="00705E85"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KF</w:t>
            </w:r>
          </w:p>
        </w:tc>
        <w:tc>
          <w:tcPr>
            <w:tcW w:w="1985"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9EF9BD5" w14:textId="77777777" w:rsidR="00705E85" w:rsidRPr="00DD6590" w:rsidRDefault="00705E85"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379 235 295 EUR</w:t>
            </w:r>
          </w:p>
        </w:tc>
        <w:tc>
          <w:tcPr>
            <w:tcW w:w="15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839DF52" w14:textId="77777777" w:rsidR="00705E85" w:rsidRPr="00DD6590" w:rsidRDefault="00431E74"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8</w:t>
            </w:r>
            <w:r w:rsidR="006B7E82">
              <w:rPr>
                <w:rFonts w:asciiTheme="minorHAnsi" w:hAnsiTheme="minorHAnsi"/>
                <w:sz w:val="16"/>
                <w:szCs w:val="16"/>
              </w:rPr>
              <w:t xml:space="preserve"> </w:t>
            </w:r>
            <w:r w:rsidRPr="00DD6590">
              <w:rPr>
                <w:rFonts w:asciiTheme="minorHAnsi" w:hAnsiTheme="minorHAnsi"/>
                <w:sz w:val="16"/>
                <w:szCs w:val="16"/>
              </w:rPr>
              <w:t>%</w:t>
            </w:r>
          </w:p>
        </w:tc>
        <w:tc>
          <w:tcPr>
            <w:tcW w:w="1513"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6F391551" w14:textId="77777777" w:rsidR="00705E85" w:rsidRPr="00DD6590" w:rsidRDefault="00705E85"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MDV SR</w:t>
            </w:r>
          </w:p>
        </w:tc>
      </w:tr>
      <w:tr w:rsidR="00705E85" w:rsidRPr="00DD6590" w14:paraId="49EE18A7" w14:textId="77777777" w:rsidTr="00BA3CE4">
        <w:trPr>
          <w:jc w:val="center"/>
        </w:trPr>
        <w:tc>
          <w:tcPr>
            <w:cnfStyle w:val="001000000000" w:firstRow="0" w:lastRow="0" w:firstColumn="1" w:lastColumn="0" w:oddVBand="0" w:evenVBand="0" w:oddHBand="0" w:evenHBand="0" w:firstRowFirstColumn="0" w:firstRowLastColumn="0" w:lastRowFirstColumn="0" w:lastRowLastColumn="0"/>
            <w:tcW w:w="3250"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50CE319D" w14:textId="77777777" w:rsidR="00705E85" w:rsidRPr="00DD6590" w:rsidRDefault="00705E85" w:rsidP="00560D57">
            <w:pPr>
              <w:spacing w:before="0" w:after="0"/>
              <w:rPr>
                <w:rFonts w:asciiTheme="minorHAnsi" w:hAnsiTheme="minorHAnsi"/>
                <w:b w:val="0"/>
                <w:sz w:val="16"/>
                <w:szCs w:val="16"/>
              </w:rPr>
            </w:pPr>
            <w:r w:rsidRPr="00DD6590">
              <w:rPr>
                <w:rFonts w:asciiTheme="minorHAnsi" w:hAnsiTheme="minorHAnsi"/>
                <w:b w:val="0"/>
                <w:sz w:val="16"/>
                <w:szCs w:val="16"/>
              </w:rPr>
              <w:t>PO4 – Infraštruktúra vodnej dopravy (TEN-T CORE)</w:t>
            </w:r>
          </w:p>
        </w:tc>
        <w:tc>
          <w:tcPr>
            <w:tcW w:w="10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115245DB" w14:textId="77777777" w:rsidR="00705E85" w:rsidRPr="00DD6590" w:rsidRDefault="00705E85" w:rsidP="00560D57">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KF</w:t>
            </w:r>
          </w:p>
        </w:tc>
        <w:tc>
          <w:tcPr>
            <w:tcW w:w="1985"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1C4E92AA" w14:textId="77777777" w:rsidR="00705E85" w:rsidRPr="00DD6590" w:rsidRDefault="00705E85" w:rsidP="00560D57">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137 000 000 EUR</w:t>
            </w:r>
          </w:p>
        </w:tc>
        <w:tc>
          <w:tcPr>
            <w:tcW w:w="15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D5D4EC4" w14:textId="77777777" w:rsidR="00705E85" w:rsidRPr="00DD6590" w:rsidRDefault="00431E74" w:rsidP="00560D57">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3</w:t>
            </w:r>
            <w:r w:rsidR="006B7E82">
              <w:rPr>
                <w:rFonts w:asciiTheme="minorHAnsi" w:hAnsiTheme="minorHAnsi"/>
                <w:sz w:val="16"/>
                <w:szCs w:val="16"/>
              </w:rPr>
              <w:t xml:space="preserve"> </w:t>
            </w:r>
            <w:r w:rsidRPr="00DD6590">
              <w:rPr>
                <w:rFonts w:asciiTheme="minorHAnsi" w:hAnsiTheme="minorHAnsi"/>
                <w:sz w:val="16"/>
                <w:szCs w:val="16"/>
              </w:rPr>
              <w:t>%</w:t>
            </w:r>
          </w:p>
        </w:tc>
        <w:tc>
          <w:tcPr>
            <w:tcW w:w="1513"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FA361DC" w14:textId="77777777" w:rsidR="00705E85" w:rsidRPr="00DD6590" w:rsidRDefault="00705E85" w:rsidP="00560D57">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MDV SR</w:t>
            </w:r>
          </w:p>
        </w:tc>
      </w:tr>
      <w:tr w:rsidR="00705E85" w:rsidRPr="00DD6590" w14:paraId="5612FDAD" w14:textId="77777777" w:rsidTr="00BA3CE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50"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E348F71" w14:textId="77777777" w:rsidR="00705E85" w:rsidRPr="00DD6590" w:rsidRDefault="00705E85" w:rsidP="00560D57">
            <w:pPr>
              <w:spacing w:before="0" w:after="0"/>
              <w:rPr>
                <w:rFonts w:asciiTheme="minorHAnsi" w:hAnsiTheme="minorHAnsi"/>
                <w:b w:val="0"/>
                <w:sz w:val="16"/>
                <w:szCs w:val="16"/>
              </w:rPr>
            </w:pPr>
            <w:r w:rsidRPr="00DD6590">
              <w:rPr>
                <w:rFonts w:asciiTheme="minorHAnsi" w:hAnsiTheme="minorHAnsi"/>
                <w:b w:val="0"/>
                <w:sz w:val="16"/>
                <w:szCs w:val="16"/>
              </w:rPr>
              <w:t>PO5 – Železničná infraštruktúra</w:t>
            </w:r>
          </w:p>
        </w:tc>
        <w:tc>
          <w:tcPr>
            <w:tcW w:w="10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516FB48C" w14:textId="77777777" w:rsidR="00705E85" w:rsidRPr="00DD6590" w:rsidRDefault="00705E85"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EFRR</w:t>
            </w:r>
          </w:p>
        </w:tc>
        <w:tc>
          <w:tcPr>
            <w:tcW w:w="1985"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56E382D" w14:textId="77777777" w:rsidR="00705E85" w:rsidRPr="00DD6590" w:rsidRDefault="00705E85"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332 037 915 EUR</w:t>
            </w:r>
          </w:p>
        </w:tc>
        <w:tc>
          <w:tcPr>
            <w:tcW w:w="15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06DDD9B" w14:textId="77777777" w:rsidR="00705E85" w:rsidRPr="00DD6590" w:rsidRDefault="00431E74"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7</w:t>
            </w:r>
            <w:r w:rsidR="006B7E82">
              <w:rPr>
                <w:rFonts w:asciiTheme="minorHAnsi" w:hAnsiTheme="minorHAnsi"/>
                <w:sz w:val="16"/>
                <w:szCs w:val="16"/>
              </w:rPr>
              <w:t xml:space="preserve"> </w:t>
            </w:r>
            <w:r w:rsidRPr="00DD6590">
              <w:rPr>
                <w:rFonts w:asciiTheme="minorHAnsi" w:hAnsiTheme="minorHAnsi"/>
                <w:sz w:val="16"/>
                <w:szCs w:val="16"/>
              </w:rPr>
              <w:t>%</w:t>
            </w:r>
          </w:p>
        </w:tc>
        <w:tc>
          <w:tcPr>
            <w:tcW w:w="1513"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1DB5330" w14:textId="77777777" w:rsidR="00705E85" w:rsidRPr="00DD6590" w:rsidRDefault="00705E85"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MDV SR</w:t>
            </w:r>
          </w:p>
        </w:tc>
      </w:tr>
      <w:tr w:rsidR="00705E85" w:rsidRPr="00DD6590" w14:paraId="4F6AFB08" w14:textId="77777777" w:rsidTr="00BA3CE4">
        <w:trPr>
          <w:jc w:val="center"/>
        </w:trPr>
        <w:tc>
          <w:tcPr>
            <w:cnfStyle w:val="001000000000" w:firstRow="0" w:lastRow="0" w:firstColumn="1" w:lastColumn="0" w:oddVBand="0" w:evenVBand="0" w:oddHBand="0" w:evenHBand="0" w:firstRowFirstColumn="0" w:firstRowLastColumn="0" w:lastRowFirstColumn="0" w:lastRowLastColumn="0"/>
            <w:tcW w:w="3250"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19ABA41" w14:textId="77777777" w:rsidR="00705E85" w:rsidRPr="00DD6590" w:rsidRDefault="00705E85" w:rsidP="00560D57">
            <w:pPr>
              <w:spacing w:before="0" w:after="0"/>
              <w:rPr>
                <w:rFonts w:asciiTheme="minorHAnsi" w:hAnsiTheme="minorHAnsi"/>
                <w:b w:val="0"/>
                <w:sz w:val="16"/>
                <w:szCs w:val="16"/>
              </w:rPr>
            </w:pPr>
            <w:r w:rsidRPr="00DD6590">
              <w:rPr>
                <w:rFonts w:asciiTheme="minorHAnsi" w:hAnsiTheme="minorHAnsi"/>
                <w:b w:val="0"/>
                <w:sz w:val="16"/>
                <w:szCs w:val="16"/>
              </w:rPr>
              <w:t>PO6 – Cestná infraštruktúra (mimo TEN-T CORE)</w:t>
            </w:r>
          </w:p>
        </w:tc>
        <w:tc>
          <w:tcPr>
            <w:tcW w:w="10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17E82961" w14:textId="77777777" w:rsidR="00705E85" w:rsidRPr="00DD6590" w:rsidRDefault="00705E85" w:rsidP="00560D57">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EFRR</w:t>
            </w:r>
          </w:p>
        </w:tc>
        <w:tc>
          <w:tcPr>
            <w:tcW w:w="1985"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08838F1" w14:textId="77777777" w:rsidR="00705E85" w:rsidRPr="00DD6590" w:rsidRDefault="00705E85" w:rsidP="00560D57">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570 302 622 EUR</w:t>
            </w:r>
          </w:p>
        </w:tc>
        <w:tc>
          <w:tcPr>
            <w:tcW w:w="15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4FD5310" w14:textId="77777777" w:rsidR="00705E85" w:rsidRPr="00DD6590" w:rsidRDefault="00431E74" w:rsidP="00560D57">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12</w:t>
            </w:r>
            <w:r w:rsidR="006B7E82">
              <w:rPr>
                <w:rFonts w:asciiTheme="minorHAnsi" w:hAnsiTheme="minorHAnsi"/>
                <w:sz w:val="16"/>
                <w:szCs w:val="16"/>
              </w:rPr>
              <w:t xml:space="preserve"> </w:t>
            </w:r>
            <w:r w:rsidRPr="00DD6590">
              <w:rPr>
                <w:rFonts w:asciiTheme="minorHAnsi" w:hAnsiTheme="minorHAnsi"/>
                <w:sz w:val="16"/>
                <w:szCs w:val="16"/>
              </w:rPr>
              <w:t>%</w:t>
            </w:r>
          </w:p>
        </w:tc>
        <w:tc>
          <w:tcPr>
            <w:tcW w:w="1513"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5685AAA" w14:textId="77777777" w:rsidR="00705E85" w:rsidRPr="00DD6590" w:rsidRDefault="00705E85" w:rsidP="00560D57">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MDV SR</w:t>
            </w:r>
          </w:p>
        </w:tc>
      </w:tr>
      <w:tr w:rsidR="00705E85" w:rsidRPr="00DD6590" w14:paraId="6BE7CE26" w14:textId="77777777" w:rsidTr="00BA3CE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50"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562D427D" w14:textId="77777777" w:rsidR="00705E85" w:rsidRPr="00DD6590" w:rsidRDefault="00705E85" w:rsidP="00560D57">
            <w:pPr>
              <w:spacing w:before="0" w:after="0"/>
              <w:rPr>
                <w:rFonts w:asciiTheme="minorHAnsi" w:hAnsiTheme="minorHAnsi"/>
                <w:b w:val="0"/>
                <w:sz w:val="16"/>
                <w:szCs w:val="16"/>
              </w:rPr>
            </w:pPr>
            <w:r w:rsidRPr="00DD6590">
              <w:rPr>
                <w:rFonts w:asciiTheme="minorHAnsi" w:hAnsiTheme="minorHAnsi"/>
                <w:b w:val="0"/>
                <w:sz w:val="16"/>
                <w:szCs w:val="16"/>
              </w:rPr>
              <w:t xml:space="preserve">PO7 – Informačná spoločnosť </w:t>
            </w:r>
          </w:p>
        </w:tc>
        <w:tc>
          <w:tcPr>
            <w:tcW w:w="10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215C946C" w14:textId="77777777" w:rsidR="00705E85" w:rsidRPr="00DD6590" w:rsidRDefault="00705E85"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EFRR</w:t>
            </w:r>
          </w:p>
        </w:tc>
        <w:tc>
          <w:tcPr>
            <w:tcW w:w="1985"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7B6B2FF" w14:textId="77777777" w:rsidR="00705E85" w:rsidRPr="00DD6590" w:rsidRDefault="00705E85"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927 155 226 EUR</w:t>
            </w:r>
          </w:p>
        </w:tc>
        <w:tc>
          <w:tcPr>
            <w:tcW w:w="15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6FDD095" w14:textId="77777777" w:rsidR="00705E85" w:rsidRPr="00DD6590" w:rsidRDefault="00431E74"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20</w:t>
            </w:r>
            <w:r w:rsidR="006B7E82">
              <w:rPr>
                <w:rFonts w:asciiTheme="minorHAnsi" w:hAnsiTheme="minorHAnsi"/>
                <w:sz w:val="16"/>
                <w:szCs w:val="16"/>
              </w:rPr>
              <w:t xml:space="preserve"> </w:t>
            </w:r>
            <w:r w:rsidRPr="00DD6590">
              <w:rPr>
                <w:rFonts w:asciiTheme="minorHAnsi" w:hAnsiTheme="minorHAnsi"/>
                <w:sz w:val="16"/>
                <w:szCs w:val="16"/>
              </w:rPr>
              <w:t>%</w:t>
            </w:r>
          </w:p>
        </w:tc>
        <w:tc>
          <w:tcPr>
            <w:tcW w:w="1513"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237A5FE" w14:textId="77777777" w:rsidR="00705E85" w:rsidRPr="00DD6590" w:rsidRDefault="00705E85"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ÚPPVII SR</w:t>
            </w:r>
          </w:p>
        </w:tc>
      </w:tr>
      <w:tr w:rsidR="00705E85" w:rsidRPr="00DD6590" w14:paraId="632AFAB9" w14:textId="77777777" w:rsidTr="00BA3CE4">
        <w:trPr>
          <w:jc w:val="center"/>
        </w:trPr>
        <w:tc>
          <w:tcPr>
            <w:cnfStyle w:val="001000000000" w:firstRow="0" w:lastRow="0" w:firstColumn="1" w:lastColumn="0" w:oddVBand="0" w:evenVBand="0" w:oddHBand="0" w:evenHBand="0" w:firstRowFirstColumn="0" w:firstRowLastColumn="0" w:lastRowFirstColumn="0" w:lastRowLastColumn="0"/>
            <w:tcW w:w="3250"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6DC6F95" w14:textId="77777777" w:rsidR="00705E85" w:rsidRPr="00DD6590" w:rsidRDefault="00705E85" w:rsidP="00560D57">
            <w:pPr>
              <w:spacing w:before="0" w:after="0"/>
              <w:rPr>
                <w:rFonts w:asciiTheme="minorHAnsi" w:hAnsiTheme="minorHAnsi"/>
                <w:b w:val="0"/>
                <w:sz w:val="16"/>
                <w:szCs w:val="16"/>
              </w:rPr>
            </w:pPr>
            <w:r w:rsidRPr="00DD6590">
              <w:rPr>
                <w:rFonts w:asciiTheme="minorHAnsi" w:hAnsiTheme="minorHAnsi"/>
                <w:b w:val="0"/>
                <w:sz w:val="16"/>
                <w:szCs w:val="16"/>
              </w:rPr>
              <w:t>PO8 – Technická pomoc</w:t>
            </w:r>
            <w:r w:rsidRPr="00DD6590">
              <w:rPr>
                <w:rStyle w:val="FootnoteReference"/>
                <w:rFonts w:asciiTheme="minorHAnsi" w:hAnsiTheme="minorHAnsi"/>
                <w:b w:val="0"/>
                <w:sz w:val="16"/>
                <w:szCs w:val="16"/>
              </w:rPr>
              <w:footnoteReference w:id="2"/>
            </w:r>
          </w:p>
        </w:tc>
        <w:tc>
          <w:tcPr>
            <w:tcW w:w="10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1B170A2" w14:textId="77777777" w:rsidR="00705E85" w:rsidRPr="00DD6590" w:rsidRDefault="00705E85" w:rsidP="00560D57">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EFRR</w:t>
            </w:r>
          </w:p>
        </w:tc>
        <w:tc>
          <w:tcPr>
            <w:tcW w:w="1985"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F3AD7F5" w14:textId="77777777" w:rsidR="00705E85" w:rsidRPr="00DD6590" w:rsidRDefault="00705E85" w:rsidP="00560D57">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102 352 942 EUR</w:t>
            </w:r>
          </w:p>
        </w:tc>
        <w:tc>
          <w:tcPr>
            <w:tcW w:w="15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1F7BBB6E" w14:textId="77777777" w:rsidR="00705E85" w:rsidRPr="00DD6590" w:rsidRDefault="00431E74" w:rsidP="00560D57">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w:t>
            </w:r>
            <w:r w:rsidR="006B7E82">
              <w:rPr>
                <w:rFonts w:asciiTheme="minorHAnsi" w:hAnsiTheme="minorHAnsi"/>
                <w:sz w:val="16"/>
                <w:szCs w:val="16"/>
              </w:rPr>
              <w:t xml:space="preserve"> </w:t>
            </w:r>
            <w:r w:rsidRPr="00DD6590">
              <w:rPr>
                <w:rFonts w:asciiTheme="minorHAnsi" w:hAnsiTheme="minorHAnsi"/>
                <w:sz w:val="16"/>
                <w:szCs w:val="16"/>
              </w:rPr>
              <w:t>%</w:t>
            </w:r>
          </w:p>
        </w:tc>
        <w:tc>
          <w:tcPr>
            <w:tcW w:w="1513"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68D2343D" w14:textId="77777777" w:rsidR="00705E85" w:rsidRPr="00DD6590" w:rsidRDefault="00705E85" w:rsidP="00560D57">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MDV SR, ÚPPVII SR</w:t>
            </w:r>
          </w:p>
        </w:tc>
      </w:tr>
      <w:tr w:rsidR="00705E85" w:rsidRPr="00DD6590" w14:paraId="229A8779" w14:textId="77777777" w:rsidTr="00BA3CE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50"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2E18100" w14:textId="77777777" w:rsidR="00705E85" w:rsidRPr="00DD6590" w:rsidRDefault="00705E85" w:rsidP="00560D57">
            <w:pPr>
              <w:spacing w:before="0" w:after="0"/>
              <w:rPr>
                <w:rFonts w:asciiTheme="minorHAnsi" w:hAnsiTheme="minorHAnsi"/>
                <w:sz w:val="16"/>
                <w:szCs w:val="16"/>
              </w:rPr>
            </w:pPr>
            <w:r w:rsidRPr="00DD6590">
              <w:rPr>
                <w:rFonts w:asciiTheme="minorHAnsi" w:hAnsiTheme="minorHAnsi"/>
                <w:sz w:val="16"/>
                <w:szCs w:val="16"/>
              </w:rPr>
              <w:t>Celková alokácia programu</w:t>
            </w:r>
          </w:p>
        </w:tc>
        <w:tc>
          <w:tcPr>
            <w:tcW w:w="1048" w:type="dxa"/>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201E7ECC" w14:textId="77777777" w:rsidR="00705E85" w:rsidRPr="00DD6590" w:rsidRDefault="00705E85" w:rsidP="00EB6255">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 xml:space="preserve">KF, </w:t>
            </w:r>
            <w:r w:rsidR="00EB6255" w:rsidRPr="00DD6590">
              <w:rPr>
                <w:rFonts w:asciiTheme="minorHAnsi" w:hAnsiTheme="minorHAnsi"/>
                <w:sz w:val="16"/>
                <w:szCs w:val="16"/>
              </w:rPr>
              <w:t>EFRR</w:t>
            </w:r>
          </w:p>
        </w:tc>
        <w:tc>
          <w:tcPr>
            <w:tcW w:w="5046" w:type="dxa"/>
            <w:gridSpan w:val="3"/>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CF30884" w14:textId="77777777" w:rsidR="00705E85" w:rsidRPr="00DD6590" w:rsidRDefault="00705E85" w:rsidP="00560D57">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 w:val="16"/>
                <w:szCs w:val="16"/>
              </w:rPr>
            </w:pPr>
            <w:r w:rsidRPr="00DD6590">
              <w:rPr>
                <w:rFonts w:asciiTheme="minorHAnsi" w:hAnsiTheme="minorHAnsi"/>
                <w:b/>
                <w:sz w:val="16"/>
                <w:szCs w:val="16"/>
              </w:rPr>
              <w:t>4 646 130 079 EUR</w:t>
            </w:r>
          </w:p>
        </w:tc>
      </w:tr>
    </w:tbl>
    <w:p w14:paraId="1D4BE66E" w14:textId="77777777" w:rsidR="00E77DC1" w:rsidRPr="00DD6590" w:rsidRDefault="00BA3CE4" w:rsidP="00F3249F">
      <w:pPr>
        <w:pStyle w:val="06Normal"/>
        <w:rPr>
          <w:rFonts w:asciiTheme="minorHAnsi" w:hAnsiTheme="minorHAnsi"/>
          <w:szCs w:val="18"/>
        </w:rPr>
      </w:pPr>
      <w:r w:rsidRPr="00DD6590">
        <w:rPr>
          <w:noProof/>
          <w:lang w:eastAsia="sk-SK"/>
        </w:rPr>
        <w:lastRenderedPageBreak/>
        <mc:AlternateContent>
          <mc:Choice Requires="wps">
            <w:drawing>
              <wp:anchor distT="0" distB="0" distL="114300" distR="114300" simplePos="0" relativeHeight="251668480" behindDoc="0" locked="0" layoutInCell="1" allowOverlap="1" wp14:anchorId="5A6FC32F" wp14:editId="0C9FD28C">
                <wp:simplePos x="0" y="0"/>
                <wp:positionH relativeFrom="column">
                  <wp:posOffset>161290</wp:posOffset>
                </wp:positionH>
                <wp:positionV relativeFrom="paragraph">
                  <wp:posOffset>0</wp:posOffset>
                </wp:positionV>
                <wp:extent cx="5486400" cy="63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5486400" cy="635"/>
                        </a:xfrm>
                        <a:prstGeom prst="rect">
                          <a:avLst/>
                        </a:prstGeom>
                        <a:solidFill>
                          <a:prstClr val="white"/>
                        </a:solidFill>
                        <a:ln>
                          <a:noFill/>
                        </a:ln>
                      </wps:spPr>
                      <wps:txbx>
                        <w:txbxContent>
                          <w:p w14:paraId="7F015B88" w14:textId="1B228197" w:rsidR="001177F7" w:rsidRPr="005F1312" w:rsidRDefault="001177F7" w:rsidP="00BA3CE4">
                            <w:pPr>
                              <w:pStyle w:val="Caption"/>
                              <w:rPr>
                                <w:rFonts w:ascii="Verdana" w:eastAsia="Times New Roman" w:hAnsi="Verdana" w:cs="Times New Roman"/>
                                <w:noProof/>
                                <w:sz w:val="18"/>
                                <w:szCs w:val="20"/>
                              </w:rPr>
                            </w:pPr>
                            <w:bookmarkStart w:id="21" w:name="_Toc9855578"/>
                            <w:r>
                              <w:t xml:space="preserve">Graf  </w:t>
                            </w:r>
                            <w:r>
                              <w:fldChar w:fldCharType="begin"/>
                            </w:r>
                            <w:r>
                              <w:instrText xml:space="preserve"> SEQ Graf_ \* ARABIC </w:instrText>
                            </w:r>
                            <w:r>
                              <w:fldChar w:fldCharType="separate"/>
                            </w:r>
                            <w:r w:rsidR="00DC3C97">
                              <w:rPr>
                                <w:noProof/>
                              </w:rPr>
                              <w:t>1</w:t>
                            </w:r>
                            <w:r>
                              <w:fldChar w:fldCharType="end"/>
                            </w:r>
                            <w:r>
                              <w:t xml:space="preserve"> </w:t>
                            </w:r>
                            <w:r w:rsidRPr="00053D7B">
                              <w:t>Podiel alokácie pre jednotlivé PO</w:t>
                            </w:r>
                            <w:bookmarkEnd w:id="2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A6FC32F" id="_x0000_t202" coordsize="21600,21600" o:spt="202" path="m,l,21600r21600,l21600,xe">
                <v:stroke joinstyle="miter"/>
                <v:path gradientshapeok="t" o:connecttype="rect"/>
              </v:shapetype>
              <v:shape id="Text Box 7" o:spid="_x0000_s1026" type="#_x0000_t202" style="position:absolute;left:0;text-align:left;margin-left:12.7pt;margin-top:0;width:6in;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" stroked="f">
                <v:textbox style="mso-fit-shape-to-text:t" inset="0,0,0,0">
                  <w:txbxContent>
                    <w:p w14:paraId="7F015B88" w14:textId="1B228197" w:rsidR="001177F7" w:rsidRPr="005F1312" w:rsidRDefault="001177F7" w:rsidP="00BA3CE4">
                      <w:pPr>
                        <w:pStyle w:val="Caption"/>
                        <w:rPr>
                          <w:rFonts w:ascii="Verdana" w:eastAsia="Times New Roman" w:hAnsi="Verdana" w:cs="Times New Roman"/>
                          <w:noProof/>
                          <w:sz w:val="18"/>
                          <w:szCs w:val="20"/>
                        </w:rPr>
                      </w:pPr>
                      <w:bookmarkStart w:id="22" w:name="_Toc9855578"/>
                      <w:r>
                        <w:t xml:space="preserve">Graf  </w:t>
                      </w:r>
                      <w:r>
                        <w:fldChar w:fldCharType="begin"/>
                      </w:r>
                      <w:r>
                        <w:instrText xml:space="preserve"> SEQ Graf_ \* ARABIC </w:instrText>
                      </w:r>
                      <w:r>
                        <w:fldChar w:fldCharType="separate"/>
                      </w:r>
                      <w:r w:rsidR="00DC3C97">
                        <w:rPr>
                          <w:noProof/>
                        </w:rPr>
                        <w:t>1</w:t>
                      </w:r>
                      <w:r>
                        <w:fldChar w:fldCharType="end"/>
                      </w:r>
                      <w:r>
                        <w:t xml:space="preserve"> </w:t>
                      </w:r>
                      <w:r w:rsidRPr="00053D7B">
                        <w:t>Podiel alokácie pre jednotlivé PO</w:t>
                      </w:r>
                      <w:bookmarkEnd w:id="22"/>
                    </w:p>
                  </w:txbxContent>
                </v:textbox>
                <w10:wrap type="square"/>
              </v:shape>
            </w:pict>
          </mc:Fallback>
        </mc:AlternateContent>
      </w:r>
      <w:r w:rsidR="00705E85" w:rsidRPr="00DD6590">
        <w:rPr>
          <w:noProof/>
          <w:lang w:eastAsia="sk-SK"/>
        </w:rPr>
        <w:drawing>
          <wp:anchor distT="0" distB="0" distL="114300" distR="114300" simplePos="0" relativeHeight="251666432" behindDoc="0" locked="0" layoutInCell="1" allowOverlap="1" wp14:anchorId="6A5CEA9F" wp14:editId="09A1C496">
            <wp:simplePos x="0" y="0"/>
            <wp:positionH relativeFrom="column">
              <wp:posOffset>161290</wp:posOffset>
            </wp:positionH>
            <wp:positionV relativeFrom="paragraph">
              <wp:posOffset>382270</wp:posOffset>
            </wp:positionV>
            <wp:extent cx="5486400" cy="3200400"/>
            <wp:effectExtent l="0" t="0" r="0" b="0"/>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p>
    <w:p w14:paraId="03D3C9A7" w14:textId="77777777" w:rsidR="00F3249F" w:rsidRPr="00DD6590" w:rsidRDefault="00F3249F" w:rsidP="00F3249F">
      <w:pPr>
        <w:pStyle w:val="06Normal"/>
        <w:rPr>
          <w:rFonts w:asciiTheme="minorHAnsi" w:hAnsiTheme="minorHAnsi"/>
          <w:szCs w:val="18"/>
        </w:rPr>
      </w:pPr>
      <w:r w:rsidRPr="00DD6590">
        <w:rPr>
          <w:rFonts w:asciiTheme="minorHAnsi" w:hAnsiTheme="minorHAnsi"/>
          <w:szCs w:val="18"/>
        </w:rPr>
        <w:t>V tomto programovom období boli</w:t>
      </w:r>
      <w:r w:rsidR="00EB6255" w:rsidRPr="00DD6590">
        <w:rPr>
          <w:rFonts w:asciiTheme="minorHAnsi" w:hAnsiTheme="minorHAnsi"/>
          <w:szCs w:val="18"/>
        </w:rPr>
        <w:t xml:space="preserve"> vo výkonnostnom rámci</w:t>
      </w:r>
      <w:r w:rsidRPr="00DD6590">
        <w:rPr>
          <w:rFonts w:asciiTheme="minorHAnsi" w:hAnsiTheme="minorHAnsi"/>
          <w:szCs w:val="18"/>
        </w:rPr>
        <w:t xml:space="preserve"> stanovené dva finančné ciele</w:t>
      </w:r>
      <w:r w:rsidR="006B7E82">
        <w:rPr>
          <w:rFonts w:asciiTheme="minorHAnsi" w:hAnsiTheme="minorHAnsi"/>
          <w:szCs w:val="18"/>
        </w:rPr>
        <w:t>,</w:t>
      </w:r>
      <w:r w:rsidRPr="00DD6590">
        <w:rPr>
          <w:rFonts w:asciiTheme="minorHAnsi" w:hAnsiTheme="minorHAnsi"/>
          <w:szCs w:val="18"/>
        </w:rPr>
        <w:t xml:space="preserve"> </w:t>
      </w:r>
      <w:r w:rsidR="00DF70E8" w:rsidRPr="00DD6590">
        <w:rPr>
          <w:rFonts w:asciiTheme="minorHAnsi" w:hAnsiTheme="minorHAnsi"/>
          <w:szCs w:val="18"/>
        </w:rPr>
        <w:t>a to pre roky 2018 a</w:t>
      </w:r>
      <w:r w:rsidR="00B15A0A">
        <w:rPr>
          <w:rFonts w:asciiTheme="minorHAnsi" w:hAnsiTheme="minorHAnsi"/>
          <w:szCs w:val="18"/>
        </w:rPr>
        <w:t> </w:t>
      </w:r>
      <w:r w:rsidR="00DF70E8" w:rsidRPr="00DD6590">
        <w:rPr>
          <w:rFonts w:asciiTheme="minorHAnsi" w:hAnsiTheme="minorHAnsi"/>
          <w:szCs w:val="18"/>
        </w:rPr>
        <w:t>2023</w:t>
      </w:r>
      <w:r w:rsidR="00B15A0A">
        <w:rPr>
          <w:rFonts w:asciiTheme="minorHAnsi" w:hAnsiTheme="minorHAnsi"/>
          <w:szCs w:val="18"/>
        </w:rPr>
        <w:t>.</w:t>
      </w:r>
      <w:r w:rsidR="00DF70E8" w:rsidRPr="00DD6590">
        <w:rPr>
          <w:rFonts w:asciiTheme="minorHAnsi" w:hAnsiTheme="minorHAnsi"/>
          <w:szCs w:val="18"/>
        </w:rPr>
        <w:t xml:space="preserve"> </w:t>
      </w:r>
      <w:r w:rsidR="00B15A0A">
        <w:rPr>
          <w:rFonts w:asciiTheme="minorHAnsi" w:hAnsiTheme="minorHAnsi"/>
          <w:szCs w:val="18"/>
        </w:rPr>
        <w:t>T</w:t>
      </w:r>
      <w:r w:rsidR="00DF70E8" w:rsidRPr="00DD6590">
        <w:rPr>
          <w:rFonts w:asciiTheme="minorHAnsi" w:hAnsiTheme="minorHAnsi"/>
          <w:szCs w:val="18"/>
        </w:rPr>
        <w:t xml:space="preserve">ento výkonnostný rámec bol stanovený v súlade s MP CKO č. 2. </w:t>
      </w:r>
      <w:r w:rsidR="006D749F">
        <w:rPr>
          <w:rFonts w:asciiTheme="minorHAnsi" w:hAnsiTheme="minorHAnsi"/>
          <w:szCs w:val="18"/>
        </w:rPr>
        <w:t>Nasledujúca</w:t>
      </w:r>
      <w:r w:rsidR="006D749F" w:rsidRPr="00DD6590">
        <w:rPr>
          <w:rFonts w:asciiTheme="minorHAnsi" w:hAnsiTheme="minorHAnsi"/>
          <w:szCs w:val="18"/>
        </w:rPr>
        <w:t xml:space="preserve"> </w:t>
      </w:r>
      <w:r w:rsidRPr="00DD6590">
        <w:rPr>
          <w:rFonts w:asciiTheme="minorHAnsi" w:hAnsiTheme="minorHAnsi"/>
          <w:szCs w:val="18"/>
        </w:rPr>
        <w:t xml:space="preserve">tabuľka zobrazuje </w:t>
      </w:r>
      <w:r w:rsidR="00EB6255" w:rsidRPr="00DD6590">
        <w:rPr>
          <w:rFonts w:asciiTheme="minorHAnsi" w:hAnsiTheme="minorHAnsi"/>
          <w:szCs w:val="18"/>
        </w:rPr>
        <w:t xml:space="preserve">finančné ciele výkonnostného rámca </w:t>
      </w:r>
      <w:r w:rsidRPr="00DD6590">
        <w:rPr>
          <w:rFonts w:asciiTheme="minorHAnsi" w:hAnsiTheme="minorHAnsi"/>
          <w:szCs w:val="18"/>
        </w:rPr>
        <w:t>pre jednotlivé PO</w:t>
      </w:r>
      <w:r w:rsidR="00BA3CE4" w:rsidRPr="00DD6590">
        <w:rPr>
          <w:rFonts w:asciiTheme="minorHAnsi" w:hAnsiTheme="minorHAnsi"/>
          <w:szCs w:val="18"/>
        </w:rPr>
        <w:t>.</w:t>
      </w:r>
    </w:p>
    <w:p w14:paraId="6EEBCE47" w14:textId="4694B99F" w:rsidR="00BA3CE4" w:rsidRPr="00DD6590" w:rsidRDefault="00BA3CE4" w:rsidP="00BA3CE4">
      <w:pPr>
        <w:pStyle w:val="Caption"/>
      </w:pPr>
      <w:bookmarkStart w:id="23" w:name="_Toc9855879"/>
      <w:r w:rsidRPr="00DD6590">
        <w:t xml:space="preserve">Tabuľka </w:t>
      </w:r>
      <w:r w:rsidRPr="00DD6590">
        <w:fldChar w:fldCharType="begin"/>
      </w:r>
      <w:r w:rsidRPr="00DD6590">
        <w:instrText xml:space="preserve"> SEQ Tabuľka \* ARABIC </w:instrText>
      </w:r>
      <w:r w:rsidRPr="00DD6590">
        <w:fldChar w:fldCharType="separate"/>
      </w:r>
      <w:r w:rsidR="00DC3C97">
        <w:rPr>
          <w:noProof/>
        </w:rPr>
        <w:t>2</w:t>
      </w:r>
      <w:r w:rsidRPr="00DD6590">
        <w:fldChar w:fldCharType="end"/>
      </w:r>
      <w:r w:rsidRPr="00DD6590">
        <w:t xml:space="preserve"> </w:t>
      </w:r>
      <w:r w:rsidR="00512F8F" w:rsidRPr="00DD6590">
        <w:t>Finančné ukazovatele výkonnostného rámca OPII</w:t>
      </w:r>
      <w:bookmarkEnd w:id="23"/>
    </w:p>
    <w:tbl>
      <w:tblPr>
        <w:tblStyle w:val="Svetlzoznamzvraznenie11"/>
        <w:tblW w:w="9175" w:type="dxa"/>
        <w:tblLook w:val="04A0" w:firstRow="1" w:lastRow="0" w:firstColumn="1" w:lastColumn="0" w:noHBand="0" w:noVBand="1"/>
      </w:tblPr>
      <w:tblGrid>
        <w:gridCol w:w="4135"/>
        <w:gridCol w:w="2430"/>
        <w:gridCol w:w="2610"/>
      </w:tblGrid>
      <w:tr w:rsidR="00F3249F" w:rsidRPr="00DD6590" w14:paraId="32BD2F71" w14:textId="77777777" w:rsidTr="00D802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5" w:type="dxa"/>
            <w:tcBorders>
              <w:right w:val="single" w:sz="4" w:space="0" w:color="86BC25" w:themeColor="accent1"/>
            </w:tcBorders>
          </w:tcPr>
          <w:p w14:paraId="675565FD" w14:textId="77777777" w:rsidR="00F3249F" w:rsidRPr="00DD6590" w:rsidRDefault="00F3249F" w:rsidP="00FA1392">
            <w:pPr>
              <w:spacing w:before="0"/>
              <w:rPr>
                <w:rFonts w:asciiTheme="minorHAnsi" w:hAnsiTheme="minorHAnsi"/>
                <w:sz w:val="16"/>
                <w:szCs w:val="16"/>
              </w:rPr>
            </w:pPr>
            <w:r w:rsidRPr="00DD6590">
              <w:rPr>
                <w:rFonts w:asciiTheme="minorHAnsi" w:hAnsiTheme="minorHAnsi"/>
                <w:sz w:val="16"/>
                <w:szCs w:val="16"/>
              </w:rPr>
              <w:t>Názov prioritnej osi</w:t>
            </w:r>
            <w:r w:rsidR="00EB6255" w:rsidRPr="00DD6590">
              <w:rPr>
                <w:rStyle w:val="FootnoteReference"/>
                <w:rFonts w:asciiTheme="minorHAnsi" w:hAnsiTheme="minorHAnsi"/>
                <w:sz w:val="16"/>
                <w:szCs w:val="16"/>
              </w:rPr>
              <w:footnoteReference w:id="3"/>
            </w:r>
            <w:r w:rsidRPr="00DD6590">
              <w:rPr>
                <w:rFonts w:asciiTheme="minorHAnsi" w:hAnsiTheme="minorHAnsi"/>
                <w:sz w:val="16"/>
                <w:szCs w:val="16"/>
              </w:rPr>
              <w:t xml:space="preserve"> </w:t>
            </w:r>
          </w:p>
        </w:tc>
        <w:tc>
          <w:tcPr>
            <w:tcW w:w="2430" w:type="dxa"/>
            <w:tcBorders>
              <w:left w:val="single" w:sz="4" w:space="0" w:color="86BC25" w:themeColor="accent1"/>
              <w:right w:val="single" w:sz="4" w:space="0" w:color="86BC25" w:themeColor="accent1"/>
            </w:tcBorders>
          </w:tcPr>
          <w:p w14:paraId="52367FD6" w14:textId="77777777" w:rsidR="00F3249F" w:rsidRPr="00DD6590" w:rsidRDefault="00F3249F" w:rsidP="00FA1392">
            <w:pPr>
              <w:spacing w:befor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 xml:space="preserve">Čiastkový cieľ pre rok 2018 </w:t>
            </w:r>
          </w:p>
        </w:tc>
        <w:tc>
          <w:tcPr>
            <w:tcW w:w="2610" w:type="dxa"/>
            <w:tcBorders>
              <w:left w:val="single" w:sz="4" w:space="0" w:color="86BC25" w:themeColor="accent1"/>
            </w:tcBorders>
          </w:tcPr>
          <w:p w14:paraId="0FD32849" w14:textId="77777777" w:rsidR="00F3249F" w:rsidRPr="00DD6590" w:rsidRDefault="00F3249F" w:rsidP="00FA1392">
            <w:pPr>
              <w:spacing w:befor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Cieľová hodnota 2023</w:t>
            </w:r>
          </w:p>
        </w:tc>
      </w:tr>
      <w:tr w:rsidR="00F3249F" w:rsidRPr="00DD6590" w14:paraId="41BF8601" w14:textId="77777777" w:rsidTr="00D802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5" w:type="dxa"/>
            <w:tcBorders>
              <w:right w:val="single" w:sz="4" w:space="0" w:color="86BC25" w:themeColor="accent1"/>
            </w:tcBorders>
          </w:tcPr>
          <w:p w14:paraId="1ED1E15D" w14:textId="77777777" w:rsidR="00F3249F" w:rsidRPr="00DD6590" w:rsidRDefault="00F3249F" w:rsidP="00FA1392">
            <w:pPr>
              <w:spacing w:before="0"/>
              <w:rPr>
                <w:rFonts w:asciiTheme="minorHAnsi" w:hAnsiTheme="minorHAnsi"/>
                <w:b w:val="0"/>
                <w:sz w:val="16"/>
                <w:szCs w:val="16"/>
              </w:rPr>
            </w:pPr>
            <w:r w:rsidRPr="00DD6590">
              <w:rPr>
                <w:rFonts w:asciiTheme="minorHAnsi" w:hAnsiTheme="minorHAnsi"/>
                <w:b w:val="0"/>
                <w:sz w:val="16"/>
                <w:szCs w:val="16"/>
              </w:rPr>
              <w:t>PO1 – Železničná infraštruktúra (TEN-T CORE) a obnova mobilných prostriedkov</w:t>
            </w:r>
          </w:p>
        </w:tc>
        <w:tc>
          <w:tcPr>
            <w:tcW w:w="2430" w:type="dxa"/>
            <w:tcBorders>
              <w:left w:val="single" w:sz="4" w:space="0" w:color="86BC25" w:themeColor="accent1"/>
              <w:right w:val="single" w:sz="4" w:space="0" w:color="86BC25" w:themeColor="accent1"/>
            </w:tcBorders>
          </w:tcPr>
          <w:p w14:paraId="74BF620E" w14:textId="77777777" w:rsidR="00F3249F" w:rsidRPr="00DD6590" w:rsidRDefault="00F3249F" w:rsidP="00FA1392">
            <w:pPr>
              <w:spacing w:befor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166 516 044  EUR</w:t>
            </w:r>
          </w:p>
        </w:tc>
        <w:tc>
          <w:tcPr>
            <w:tcW w:w="2610" w:type="dxa"/>
            <w:tcBorders>
              <w:left w:val="single" w:sz="4" w:space="0" w:color="86BC25" w:themeColor="accent1"/>
            </w:tcBorders>
          </w:tcPr>
          <w:p w14:paraId="6D21B8E8" w14:textId="77777777" w:rsidR="00F3249F" w:rsidRPr="00DD6590" w:rsidRDefault="00F3249F" w:rsidP="00FA1392">
            <w:pPr>
              <w:spacing w:befor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853 928 431 EUR</w:t>
            </w:r>
          </w:p>
        </w:tc>
      </w:tr>
      <w:tr w:rsidR="00F3249F" w:rsidRPr="00DD6590" w14:paraId="120EA12E" w14:textId="77777777" w:rsidTr="00D802C3">
        <w:tc>
          <w:tcPr>
            <w:cnfStyle w:val="001000000000" w:firstRow="0" w:lastRow="0" w:firstColumn="1" w:lastColumn="0" w:oddVBand="0" w:evenVBand="0" w:oddHBand="0" w:evenHBand="0" w:firstRowFirstColumn="0" w:firstRowLastColumn="0" w:lastRowFirstColumn="0" w:lastRowLastColumn="0"/>
            <w:tcW w:w="4135" w:type="dxa"/>
            <w:tcBorders>
              <w:right w:val="single" w:sz="4" w:space="0" w:color="86BC25" w:themeColor="accent1"/>
            </w:tcBorders>
          </w:tcPr>
          <w:p w14:paraId="6B84B997" w14:textId="77777777" w:rsidR="00F3249F" w:rsidRPr="00DD6590" w:rsidRDefault="00F3249F" w:rsidP="00FA1392">
            <w:pPr>
              <w:spacing w:before="0"/>
              <w:rPr>
                <w:rFonts w:asciiTheme="minorHAnsi" w:hAnsiTheme="minorHAnsi"/>
                <w:b w:val="0"/>
                <w:sz w:val="16"/>
                <w:szCs w:val="16"/>
              </w:rPr>
            </w:pPr>
            <w:r w:rsidRPr="00DD6590">
              <w:rPr>
                <w:rFonts w:asciiTheme="minorHAnsi" w:hAnsiTheme="minorHAnsi"/>
                <w:b w:val="0"/>
                <w:sz w:val="16"/>
                <w:szCs w:val="16"/>
              </w:rPr>
              <w:t>PO2 – Cestná infraštruktúra (TEN-T)</w:t>
            </w:r>
          </w:p>
        </w:tc>
        <w:tc>
          <w:tcPr>
            <w:tcW w:w="2430" w:type="dxa"/>
            <w:tcBorders>
              <w:left w:val="single" w:sz="4" w:space="0" w:color="86BC25" w:themeColor="accent1"/>
              <w:right w:val="single" w:sz="4" w:space="0" w:color="86BC25" w:themeColor="accent1"/>
            </w:tcBorders>
          </w:tcPr>
          <w:p w14:paraId="5DD0BEE7" w14:textId="77777777" w:rsidR="00F3249F" w:rsidRPr="00DD6590" w:rsidRDefault="00F3249F" w:rsidP="00FA7C9A">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 xml:space="preserve">470 </w:t>
            </w:r>
            <w:r w:rsidR="00FA7C9A" w:rsidRPr="00DD6590">
              <w:rPr>
                <w:rFonts w:asciiTheme="minorHAnsi" w:hAnsiTheme="minorHAnsi"/>
                <w:sz w:val="16"/>
                <w:szCs w:val="16"/>
              </w:rPr>
              <w:t xml:space="preserve">441 </w:t>
            </w:r>
            <w:r w:rsidRPr="00DD6590">
              <w:rPr>
                <w:rFonts w:asciiTheme="minorHAnsi" w:hAnsiTheme="minorHAnsi"/>
                <w:sz w:val="16"/>
                <w:szCs w:val="16"/>
              </w:rPr>
              <w:t>177 EUR</w:t>
            </w:r>
          </w:p>
        </w:tc>
        <w:tc>
          <w:tcPr>
            <w:tcW w:w="2610" w:type="dxa"/>
            <w:tcBorders>
              <w:left w:val="single" w:sz="4" w:space="0" w:color="86BC25" w:themeColor="accent1"/>
            </w:tcBorders>
          </w:tcPr>
          <w:p w14:paraId="2C38973C" w14:textId="77777777" w:rsidR="00F3249F" w:rsidRPr="00DD6590" w:rsidRDefault="00F3249F" w:rsidP="00FA1392">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1 344 117 648 EUR</w:t>
            </w:r>
          </w:p>
        </w:tc>
      </w:tr>
      <w:tr w:rsidR="00F3249F" w:rsidRPr="00DD6590" w14:paraId="2DAFB5DF" w14:textId="77777777" w:rsidTr="00D802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5" w:type="dxa"/>
            <w:tcBorders>
              <w:right w:val="single" w:sz="4" w:space="0" w:color="86BC25" w:themeColor="accent1"/>
            </w:tcBorders>
          </w:tcPr>
          <w:p w14:paraId="564A2705" w14:textId="77777777" w:rsidR="00F3249F" w:rsidRPr="00DD6590" w:rsidRDefault="00F3249F" w:rsidP="00FA1392">
            <w:pPr>
              <w:spacing w:before="0"/>
              <w:rPr>
                <w:rFonts w:asciiTheme="minorHAnsi" w:hAnsiTheme="minorHAnsi"/>
                <w:b w:val="0"/>
                <w:sz w:val="16"/>
                <w:szCs w:val="16"/>
              </w:rPr>
            </w:pPr>
            <w:r w:rsidRPr="00DD6590">
              <w:rPr>
                <w:rFonts w:asciiTheme="minorHAnsi" w:hAnsiTheme="minorHAnsi"/>
                <w:b w:val="0"/>
                <w:sz w:val="16"/>
                <w:szCs w:val="16"/>
              </w:rPr>
              <w:t>PO3 – Verejná osobná doprava</w:t>
            </w:r>
          </w:p>
        </w:tc>
        <w:tc>
          <w:tcPr>
            <w:tcW w:w="2430" w:type="dxa"/>
            <w:tcBorders>
              <w:left w:val="single" w:sz="4" w:space="0" w:color="86BC25" w:themeColor="accent1"/>
              <w:right w:val="single" w:sz="4" w:space="0" w:color="86BC25" w:themeColor="accent1"/>
            </w:tcBorders>
          </w:tcPr>
          <w:p w14:paraId="75C7C554" w14:textId="77777777" w:rsidR="00F3249F" w:rsidRPr="00DD6590" w:rsidRDefault="00F3249F" w:rsidP="00FA1392">
            <w:pPr>
              <w:spacing w:befor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113 770 589 EUR</w:t>
            </w:r>
          </w:p>
        </w:tc>
        <w:tc>
          <w:tcPr>
            <w:tcW w:w="2610" w:type="dxa"/>
            <w:tcBorders>
              <w:left w:val="single" w:sz="4" w:space="0" w:color="86BC25" w:themeColor="accent1"/>
            </w:tcBorders>
          </w:tcPr>
          <w:p w14:paraId="0BEA118B" w14:textId="77777777" w:rsidR="00F3249F" w:rsidRPr="00DD6590" w:rsidRDefault="00F3249F" w:rsidP="00FA1392">
            <w:pPr>
              <w:spacing w:befor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379 235 295 EUR</w:t>
            </w:r>
          </w:p>
        </w:tc>
      </w:tr>
      <w:tr w:rsidR="00F3249F" w:rsidRPr="00DD6590" w14:paraId="61C15569" w14:textId="77777777" w:rsidTr="00D802C3">
        <w:tc>
          <w:tcPr>
            <w:cnfStyle w:val="001000000000" w:firstRow="0" w:lastRow="0" w:firstColumn="1" w:lastColumn="0" w:oddVBand="0" w:evenVBand="0" w:oddHBand="0" w:evenHBand="0" w:firstRowFirstColumn="0" w:firstRowLastColumn="0" w:lastRowFirstColumn="0" w:lastRowLastColumn="0"/>
            <w:tcW w:w="4135" w:type="dxa"/>
            <w:tcBorders>
              <w:right w:val="single" w:sz="4" w:space="0" w:color="86BC25" w:themeColor="accent1"/>
            </w:tcBorders>
          </w:tcPr>
          <w:p w14:paraId="48E10494" w14:textId="77777777" w:rsidR="00F3249F" w:rsidRPr="00DD6590" w:rsidRDefault="00F3249F" w:rsidP="00FA1392">
            <w:pPr>
              <w:spacing w:before="0"/>
              <w:rPr>
                <w:rFonts w:asciiTheme="minorHAnsi" w:hAnsiTheme="minorHAnsi"/>
                <w:b w:val="0"/>
                <w:sz w:val="16"/>
                <w:szCs w:val="16"/>
              </w:rPr>
            </w:pPr>
            <w:r w:rsidRPr="00DD6590">
              <w:rPr>
                <w:rFonts w:asciiTheme="minorHAnsi" w:hAnsiTheme="minorHAnsi"/>
                <w:b w:val="0"/>
                <w:sz w:val="16"/>
                <w:szCs w:val="16"/>
              </w:rPr>
              <w:t>PO4 – Infraštruktúra vodnej dopravy (TEN-T CORE)</w:t>
            </w:r>
          </w:p>
        </w:tc>
        <w:tc>
          <w:tcPr>
            <w:tcW w:w="2430" w:type="dxa"/>
            <w:tcBorders>
              <w:left w:val="single" w:sz="4" w:space="0" w:color="86BC25" w:themeColor="accent1"/>
              <w:right w:val="single" w:sz="4" w:space="0" w:color="86BC25" w:themeColor="accent1"/>
            </w:tcBorders>
          </w:tcPr>
          <w:p w14:paraId="7B797010" w14:textId="77777777" w:rsidR="00F3249F" w:rsidRPr="00DD6590" w:rsidRDefault="00F3249F" w:rsidP="00FA1392">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13 700 000 EUR</w:t>
            </w:r>
          </w:p>
        </w:tc>
        <w:tc>
          <w:tcPr>
            <w:tcW w:w="2610" w:type="dxa"/>
            <w:tcBorders>
              <w:left w:val="single" w:sz="4" w:space="0" w:color="86BC25" w:themeColor="accent1"/>
            </w:tcBorders>
          </w:tcPr>
          <w:p w14:paraId="7CCD0EE5" w14:textId="77777777" w:rsidR="00F3249F" w:rsidRPr="00DD6590" w:rsidRDefault="00F3249F" w:rsidP="00FA1392">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137 000 000 EUR</w:t>
            </w:r>
          </w:p>
        </w:tc>
      </w:tr>
      <w:tr w:rsidR="00F3249F" w:rsidRPr="00DD6590" w14:paraId="2375C2CD" w14:textId="77777777" w:rsidTr="00D802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5" w:type="dxa"/>
            <w:tcBorders>
              <w:right w:val="single" w:sz="4" w:space="0" w:color="86BC25" w:themeColor="accent1"/>
            </w:tcBorders>
          </w:tcPr>
          <w:p w14:paraId="50F67E7A" w14:textId="77777777" w:rsidR="00F3249F" w:rsidRPr="00DD6590" w:rsidRDefault="00F3249F" w:rsidP="00FA1392">
            <w:pPr>
              <w:spacing w:before="0"/>
              <w:rPr>
                <w:rFonts w:asciiTheme="minorHAnsi" w:hAnsiTheme="minorHAnsi"/>
                <w:b w:val="0"/>
                <w:sz w:val="16"/>
                <w:szCs w:val="16"/>
              </w:rPr>
            </w:pPr>
            <w:r w:rsidRPr="00DD6590">
              <w:rPr>
                <w:rFonts w:asciiTheme="minorHAnsi" w:hAnsiTheme="minorHAnsi"/>
                <w:b w:val="0"/>
                <w:sz w:val="16"/>
                <w:szCs w:val="16"/>
              </w:rPr>
              <w:t>PO5 – Železničná infraštruktúra</w:t>
            </w:r>
          </w:p>
        </w:tc>
        <w:tc>
          <w:tcPr>
            <w:tcW w:w="2430" w:type="dxa"/>
            <w:tcBorders>
              <w:left w:val="single" w:sz="4" w:space="0" w:color="86BC25" w:themeColor="accent1"/>
              <w:right w:val="single" w:sz="4" w:space="0" w:color="86BC25" w:themeColor="accent1"/>
            </w:tcBorders>
          </w:tcPr>
          <w:p w14:paraId="1B5EE64A" w14:textId="77777777" w:rsidR="00F3249F" w:rsidRPr="00DD6590" w:rsidRDefault="00F3249F" w:rsidP="00FA1392">
            <w:pPr>
              <w:spacing w:befor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99 611 375 EUR</w:t>
            </w:r>
          </w:p>
        </w:tc>
        <w:tc>
          <w:tcPr>
            <w:tcW w:w="2610" w:type="dxa"/>
            <w:tcBorders>
              <w:left w:val="single" w:sz="4" w:space="0" w:color="86BC25" w:themeColor="accent1"/>
            </w:tcBorders>
          </w:tcPr>
          <w:p w14:paraId="22B561CD" w14:textId="77777777" w:rsidR="00F3249F" w:rsidRPr="00DD6590" w:rsidRDefault="00F3249F" w:rsidP="00FA1392">
            <w:pPr>
              <w:spacing w:befor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332 037 915 EUR</w:t>
            </w:r>
          </w:p>
        </w:tc>
      </w:tr>
      <w:tr w:rsidR="00F3249F" w:rsidRPr="00DD6590" w14:paraId="39050034" w14:textId="77777777" w:rsidTr="00D802C3">
        <w:tc>
          <w:tcPr>
            <w:cnfStyle w:val="001000000000" w:firstRow="0" w:lastRow="0" w:firstColumn="1" w:lastColumn="0" w:oddVBand="0" w:evenVBand="0" w:oddHBand="0" w:evenHBand="0" w:firstRowFirstColumn="0" w:firstRowLastColumn="0" w:lastRowFirstColumn="0" w:lastRowLastColumn="0"/>
            <w:tcW w:w="4135" w:type="dxa"/>
            <w:tcBorders>
              <w:right w:val="single" w:sz="4" w:space="0" w:color="86BC25" w:themeColor="accent1"/>
            </w:tcBorders>
          </w:tcPr>
          <w:p w14:paraId="77BEF754" w14:textId="77777777" w:rsidR="00F3249F" w:rsidRPr="00DD6590" w:rsidRDefault="00F3249F" w:rsidP="00FA1392">
            <w:pPr>
              <w:spacing w:before="0"/>
              <w:rPr>
                <w:rFonts w:asciiTheme="minorHAnsi" w:hAnsiTheme="minorHAnsi"/>
                <w:b w:val="0"/>
                <w:sz w:val="16"/>
                <w:szCs w:val="16"/>
              </w:rPr>
            </w:pPr>
            <w:r w:rsidRPr="00DD6590">
              <w:rPr>
                <w:rFonts w:asciiTheme="minorHAnsi" w:hAnsiTheme="minorHAnsi"/>
                <w:b w:val="0"/>
                <w:sz w:val="16"/>
                <w:szCs w:val="16"/>
              </w:rPr>
              <w:t>PO6 – Cestná infraštruktúra (mimo TEN-T CORE)</w:t>
            </w:r>
          </w:p>
        </w:tc>
        <w:tc>
          <w:tcPr>
            <w:tcW w:w="2430" w:type="dxa"/>
            <w:tcBorders>
              <w:left w:val="single" w:sz="4" w:space="0" w:color="86BC25" w:themeColor="accent1"/>
              <w:right w:val="single" w:sz="4" w:space="0" w:color="86BC25" w:themeColor="accent1"/>
            </w:tcBorders>
          </w:tcPr>
          <w:p w14:paraId="74234EF1" w14:textId="77777777" w:rsidR="00F3249F" w:rsidRPr="00DD6590" w:rsidRDefault="00F3249F" w:rsidP="00FA1392">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142 575 656 EUR</w:t>
            </w:r>
          </w:p>
        </w:tc>
        <w:tc>
          <w:tcPr>
            <w:tcW w:w="2610" w:type="dxa"/>
            <w:tcBorders>
              <w:left w:val="single" w:sz="4" w:space="0" w:color="86BC25" w:themeColor="accent1"/>
            </w:tcBorders>
          </w:tcPr>
          <w:p w14:paraId="09987674" w14:textId="77777777" w:rsidR="00F3249F" w:rsidRPr="00DD6590" w:rsidRDefault="00F3249F" w:rsidP="00FA1392">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570 302 622 EUR</w:t>
            </w:r>
          </w:p>
        </w:tc>
      </w:tr>
      <w:tr w:rsidR="00F3249F" w:rsidRPr="00DD6590" w14:paraId="17B11AAF" w14:textId="77777777" w:rsidTr="00D802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5" w:type="dxa"/>
            <w:tcBorders>
              <w:right w:val="single" w:sz="4" w:space="0" w:color="86BC25" w:themeColor="accent1"/>
            </w:tcBorders>
          </w:tcPr>
          <w:p w14:paraId="0FE5B059" w14:textId="77777777" w:rsidR="00F3249F" w:rsidRPr="00DD6590" w:rsidRDefault="00F3249F" w:rsidP="00FA1392">
            <w:pPr>
              <w:spacing w:before="0"/>
              <w:rPr>
                <w:rFonts w:asciiTheme="minorHAnsi" w:hAnsiTheme="minorHAnsi"/>
                <w:b w:val="0"/>
                <w:sz w:val="16"/>
                <w:szCs w:val="16"/>
              </w:rPr>
            </w:pPr>
            <w:r w:rsidRPr="00DD6590">
              <w:rPr>
                <w:rFonts w:asciiTheme="minorHAnsi" w:hAnsiTheme="minorHAnsi"/>
                <w:b w:val="0"/>
                <w:sz w:val="16"/>
                <w:szCs w:val="16"/>
              </w:rPr>
              <w:t xml:space="preserve">PO7 – Informačná spoločnosť </w:t>
            </w:r>
          </w:p>
        </w:tc>
        <w:tc>
          <w:tcPr>
            <w:tcW w:w="2430" w:type="dxa"/>
            <w:tcBorders>
              <w:left w:val="single" w:sz="4" w:space="0" w:color="86BC25" w:themeColor="accent1"/>
              <w:right w:val="single" w:sz="4" w:space="0" w:color="86BC25" w:themeColor="accent1"/>
            </w:tcBorders>
          </w:tcPr>
          <w:p w14:paraId="79AAF78F" w14:textId="77777777" w:rsidR="00F3249F" w:rsidRPr="00DD6590" w:rsidRDefault="00F3249F" w:rsidP="00FA1392">
            <w:pPr>
              <w:spacing w:befor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132 097 309 EUR</w:t>
            </w:r>
          </w:p>
        </w:tc>
        <w:tc>
          <w:tcPr>
            <w:tcW w:w="2610" w:type="dxa"/>
            <w:tcBorders>
              <w:left w:val="single" w:sz="4" w:space="0" w:color="86BC25" w:themeColor="accent1"/>
            </w:tcBorders>
          </w:tcPr>
          <w:p w14:paraId="2EE80FC1" w14:textId="77777777" w:rsidR="00F3249F" w:rsidRPr="00DD6590" w:rsidRDefault="00F3249F" w:rsidP="00FA1392">
            <w:pPr>
              <w:spacing w:befor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927 155 226 EUR</w:t>
            </w:r>
          </w:p>
        </w:tc>
      </w:tr>
    </w:tbl>
    <w:p w14:paraId="00596E90" w14:textId="77777777" w:rsidR="00F3249F" w:rsidRPr="00DD6590" w:rsidRDefault="00F3249F" w:rsidP="00F3249F">
      <w:pPr>
        <w:pStyle w:val="06Normal"/>
      </w:pPr>
    </w:p>
    <w:p w14:paraId="01F34CA1" w14:textId="77777777" w:rsidR="00D802C3" w:rsidRPr="00DD6590" w:rsidRDefault="00D802C3" w:rsidP="00F3249F">
      <w:pPr>
        <w:pStyle w:val="06Normal"/>
      </w:pPr>
    </w:p>
    <w:p w14:paraId="6DCF6672" w14:textId="0FAB2A5D" w:rsidR="00AC6D57" w:rsidRPr="00DD6590" w:rsidRDefault="00AC6D57" w:rsidP="00AC6D57">
      <w:pPr>
        <w:pStyle w:val="Caption"/>
      </w:pPr>
      <w:bookmarkStart w:id="24" w:name="_Toc9855579"/>
      <w:bookmarkStart w:id="25" w:name="_Toc5091975"/>
      <w:r w:rsidRPr="00DD6590">
        <w:lastRenderedPageBreak/>
        <w:t xml:space="preserve">Graf </w:t>
      </w:r>
      <w:r w:rsidRPr="00DD6590">
        <w:fldChar w:fldCharType="begin"/>
      </w:r>
      <w:r w:rsidRPr="00DD6590">
        <w:instrText xml:space="preserve"> SEQ Graf_ \* ARABIC </w:instrText>
      </w:r>
      <w:r w:rsidRPr="00DD6590">
        <w:fldChar w:fldCharType="separate"/>
      </w:r>
      <w:r w:rsidR="00DC3C97">
        <w:rPr>
          <w:noProof/>
        </w:rPr>
        <w:t>2</w:t>
      </w:r>
      <w:r w:rsidRPr="00DD6590">
        <w:fldChar w:fldCharType="end"/>
      </w:r>
      <w:r w:rsidRPr="00DD6590">
        <w:t xml:space="preserve"> Porovnanie plnenia finančných ukazovateľov výkonnostného rámca s celkovým čerpaním a kontrahovaním k 31.</w:t>
      </w:r>
      <w:r w:rsidR="00B15A0A">
        <w:t xml:space="preserve"> </w:t>
      </w:r>
      <w:r w:rsidRPr="00DD6590">
        <w:t>12.</w:t>
      </w:r>
      <w:r w:rsidR="00B15A0A">
        <w:t xml:space="preserve"> </w:t>
      </w:r>
      <w:r w:rsidRPr="00DD6590">
        <w:t>2018</w:t>
      </w:r>
      <w:bookmarkEnd w:id="24"/>
    </w:p>
    <w:bookmarkEnd w:id="25"/>
    <w:p w14:paraId="489A2733" w14:textId="77777777" w:rsidR="00BA3CE4" w:rsidRPr="00DD6590" w:rsidRDefault="00015214" w:rsidP="00BA3CE4">
      <w:pPr>
        <w:pStyle w:val="06Normal"/>
        <w:keepNext/>
        <w:jc w:val="left"/>
      </w:pPr>
      <w:r>
        <w:rPr>
          <w:noProof/>
          <w:lang w:eastAsia="sk-SK"/>
        </w:rPr>
        <w:drawing>
          <wp:inline distT="0" distB="0" distL="0" distR="0" wp14:anchorId="1DFF5469" wp14:editId="6755F02C">
            <wp:extent cx="5499100" cy="3213100"/>
            <wp:effectExtent l="0" t="0" r="635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99100" cy="3213100"/>
                    </a:xfrm>
                    <a:prstGeom prst="rect">
                      <a:avLst/>
                    </a:prstGeom>
                    <a:noFill/>
                  </pic:spPr>
                </pic:pic>
              </a:graphicData>
            </a:graphic>
          </wp:inline>
        </w:drawing>
      </w:r>
    </w:p>
    <w:p w14:paraId="5CDEBCFF" w14:textId="77777777" w:rsidR="00F3249F" w:rsidRPr="00DD6590" w:rsidRDefault="00F3249F" w:rsidP="00F3249F">
      <w:pPr>
        <w:rPr>
          <w:szCs w:val="18"/>
        </w:rPr>
      </w:pPr>
      <w:r w:rsidRPr="00DD6590">
        <w:rPr>
          <w:szCs w:val="18"/>
        </w:rPr>
        <w:t xml:space="preserve">OPII má </w:t>
      </w:r>
      <w:r w:rsidR="00AD3290" w:rsidRPr="00DD6590">
        <w:rPr>
          <w:szCs w:val="18"/>
        </w:rPr>
        <w:t>definované</w:t>
      </w:r>
      <w:r w:rsidRPr="00DD6590">
        <w:rPr>
          <w:szCs w:val="18"/>
        </w:rPr>
        <w:t xml:space="preserve"> pre jednotlivé PO a ŠC špecifické výsledkové ukazovatele a spoločné a špecifické výstupové ukazovatele, ktoré umožňujú efektívne monitorovanie realizácie programu </w:t>
      </w:r>
      <w:r w:rsidR="00B15A0A">
        <w:rPr>
          <w:szCs w:val="18"/>
        </w:rPr>
        <w:t>v nadväznosti</w:t>
      </w:r>
      <w:r w:rsidRPr="00DD6590">
        <w:rPr>
          <w:szCs w:val="18"/>
        </w:rPr>
        <w:t xml:space="preserve"> na stanovené ciele. Tieto ukazovatele sú uvedené v nasledovných kapitolách, pri popise jednotlivých PO</w:t>
      </w:r>
      <w:r w:rsidR="00220CE4" w:rsidRPr="00DD6590">
        <w:rPr>
          <w:szCs w:val="18"/>
        </w:rPr>
        <w:t xml:space="preserve"> a ŠC</w:t>
      </w:r>
      <w:r w:rsidRPr="00DD6590">
        <w:rPr>
          <w:szCs w:val="18"/>
        </w:rPr>
        <w:t xml:space="preserve">. </w:t>
      </w:r>
      <w:r w:rsidR="00EB6255" w:rsidRPr="00DD6590">
        <w:rPr>
          <w:szCs w:val="18"/>
        </w:rPr>
        <w:t>Spoločné ukazovatele sú dané z úrovne EK, aby bolo možné efektívne porovnávať výsledky dosiahnuté intervenciami z fondov EÚ naprieč jednotlivými krajinami a špecifické ukazovatele boli definované zo strany RO OPII</w:t>
      </w:r>
      <w:r w:rsidR="00FA7C9A" w:rsidRPr="00DD6590">
        <w:rPr>
          <w:szCs w:val="18"/>
        </w:rPr>
        <w:t xml:space="preserve"> a odsúhlasené EK</w:t>
      </w:r>
      <w:r w:rsidR="00EB6255" w:rsidRPr="00DD6590">
        <w:rPr>
          <w:szCs w:val="18"/>
        </w:rPr>
        <w:t>.</w:t>
      </w:r>
    </w:p>
    <w:p w14:paraId="68056AEF" w14:textId="77777777" w:rsidR="007C1DC5" w:rsidRDefault="007C1DC5" w:rsidP="007C1DC5">
      <w:bookmarkStart w:id="26" w:name="_Toc1132682"/>
      <w:r>
        <w:t>Výsledky analýzy realizovaných projektov, výsledkových a výstupových ukazovateľov podľa jednotlivých prioritných osí sú spracované v prílohách tohto dokumentu:</w:t>
      </w:r>
    </w:p>
    <w:p w14:paraId="32E44D09" w14:textId="77777777" w:rsidR="007C1DC5" w:rsidRDefault="007C1DC5" w:rsidP="007C1DC5">
      <w:pPr>
        <w:pStyle w:val="ListParagraph"/>
        <w:numPr>
          <w:ilvl w:val="2"/>
          <w:numId w:val="96"/>
        </w:numPr>
        <w:ind w:left="450" w:hanging="450"/>
      </w:pPr>
      <w:r>
        <w:t xml:space="preserve">Príloha č. 4 </w:t>
      </w:r>
      <w:r w:rsidR="00B15A0A">
        <w:rPr>
          <w:i/>
        </w:rPr>
        <w:t>‒</w:t>
      </w:r>
      <w:r>
        <w:t xml:space="preserve"> Výsledky analýzy prioritnej osi 1 </w:t>
      </w:r>
      <w:r w:rsidR="00B15A0A">
        <w:rPr>
          <w:i/>
        </w:rPr>
        <w:t xml:space="preserve">‒ </w:t>
      </w:r>
      <w:r w:rsidRPr="00EE1CD8">
        <w:t>Železničná infraštruktúra (TEN-T CORE) a obnova  mobilných prostriedkov</w:t>
      </w:r>
    </w:p>
    <w:p w14:paraId="7B6C0F8F" w14:textId="77777777" w:rsidR="007C1DC5" w:rsidRDefault="007C1DC5" w:rsidP="007C1DC5">
      <w:pPr>
        <w:pStyle w:val="ListParagraph"/>
        <w:numPr>
          <w:ilvl w:val="2"/>
          <w:numId w:val="96"/>
        </w:numPr>
        <w:ind w:left="450" w:hanging="450"/>
      </w:pPr>
      <w:r>
        <w:t xml:space="preserve">Príloha č. 5 </w:t>
      </w:r>
      <w:r w:rsidR="00B15A0A">
        <w:rPr>
          <w:i/>
        </w:rPr>
        <w:t>‒</w:t>
      </w:r>
      <w:r>
        <w:t xml:space="preserve"> Výsledky analýzy prioritnej osi 2 </w:t>
      </w:r>
      <w:r w:rsidR="00B15A0A">
        <w:rPr>
          <w:i/>
        </w:rPr>
        <w:t xml:space="preserve">‒ </w:t>
      </w:r>
      <w:r w:rsidRPr="00DD6590">
        <w:t>Cestná infraštruktúra (TEN-T</w:t>
      </w:r>
      <w:r w:rsidR="00B15A0A" w:rsidRPr="00DD6590">
        <w:t>)</w:t>
      </w:r>
    </w:p>
    <w:p w14:paraId="7B9DD11D" w14:textId="77777777" w:rsidR="007C1DC5" w:rsidRDefault="007C1DC5" w:rsidP="007C1DC5">
      <w:pPr>
        <w:pStyle w:val="ListParagraph"/>
        <w:numPr>
          <w:ilvl w:val="2"/>
          <w:numId w:val="96"/>
        </w:numPr>
        <w:ind w:left="450" w:hanging="450"/>
      </w:pPr>
      <w:r>
        <w:t xml:space="preserve">Príloha č. 6 </w:t>
      </w:r>
      <w:r w:rsidR="00B15A0A">
        <w:rPr>
          <w:i/>
        </w:rPr>
        <w:t>‒</w:t>
      </w:r>
      <w:r>
        <w:t xml:space="preserve"> Výsledky analýzy prioritnej osi 3 </w:t>
      </w:r>
      <w:r w:rsidR="00B15A0A">
        <w:rPr>
          <w:i/>
        </w:rPr>
        <w:t xml:space="preserve">‒ </w:t>
      </w:r>
      <w:r w:rsidRPr="00EE1CD8">
        <w:t>Verejná osobná doprava</w:t>
      </w:r>
    </w:p>
    <w:p w14:paraId="706C4296" w14:textId="77777777" w:rsidR="007C1DC5" w:rsidRPr="00EE1CD8" w:rsidRDefault="007C1DC5" w:rsidP="007C1DC5">
      <w:pPr>
        <w:pStyle w:val="ListParagraph"/>
        <w:numPr>
          <w:ilvl w:val="2"/>
          <w:numId w:val="96"/>
        </w:numPr>
        <w:ind w:left="450" w:hanging="450"/>
      </w:pPr>
      <w:r>
        <w:t xml:space="preserve">Príloha č. 7 </w:t>
      </w:r>
      <w:r w:rsidR="00B15A0A">
        <w:rPr>
          <w:i/>
        </w:rPr>
        <w:t>‒</w:t>
      </w:r>
      <w:r>
        <w:t xml:space="preserve"> Výsledky analýzy prioritnej osi 4</w:t>
      </w:r>
      <w:r w:rsidRPr="00EE1CD8">
        <w:t xml:space="preserve"> </w:t>
      </w:r>
      <w:r w:rsidR="00B15A0A">
        <w:rPr>
          <w:i/>
        </w:rPr>
        <w:t xml:space="preserve">‒ </w:t>
      </w:r>
      <w:r w:rsidRPr="00EE1CD8">
        <w:t>Infraštruktúra vodnej dopravy (TEN-T CORE</w:t>
      </w:r>
      <w:r w:rsidR="00B15A0A" w:rsidRPr="00EE1CD8">
        <w:t>)</w:t>
      </w:r>
    </w:p>
    <w:p w14:paraId="04437AD8" w14:textId="77777777" w:rsidR="007C1DC5" w:rsidRPr="00EE1CD8" w:rsidRDefault="007C1DC5" w:rsidP="007C1DC5">
      <w:pPr>
        <w:pStyle w:val="ListParagraph"/>
        <w:numPr>
          <w:ilvl w:val="2"/>
          <w:numId w:val="96"/>
        </w:numPr>
        <w:ind w:left="450" w:hanging="450"/>
      </w:pPr>
      <w:r>
        <w:t xml:space="preserve">Príloha č. 8 </w:t>
      </w:r>
      <w:r w:rsidR="00B15A0A">
        <w:rPr>
          <w:i/>
        </w:rPr>
        <w:t>‒</w:t>
      </w:r>
      <w:r>
        <w:t xml:space="preserve"> Výsledky analýzy prioritnej osi 5 </w:t>
      </w:r>
      <w:r w:rsidR="00B15A0A">
        <w:rPr>
          <w:i/>
        </w:rPr>
        <w:t xml:space="preserve">‒ </w:t>
      </w:r>
      <w:r w:rsidRPr="00EE1CD8">
        <w:t>Železničná infraštruktúra</w:t>
      </w:r>
    </w:p>
    <w:p w14:paraId="2BCC57CF" w14:textId="77777777" w:rsidR="007C1DC5" w:rsidRDefault="007C1DC5" w:rsidP="007C1DC5">
      <w:pPr>
        <w:pStyle w:val="ListParagraph"/>
        <w:numPr>
          <w:ilvl w:val="2"/>
          <w:numId w:val="96"/>
        </w:numPr>
        <w:ind w:left="450" w:hanging="450"/>
      </w:pPr>
      <w:r>
        <w:t xml:space="preserve">Príloha č. 9 </w:t>
      </w:r>
      <w:r w:rsidR="00B15A0A">
        <w:rPr>
          <w:i/>
        </w:rPr>
        <w:t>‒</w:t>
      </w:r>
      <w:r>
        <w:t xml:space="preserve"> Výsledky analýzy prioritnej osi 6 </w:t>
      </w:r>
      <w:r w:rsidR="00B15A0A">
        <w:rPr>
          <w:i/>
        </w:rPr>
        <w:t xml:space="preserve">‒ </w:t>
      </w:r>
      <w:r w:rsidRPr="00EE1CD8">
        <w:t>Cestná infraštruktúra (mimo TEN-T CORE</w:t>
      </w:r>
      <w:r w:rsidR="00B15A0A" w:rsidRPr="00EE1CD8">
        <w:t>)</w:t>
      </w:r>
    </w:p>
    <w:p w14:paraId="59516189" w14:textId="77777777" w:rsidR="007C1DC5" w:rsidRDefault="007C1DC5" w:rsidP="007C1DC5">
      <w:pPr>
        <w:pStyle w:val="ListParagraph"/>
        <w:numPr>
          <w:ilvl w:val="2"/>
          <w:numId w:val="96"/>
        </w:numPr>
        <w:ind w:left="450" w:hanging="450"/>
      </w:pPr>
      <w:r>
        <w:t xml:space="preserve">Príloha č. 10 </w:t>
      </w:r>
      <w:r w:rsidR="00B15A0A">
        <w:rPr>
          <w:i/>
        </w:rPr>
        <w:t>‒</w:t>
      </w:r>
      <w:r>
        <w:t xml:space="preserve"> Výsledky analýzy prioritnej osi 7 </w:t>
      </w:r>
      <w:r w:rsidR="00B15A0A">
        <w:rPr>
          <w:i/>
        </w:rPr>
        <w:t xml:space="preserve">‒ </w:t>
      </w:r>
      <w:r>
        <w:t>Informačná spoločnosť</w:t>
      </w:r>
    </w:p>
    <w:p w14:paraId="2217AD99" w14:textId="77777777" w:rsidR="007C1DC5" w:rsidRDefault="007C1DC5" w:rsidP="007C1DC5"/>
    <w:p w14:paraId="016B7E7C" w14:textId="77777777" w:rsidR="007C1DC5" w:rsidRDefault="007C1DC5" w:rsidP="007C1DC5"/>
    <w:p w14:paraId="13DFFB7E" w14:textId="77777777" w:rsidR="007C1DC5" w:rsidRDefault="007C1DC5">
      <w:pPr>
        <w:spacing w:before="0" w:after="200" w:line="276" w:lineRule="auto"/>
        <w:jc w:val="left"/>
      </w:pPr>
      <w:r>
        <w:br w:type="page"/>
      </w:r>
    </w:p>
    <w:p w14:paraId="12BFDD34" w14:textId="77777777" w:rsidR="00725CA5" w:rsidRPr="003F5A01" w:rsidRDefault="009B588C" w:rsidP="00A63338">
      <w:pPr>
        <w:pStyle w:val="Sectiontitle"/>
        <w:outlineLvl w:val="0"/>
      </w:pPr>
      <w:bookmarkStart w:id="27" w:name="_Toc10709710"/>
      <w:r w:rsidRPr="003F5A01">
        <w:lastRenderedPageBreak/>
        <w:t>Z</w:t>
      </w:r>
      <w:r w:rsidR="00725CA5" w:rsidRPr="003F5A01">
        <w:t>isteni</w:t>
      </w:r>
      <w:bookmarkEnd w:id="26"/>
      <w:r w:rsidR="00377D44" w:rsidRPr="003F5A01">
        <w:t>a</w:t>
      </w:r>
      <w:bookmarkEnd w:id="27"/>
    </w:p>
    <w:p w14:paraId="6595DD5B" w14:textId="77777777" w:rsidR="00F41009" w:rsidRPr="00DD6590" w:rsidRDefault="00F41009" w:rsidP="00255B0C">
      <w:pPr>
        <w:pStyle w:val="Heading1"/>
      </w:pPr>
      <w:bookmarkStart w:id="28" w:name="_Ref6314159"/>
      <w:bookmarkStart w:id="29" w:name="_Ref6314170"/>
      <w:bookmarkStart w:id="30" w:name="_Toc10709711"/>
      <w:r w:rsidRPr="00DD6590">
        <w:t>Hlavné zistenia analýzy Prioritnej osi 1 – Železničná infraštruktúra (TEN-T CORE) a obnova mobilných prostriedkov</w:t>
      </w:r>
      <w:bookmarkEnd w:id="28"/>
      <w:bookmarkEnd w:id="29"/>
      <w:bookmarkEnd w:id="30"/>
    </w:p>
    <w:p w14:paraId="4159DCDD" w14:textId="77777777" w:rsidR="00F41009" w:rsidRPr="00072349" w:rsidRDefault="00F41009" w:rsidP="005015F0">
      <w:r w:rsidRPr="00DD6590">
        <w:t xml:space="preserve">Vyhodnotenie </w:t>
      </w:r>
      <w:r w:rsidR="00595170" w:rsidRPr="00DD6590">
        <w:t>napĺňania</w:t>
      </w:r>
      <w:r w:rsidRPr="00DD6590">
        <w:t xml:space="preserve"> ukazovateľov</w:t>
      </w:r>
      <w:r w:rsidR="00BB30E7" w:rsidRPr="00DD6590">
        <w:t xml:space="preserve"> a realizácie projektov</w:t>
      </w:r>
      <w:r w:rsidRPr="00DD6590">
        <w:t xml:space="preserve"> v rámci PO1 je uvedené v</w:t>
      </w:r>
      <w:r w:rsidR="00072349">
        <w:t> prílohe č. 4 -</w:t>
      </w:r>
      <w:r w:rsidR="00072349" w:rsidRPr="00072349">
        <w:t>Výsledky analýzy Prioritnej osi 1 – Železničná infraštruktúra (TEN-T CORE) a obnova mobilných prostriedkov</w:t>
      </w:r>
    </w:p>
    <w:p w14:paraId="2F7AE28D" w14:textId="77777777" w:rsidR="003A1C6F" w:rsidRPr="00DD6590" w:rsidRDefault="003A1C6F" w:rsidP="005015F0">
      <w:r w:rsidRPr="00DD6590">
        <w:t xml:space="preserve">V rámci prebiehajúcich projektov čerpanie rámcovo zodpovedá harmonogramu </w:t>
      </w:r>
      <w:r w:rsidR="00962E4B" w:rsidRPr="00DD6590">
        <w:t>stanoven</w:t>
      </w:r>
      <w:r w:rsidR="00962E4B">
        <w:t>ému</w:t>
      </w:r>
      <w:r w:rsidR="00962E4B" w:rsidRPr="00DD6590">
        <w:t xml:space="preserve"> </w:t>
      </w:r>
      <w:r w:rsidRPr="00DD6590">
        <w:t xml:space="preserve">v ŽoNFP. </w:t>
      </w:r>
    </w:p>
    <w:p w14:paraId="18521404" w14:textId="77777777" w:rsidR="00F41009" w:rsidRPr="00DD6590" w:rsidRDefault="00F41009" w:rsidP="005015F0">
      <w:r w:rsidRPr="00DD6590">
        <w:t xml:space="preserve">Hodnotením PO1 bolo zistené, že v prípade, ak nebudú zazmluvnené ďalšie projekty </w:t>
      </w:r>
      <w:r w:rsidR="009917EA" w:rsidRPr="00DD6590">
        <w:t>prospievajúce</w:t>
      </w:r>
      <w:r w:rsidRPr="00DD6590">
        <w:t xml:space="preserve"> k dosiahnutiu cieľových hodnôt ukazovateľov, naplnenie cieľových hodnôt niektorých výsledkových a výstupových ukazovateľov </w:t>
      </w:r>
      <w:r w:rsidR="00962E4B" w:rsidRPr="00DD6590">
        <w:t xml:space="preserve">bude </w:t>
      </w:r>
      <w:r w:rsidR="006D749F" w:rsidRPr="00DD6590">
        <w:t>problematické</w:t>
      </w:r>
      <w:r w:rsidRPr="00DD6590">
        <w:t xml:space="preserve">. </w:t>
      </w:r>
    </w:p>
    <w:p w14:paraId="1FD69A4C" w14:textId="77777777" w:rsidR="00F41009" w:rsidRPr="00DD6590" w:rsidRDefault="00F41009" w:rsidP="005015F0">
      <w:pPr>
        <w:rPr>
          <w:szCs w:val="18"/>
        </w:rPr>
      </w:pPr>
      <w:r w:rsidRPr="00DD6590">
        <w:t xml:space="preserve">Jedná sa </w:t>
      </w:r>
      <w:r w:rsidRPr="00DD6590">
        <w:rPr>
          <w:szCs w:val="18"/>
        </w:rPr>
        <w:t xml:space="preserve">konkrétne o nasledujúce ukazovatele: </w:t>
      </w:r>
    </w:p>
    <w:p w14:paraId="06EA1BF9" w14:textId="77777777" w:rsidR="00F41009" w:rsidRPr="00DD6590" w:rsidRDefault="00F41009" w:rsidP="003E761D">
      <w:pPr>
        <w:pStyle w:val="ListParagraph"/>
        <w:numPr>
          <w:ilvl w:val="0"/>
          <w:numId w:val="14"/>
        </w:numPr>
        <w:contextualSpacing/>
        <w:rPr>
          <w:rFonts w:asciiTheme="minorHAnsi" w:hAnsiTheme="minorHAnsi"/>
          <w:szCs w:val="18"/>
        </w:rPr>
      </w:pPr>
      <w:r w:rsidRPr="00DD6590">
        <w:rPr>
          <w:rFonts w:asciiTheme="minorHAnsi" w:hAnsiTheme="minorHAnsi"/>
          <w:szCs w:val="18"/>
        </w:rPr>
        <w:t xml:space="preserve">Ukazovatele výsledku: </w:t>
      </w:r>
    </w:p>
    <w:p w14:paraId="5E3FC213" w14:textId="77777777" w:rsidR="00F41009" w:rsidRPr="00DD6590" w:rsidRDefault="00F41009" w:rsidP="003E761D">
      <w:pPr>
        <w:pStyle w:val="ListParagraph"/>
        <w:numPr>
          <w:ilvl w:val="1"/>
          <w:numId w:val="14"/>
        </w:numPr>
        <w:contextualSpacing/>
        <w:rPr>
          <w:rFonts w:asciiTheme="minorHAnsi" w:hAnsiTheme="minorHAnsi"/>
          <w:szCs w:val="18"/>
        </w:rPr>
      </w:pPr>
      <w:r w:rsidRPr="00DD6590">
        <w:rPr>
          <w:rFonts w:asciiTheme="minorHAnsi" w:hAnsiTheme="minorHAnsi"/>
          <w:szCs w:val="18"/>
        </w:rPr>
        <w:t>Úspora času v železničnej doprave na základnej sieti TEN-T</w:t>
      </w:r>
      <w:r w:rsidR="00DF1DFC" w:rsidRPr="00DD6590">
        <w:rPr>
          <w:rFonts w:asciiTheme="minorHAnsi" w:hAnsiTheme="minorHAnsi"/>
          <w:szCs w:val="18"/>
        </w:rPr>
        <w:t xml:space="preserve"> – je potrebné  schváliť projekty, ktorých </w:t>
      </w:r>
      <w:r w:rsidR="00F1516F" w:rsidRPr="00DD6590">
        <w:rPr>
          <w:rFonts w:asciiTheme="minorHAnsi" w:hAnsiTheme="minorHAnsi"/>
          <w:szCs w:val="18"/>
        </w:rPr>
        <w:t xml:space="preserve">príspevok k napĺňaniu ukazovateľa </w:t>
      </w:r>
      <w:r w:rsidR="00DF1DFC" w:rsidRPr="00DD6590">
        <w:rPr>
          <w:rFonts w:asciiTheme="minorHAnsi" w:hAnsiTheme="minorHAnsi"/>
          <w:szCs w:val="18"/>
        </w:rPr>
        <w:t xml:space="preserve">úspora času bude </w:t>
      </w:r>
      <w:r w:rsidR="00F1516F" w:rsidRPr="00DD6590">
        <w:rPr>
          <w:rFonts w:asciiTheme="minorHAnsi" w:hAnsiTheme="minorHAnsi"/>
          <w:szCs w:val="18"/>
        </w:rPr>
        <w:t xml:space="preserve">minimálne </w:t>
      </w:r>
      <w:r w:rsidR="002B63DA" w:rsidRPr="00DD6590">
        <w:rPr>
          <w:rFonts w:asciiTheme="minorHAnsi" w:hAnsiTheme="minorHAnsi"/>
          <w:szCs w:val="18"/>
        </w:rPr>
        <w:t>1</w:t>
      </w:r>
      <w:r w:rsidR="00962E4B">
        <w:rPr>
          <w:rFonts w:asciiTheme="minorHAnsi" w:hAnsiTheme="minorHAnsi"/>
          <w:szCs w:val="18"/>
        </w:rPr>
        <w:t> </w:t>
      </w:r>
      <w:r w:rsidR="002B63DA" w:rsidRPr="00DD6590">
        <w:rPr>
          <w:rFonts w:asciiTheme="minorHAnsi" w:hAnsiTheme="minorHAnsi"/>
          <w:szCs w:val="18"/>
        </w:rPr>
        <w:t>353</w:t>
      </w:r>
      <w:r w:rsidR="00962E4B">
        <w:rPr>
          <w:rFonts w:asciiTheme="minorHAnsi" w:hAnsiTheme="minorHAnsi"/>
          <w:szCs w:val="18"/>
        </w:rPr>
        <w:t> </w:t>
      </w:r>
      <w:r w:rsidR="002B63DA" w:rsidRPr="00DD6590">
        <w:rPr>
          <w:rFonts w:asciiTheme="minorHAnsi" w:hAnsiTheme="minorHAnsi"/>
          <w:szCs w:val="18"/>
        </w:rPr>
        <w:t>698 EUR.</w:t>
      </w:r>
    </w:p>
    <w:p w14:paraId="4F052998" w14:textId="77777777" w:rsidR="00F41009" w:rsidRPr="00DD6590" w:rsidRDefault="00F41009" w:rsidP="003E761D">
      <w:pPr>
        <w:pStyle w:val="ListParagraph"/>
        <w:numPr>
          <w:ilvl w:val="1"/>
          <w:numId w:val="14"/>
        </w:numPr>
        <w:contextualSpacing/>
        <w:rPr>
          <w:rFonts w:asciiTheme="minorHAnsi" w:hAnsiTheme="minorHAnsi"/>
          <w:szCs w:val="18"/>
        </w:rPr>
      </w:pPr>
      <w:r w:rsidRPr="00DD6590">
        <w:rPr>
          <w:rFonts w:asciiTheme="minorHAnsi" w:hAnsiTheme="minorHAnsi"/>
          <w:szCs w:val="18"/>
        </w:rPr>
        <w:t>Celkový objem medzinárodnej prepravy na koridore TEN-T</w:t>
      </w:r>
      <w:r w:rsidR="005015F0" w:rsidRPr="00DD6590">
        <w:rPr>
          <w:rFonts w:asciiTheme="minorHAnsi" w:hAnsiTheme="minorHAnsi"/>
          <w:szCs w:val="18"/>
        </w:rPr>
        <w:t xml:space="preserve"> </w:t>
      </w:r>
      <w:r w:rsidRPr="00DD6590">
        <w:rPr>
          <w:rFonts w:asciiTheme="minorHAnsi" w:hAnsiTheme="minorHAnsi"/>
          <w:szCs w:val="18"/>
        </w:rPr>
        <w:t xml:space="preserve">Orient/východné Stredomorie (úsek št. hr. ČR/SR </w:t>
      </w:r>
      <w:r w:rsidR="00962E4B">
        <w:rPr>
          <w:i/>
        </w:rPr>
        <w:t>‒</w:t>
      </w:r>
      <w:r w:rsidRPr="00DD6590">
        <w:rPr>
          <w:rFonts w:asciiTheme="minorHAnsi" w:hAnsiTheme="minorHAnsi"/>
          <w:szCs w:val="18"/>
        </w:rPr>
        <w:t xml:space="preserve"> Kúty – Bratislava)</w:t>
      </w:r>
      <w:r w:rsidR="002B63DA" w:rsidRPr="00DD6590">
        <w:rPr>
          <w:rFonts w:asciiTheme="minorHAnsi" w:hAnsiTheme="minorHAnsi"/>
          <w:szCs w:val="18"/>
        </w:rPr>
        <w:t xml:space="preserve"> – do konca roka 2018 nebol realizovaný ani jeden projekt, ktorý by napĺňal tento ukazovateľ.</w:t>
      </w:r>
      <w:r w:rsidR="00A80E0A" w:rsidRPr="00DD6590">
        <w:rPr>
          <w:rFonts w:asciiTheme="minorHAnsi" w:hAnsiTheme="minorHAnsi"/>
          <w:szCs w:val="18"/>
        </w:rPr>
        <w:t xml:space="preserve"> </w:t>
      </w:r>
      <w:r w:rsidR="00F1516F" w:rsidRPr="00DD6590">
        <w:rPr>
          <w:rFonts w:asciiTheme="minorHAnsi" w:hAnsiTheme="minorHAnsi"/>
          <w:szCs w:val="18"/>
        </w:rPr>
        <w:t>Na</w:t>
      </w:r>
      <w:r w:rsidR="00A80E0A" w:rsidRPr="00DD6590">
        <w:rPr>
          <w:rFonts w:asciiTheme="minorHAnsi" w:hAnsiTheme="minorHAnsi"/>
          <w:szCs w:val="18"/>
        </w:rPr>
        <w:t xml:space="preserve"> základe štatistík ŽSR je</w:t>
      </w:r>
      <w:r w:rsidR="00F1516F" w:rsidRPr="00DD6590">
        <w:rPr>
          <w:rFonts w:asciiTheme="minorHAnsi" w:hAnsiTheme="minorHAnsi"/>
          <w:szCs w:val="18"/>
        </w:rPr>
        <w:t xml:space="preserve"> však</w:t>
      </w:r>
      <w:r w:rsidR="00A80E0A" w:rsidRPr="00DD6590">
        <w:rPr>
          <w:rFonts w:asciiTheme="minorHAnsi" w:hAnsiTheme="minorHAnsi"/>
          <w:szCs w:val="18"/>
        </w:rPr>
        <w:t xml:space="preserve"> tento ukazovateľ </w:t>
      </w:r>
      <w:r w:rsidR="00595170" w:rsidRPr="00DD6590">
        <w:rPr>
          <w:rFonts w:asciiTheme="minorHAnsi" w:hAnsiTheme="minorHAnsi"/>
          <w:szCs w:val="18"/>
        </w:rPr>
        <w:t>splnený</w:t>
      </w:r>
      <w:r w:rsidR="00A80E0A" w:rsidRPr="00DD6590">
        <w:rPr>
          <w:rFonts w:asciiTheme="minorHAnsi" w:hAnsiTheme="minorHAnsi"/>
          <w:szCs w:val="18"/>
        </w:rPr>
        <w:t xml:space="preserve">. </w:t>
      </w:r>
    </w:p>
    <w:p w14:paraId="14198C21" w14:textId="77777777" w:rsidR="00F41009" w:rsidRPr="00DD6590" w:rsidRDefault="00F41009" w:rsidP="003E761D">
      <w:pPr>
        <w:pStyle w:val="ListParagraph"/>
        <w:numPr>
          <w:ilvl w:val="0"/>
          <w:numId w:val="14"/>
        </w:numPr>
        <w:contextualSpacing/>
        <w:rPr>
          <w:rFonts w:asciiTheme="minorHAnsi" w:hAnsiTheme="minorHAnsi"/>
          <w:szCs w:val="18"/>
        </w:rPr>
      </w:pPr>
      <w:r w:rsidRPr="00DD6590">
        <w:rPr>
          <w:rFonts w:asciiTheme="minorHAnsi" w:hAnsiTheme="minorHAnsi"/>
          <w:szCs w:val="18"/>
        </w:rPr>
        <w:t>Ukazovatele výstupu:</w:t>
      </w:r>
    </w:p>
    <w:p w14:paraId="332194A6" w14:textId="77777777" w:rsidR="00F41009" w:rsidRPr="00DD6590" w:rsidRDefault="00F41009" w:rsidP="003E761D">
      <w:pPr>
        <w:pStyle w:val="ListParagraph"/>
        <w:numPr>
          <w:ilvl w:val="1"/>
          <w:numId w:val="14"/>
        </w:numPr>
        <w:contextualSpacing/>
        <w:rPr>
          <w:rFonts w:asciiTheme="minorHAnsi" w:hAnsiTheme="minorHAnsi"/>
          <w:szCs w:val="18"/>
        </w:rPr>
      </w:pPr>
      <w:r w:rsidRPr="00DD6590">
        <w:rPr>
          <w:rFonts w:asciiTheme="minorHAnsi" w:hAnsiTheme="minorHAnsi"/>
          <w:szCs w:val="18"/>
        </w:rPr>
        <w:t>Celková dĺžka rekonštruovaných alebo zrenovovaných železničných tretí v sieti TEN-T</w:t>
      </w:r>
      <w:r w:rsidR="002B63DA" w:rsidRPr="00DD6590">
        <w:rPr>
          <w:rFonts w:asciiTheme="minorHAnsi" w:hAnsiTheme="minorHAnsi"/>
          <w:szCs w:val="18"/>
        </w:rPr>
        <w:t xml:space="preserve"> </w:t>
      </w:r>
      <w:r w:rsidR="00962E4B">
        <w:rPr>
          <w:i/>
        </w:rPr>
        <w:t>‒</w:t>
      </w:r>
      <w:r w:rsidR="002B63DA" w:rsidRPr="00DD6590">
        <w:rPr>
          <w:rFonts w:asciiTheme="minorHAnsi" w:hAnsiTheme="minorHAnsi"/>
          <w:szCs w:val="18"/>
        </w:rPr>
        <w:t xml:space="preserve"> </w:t>
      </w:r>
      <w:r w:rsidRPr="00DD6590">
        <w:rPr>
          <w:rFonts w:asciiTheme="minorHAnsi" w:hAnsiTheme="minorHAnsi"/>
          <w:szCs w:val="18"/>
        </w:rPr>
        <w:t xml:space="preserve"> </w:t>
      </w:r>
      <w:r w:rsidR="002B63DA" w:rsidRPr="00DD6590">
        <w:rPr>
          <w:rFonts w:asciiTheme="minorHAnsi" w:hAnsiTheme="minorHAnsi"/>
          <w:szCs w:val="18"/>
        </w:rPr>
        <w:t xml:space="preserve">je potrebné zazmluvniť </w:t>
      </w:r>
      <w:r w:rsidR="00A80E0A" w:rsidRPr="00DD6590">
        <w:rPr>
          <w:rFonts w:asciiTheme="minorHAnsi" w:hAnsiTheme="minorHAnsi"/>
          <w:szCs w:val="18"/>
        </w:rPr>
        <w:t>projekt</w:t>
      </w:r>
      <w:r w:rsidR="00595170" w:rsidRPr="00DD6590">
        <w:rPr>
          <w:rFonts w:asciiTheme="minorHAnsi" w:hAnsiTheme="minorHAnsi"/>
          <w:szCs w:val="18"/>
        </w:rPr>
        <w:t>y</w:t>
      </w:r>
      <w:r w:rsidR="00A80E0A" w:rsidRPr="00DD6590">
        <w:rPr>
          <w:rFonts w:asciiTheme="minorHAnsi" w:hAnsiTheme="minorHAnsi"/>
          <w:szCs w:val="18"/>
        </w:rPr>
        <w:t xml:space="preserve"> s</w:t>
      </w:r>
      <w:r w:rsidR="00595170" w:rsidRPr="00DD6590">
        <w:rPr>
          <w:rFonts w:asciiTheme="minorHAnsi" w:hAnsiTheme="minorHAnsi"/>
          <w:szCs w:val="18"/>
        </w:rPr>
        <w:t xml:space="preserve"> výslednou hodnotou ukazovateľa aspoň </w:t>
      </w:r>
      <w:r w:rsidR="002B63DA" w:rsidRPr="00DD6590">
        <w:rPr>
          <w:rFonts w:asciiTheme="minorHAnsi" w:hAnsiTheme="minorHAnsi"/>
          <w:szCs w:val="18"/>
        </w:rPr>
        <w:t>10,11 km.</w:t>
      </w:r>
    </w:p>
    <w:p w14:paraId="2A5062CC" w14:textId="77777777" w:rsidR="00F41009" w:rsidRPr="00DD6590" w:rsidRDefault="00F41009" w:rsidP="003E761D">
      <w:pPr>
        <w:pStyle w:val="ListParagraph"/>
        <w:numPr>
          <w:ilvl w:val="1"/>
          <w:numId w:val="14"/>
        </w:numPr>
        <w:contextualSpacing/>
        <w:rPr>
          <w:rFonts w:asciiTheme="minorHAnsi" w:hAnsiTheme="minorHAnsi"/>
          <w:szCs w:val="18"/>
        </w:rPr>
      </w:pPr>
      <w:r w:rsidRPr="00DD6590">
        <w:rPr>
          <w:rFonts w:asciiTheme="minorHAnsi" w:hAnsiTheme="minorHAnsi"/>
          <w:szCs w:val="18"/>
        </w:rPr>
        <w:t>Dĺžka železničných tratí TEN-T CORE so zavedeným systémom ERTMS</w:t>
      </w:r>
      <w:r w:rsidR="002B63DA" w:rsidRPr="00DD6590">
        <w:rPr>
          <w:rFonts w:asciiTheme="minorHAnsi" w:hAnsiTheme="minorHAnsi"/>
          <w:szCs w:val="18"/>
        </w:rPr>
        <w:t xml:space="preserve"> </w:t>
      </w:r>
      <w:r w:rsidR="008311FE" w:rsidRPr="00DD6590">
        <w:rPr>
          <w:rFonts w:asciiTheme="minorHAnsi" w:hAnsiTheme="minorHAnsi"/>
          <w:szCs w:val="18"/>
        </w:rPr>
        <w:t>–</w:t>
      </w:r>
      <w:r w:rsidR="002B63DA" w:rsidRPr="00DD6590">
        <w:rPr>
          <w:rFonts w:asciiTheme="minorHAnsi" w:hAnsiTheme="minorHAnsi"/>
          <w:szCs w:val="18"/>
        </w:rPr>
        <w:t xml:space="preserve"> </w:t>
      </w:r>
      <w:r w:rsidR="008311FE" w:rsidRPr="00DD6590">
        <w:rPr>
          <w:rFonts w:asciiTheme="minorHAnsi" w:hAnsiTheme="minorHAnsi"/>
          <w:szCs w:val="18"/>
        </w:rPr>
        <w:t xml:space="preserve">do konca roka 2018 nebol schválený ani jeden projekt, ktorý by napĺňal tento ukazovateľ. </w:t>
      </w:r>
    </w:p>
    <w:p w14:paraId="68EAF251" w14:textId="77777777" w:rsidR="00F41009" w:rsidRPr="00DD6590" w:rsidRDefault="00F41009" w:rsidP="005015F0">
      <w:pPr>
        <w:rPr>
          <w:szCs w:val="18"/>
        </w:rPr>
      </w:pPr>
      <w:r w:rsidRPr="00DD6590">
        <w:rPr>
          <w:szCs w:val="18"/>
        </w:rPr>
        <w:t>Naplnenie finančn</w:t>
      </w:r>
      <w:r w:rsidR="00EE0535" w:rsidRPr="00DD6590">
        <w:rPr>
          <w:szCs w:val="18"/>
        </w:rPr>
        <w:t>ého</w:t>
      </w:r>
      <w:r w:rsidRPr="00DD6590">
        <w:rPr>
          <w:szCs w:val="18"/>
        </w:rPr>
        <w:t xml:space="preserve"> ukazovateľ</w:t>
      </w:r>
      <w:r w:rsidR="00EE0535" w:rsidRPr="00DD6590">
        <w:rPr>
          <w:szCs w:val="18"/>
        </w:rPr>
        <w:t>a</w:t>
      </w:r>
      <w:r w:rsidRPr="00DD6590">
        <w:rPr>
          <w:szCs w:val="18"/>
        </w:rPr>
        <w:t xml:space="preserve"> by vzhľadom </w:t>
      </w:r>
      <w:r w:rsidR="00962E4B">
        <w:rPr>
          <w:szCs w:val="18"/>
        </w:rPr>
        <w:t>na</w:t>
      </w:r>
      <w:r w:rsidR="00962E4B" w:rsidRPr="00DD6590">
        <w:rPr>
          <w:szCs w:val="18"/>
        </w:rPr>
        <w:t xml:space="preserve"> </w:t>
      </w:r>
      <w:r w:rsidRPr="00DD6590">
        <w:rPr>
          <w:szCs w:val="18"/>
        </w:rPr>
        <w:t>poč</w:t>
      </w:r>
      <w:r w:rsidR="00962E4B">
        <w:rPr>
          <w:szCs w:val="18"/>
        </w:rPr>
        <w:t>e</w:t>
      </w:r>
      <w:r w:rsidRPr="00DD6590">
        <w:rPr>
          <w:szCs w:val="18"/>
        </w:rPr>
        <w:t xml:space="preserve">t plánovaných projektov nemalo byť v ohrození. </w:t>
      </w:r>
    </w:p>
    <w:p w14:paraId="185EEED6" w14:textId="77777777" w:rsidR="008B0472" w:rsidRPr="00DD6590" w:rsidRDefault="008B0472" w:rsidP="008B0472">
      <w:pPr>
        <w:rPr>
          <w:szCs w:val="18"/>
        </w:rPr>
      </w:pPr>
      <w:r w:rsidRPr="00DD6590">
        <w:rPr>
          <w:szCs w:val="18"/>
        </w:rPr>
        <w:t xml:space="preserve">Ukazovateľ </w:t>
      </w:r>
      <w:r w:rsidR="00962E4B">
        <w:rPr>
          <w:i/>
        </w:rPr>
        <w:t>‒</w:t>
      </w:r>
      <w:r w:rsidRPr="00DD6590">
        <w:rPr>
          <w:szCs w:val="18"/>
        </w:rPr>
        <w:t xml:space="preserve"> Dĺžka železničných tratí TEN-T CORE so zavedeným systémom ERTMS je prijímateľom určený len pre jeden plánovaný projekt, ktorý ho pravdepodobne naplní na 80</w:t>
      </w:r>
      <w:r w:rsidR="00962E4B">
        <w:rPr>
          <w:szCs w:val="18"/>
        </w:rPr>
        <w:t xml:space="preserve"> </w:t>
      </w:r>
      <w:r w:rsidRPr="00DD6590">
        <w:rPr>
          <w:szCs w:val="18"/>
        </w:rPr>
        <w:t xml:space="preserve">%. </w:t>
      </w:r>
    </w:p>
    <w:p w14:paraId="0CFD4051" w14:textId="62C09B33" w:rsidR="00595170" w:rsidRPr="00DD6590" w:rsidRDefault="00641C24" w:rsidP="005015F0">
      <w:pPr>
        <w:rPr>
          <w:szCs w:val="18"/>
        </w:rPr>
      </w:pPr>
      <w:r w:rsidRPr="00DD6590">
        <w:rPr>
          <w:szCs w:val="18"/>
        </w:rPr>
        <w:t>Okrem už implementovaných projektov v</w:t>
      </w:r>
      <w:r w:rsidR="00EE0535" w:rsidRPr="00DD6590">
        <w:rPr>
          <w:szCs w:val="18"/>
        </w:rPr>
        <w:t xml:space="preserve"> rámci PO1 </w:t>
      </w:r>
      <w:r w:rsidR="00595170" w:rsidRPr="00DD6590">
        <w:rPr>
          <w:szCs w:val="18"/>
        </w:rPr>
        <w:t xml:space="preserve">žiadatelia deklarujú </w:t>
      </w:r>
      <w:r w:rsidRPr="00DD6590">
        <w:rPr>
          <w:szCs w:val="18"/>
        </w:rPr>
        <w:t xml:space="preserve">ďalších </w:t>
      </w:r>
      <w:r w:rsidR="00C3221F" w:rsidRPr="00DD6590">
        <w:rPr>
          <w:szCs w:val="18"/>
        </w:rPr>
        <w:t xml:space="preserve">šesť </w:t>
      </w:r>
      <w:r w:rsidR="007013A8" w:rsidRPr="00DD6590">
        <w:rPr>
          <w:szCs w:val="18"/>
        </w:rPr>
        <w:t>projektov</w:t>
      </w:r>
      <w:r w:rsidR="00736A98" w:rsidRPr="00DD6590">
        <w:rPr>
          <w:szCs w:val="18"/>
        </w:rPr>
        <w:t xml:space="preserve"> (viď. </w:t>
      </w:r>
      <w:r w:rsidR="00736A98" w:rsidRPr="00DD6590">
        <w:rPr>
          <w:szCs w:val="18"/>
        </w:rPr>
        <w:fldChar w:fldCharType="begin"/>
      </w:r>
      <w:r w:rsidR="00736A98" w:rsidRPr="00DD6590">
        <w:rPr>
          <w:szCs w:val="18"/>
        </w:rPr>
        <w:instrText xml:space="preserve"> REF _Ref8659325 \h </w:instrText>
      </w:r>
      <w:r w:rsidR="00DD6590">
        <w:rPr>
          <w:szCs w:val="18"/>
        </w:rPr>
        <w:instrText xml:space="preserve"> \* MERGEFORMAT </w:instrText>
      </w:r>
      <w:r w:rsidR="00736A98" w:rsidRPr="00DD6590">
        <w:rPr>
          <w:szCs w:val="18"/>
        </w:rPr>
      </w:r>
      <w:r w:rsidR="00736A98" w:rsidRPr="00DD6590">
        <w:rPr>
          <w:szCs w:val="18"/>
        </w:rPr>
        <w:fldChar w:fldCharType="separate"/>
      </w:r>
      <w:r w:rsidR="00DC3C97" w:rsidRPr="00DD6590">
        <w:t xml:space="preserve">Schéma </w:t>
      </w:r>
      <w:r w:rsidR="00DC3C97">
        <w:rPr>
          <w:noProof/>
        </w:rPr>
        <w:t>2</w:t>
      </w:r>
      <w:r w:rsidR="00DC3C97" w:rsidRPr="00DD6590">
        <w:t xml:space="preserve"> Matica plánované projekty vs. naplnenie ukazovateľov na úrovni PO1</w:t>
      </w:r>
      <w:r w:rsidR="00736A98" w:rsidRPr="00DD6590">
        <w:rPr>
          <w:szCs w:val="18"/>
        </w:rPr>
        <w:fldChar w:fldCharType="end"/>
      </w:r>
      <w:r w:rsidR="00736A98" w:rsidRPr="00DD6590">
        <w:rPr>
          <w:szCs w:val="18"/>
        </w:rPr>
        <w:t>)</w:t>
      </w:r>
      <w:r w:rsidR="007013A8" w:rsidRPr="00DD6590">
        <w:rPr>
          <w:szCs w:val="18"/>
        </w:rPr>
        <w:t>, ktoré by chceli realizovať v rámci tohto programového obdobia</w:t>
      </w:r>
      <w:r w:rsidR="00962E4B">
        <w:rPr>
          <w:szCs w:val="18"/>
        </w:rPr>
        <w:t>,</w:t>
      </w:r>
      <w:r w:rsidR="007013A8" w:rsidRPr="00DD6590">
        <w:rPr>
          <w:szCs w:val="18"/>
        </w:rPr>
        <w:t xml:space="preserve"> a to v celkovej hodnote </w:t>
      </w:r>
      <w:r w:rsidR="00CB5F8A" w:rsidRPr="00DD6590">
        <w:rPr>
          <w:szCs w:val="18"/>
        </w:rPr>
        <w:t xml:space="preserve">699 </w:t>
      </w:r>
      <w:r w:rsidR="007013A8" w:rsidRPr="00DD6590">
        <w:rPr>
          <w:szCs w:val="18"/>
        </w:rPr>
        <w:t>mil. EUR, čo presahuje voľnú alokáciu o</w:t>
      </w:r>
      <w:r w:rsidR="00962E4B">
        <w:rPr>
          <w:szCs w:val="18"/>
        </w:rPr>
        <w:t> </w:t>
      </w:r>
      <w:r w:rsidR="007013A8" w:rsidRPr="00DD6590">
        <w:rPr>
          <w:szCs w:val="18"/>
        </w:rPr>
        <w:t>3</w:t>
      </w:r>
      <w:r w:rsidR="00053D7B" w:rsidRPr="00DD6590">
        <w:rPr>
          <w:szCs w:val="18"/>
        </w:rPr>
        <w:t>7</w:t>
      </w:r>
      <w:r w:rsidR="007013A8" w:rsidRPr="00DD6590">
        <w:rPr>
          <w:szCs w:val="18"/>
        </w:rPr>
        <w:t>0</w:t>
      </w:r>
      <w:r w:rsidR="00962E4B">
        <w:rPr>
          <w:szCs w:val="18"/>
        </w:rPr>
        <w:t xml:space="preserve"> </w:t>
      </w:r>
      <w:r w:rsidR="007013A8" w:rsidRPr="00DD6590">
        <w:rPr>
          <w:szCs w:val="18"/>
        </w:rPr>
        <w:t>%</w:t>
      </w:r>
      <w:r w:rsidR="00847AD7" w:rsidRPr="00DD6590">
        <w:rPr>
          <w:szCs w:val="18"/>
        </w:rPr>
        <w:t xml:space="preserve">. </w:t>
      </w:r>
      <w:r w:rsidR="00C54295" w:rsidRPr="00DD6590">
        <w:rPr>
          <w:szCs w:val="18"/>
        </w:rPr>
        <w:t>Dva projekty</w:t>
      </w:r>
      <w:r w:rsidR="00962E4B">
        <w:rPr>
          <w:szCs w:val="18"/>
        </w:rPr>
        <w:t>,</w:t>
      </w:r>
      <w:r w:rsidR="00C54295" w:rsidRPr="00DD6590">
        <w:rPr>
          <w:szCs w:val="18"/>
        </w:rPr>
        <w:t xml:space="preserve"> ktoré majú odhadovaný termín ukončenia až v rokoch 2024, resp. 2025</w:t>
      </w:r>
      <w:r w:rsidR="00962E4B">
        <w:rPr>
          <w:szCs w:val="18"/>
        </w:rPr>
        <w:t>,</w:t>
      </w:r>
      <w:r w:rsidR="00C54295" w:rsidRPr="00DD6590">
        <w:rPr>
          <w:szCs w:val="18"/>
        </w:rPr>
        <w:t xml:space="preserve"> sú v hodnote </w:t>
      </w:r>
      <w:r w:rsidR="00CB5F8A" w:rsidRPr="00DD6590">
        <w:rPr>
          <w:szCs w:val="18"/>
        </w:rPr>
        <w:t>48</w:t>
      </w:r>
      <w:r w:rsidR="008B0472" w:rsidRPr="00DD6590">
        <w:rPr>
          <w:szCs w:val="18"/>
        </w:rPr>
        <w:t>2</w:t>
      </w:r>
      <w:r w:rsidR="00C54295" w:rsidRPr="00DD6590">
        <w:rPr>
          <w:szCs w:val="18"/>
        </w:rPr>
        <w:t xml:space="preserve"> mil</w:t>
      </w:r>
      <w:r w:rsidR="00CB5F8A" w:rsidRPr="00DD6590">
        <w:rPr>
          <w:szCs w:val="18"/>
        </w:rPr>
        <w:t>.</w:t>
      </w:r>
      <w:r w:rsidR="00C54295" w:rsidRPr="00DD6590">
        <w:rPr>
          <w:szCs w:val="18"/>
        </w:rPr>
        <w:t xml:space="preserve"> EUR. </w:t>
      </w:r>
      <w:r w:rsidR="004D2EA9" w:rsidRPr="00DD6590">
        <w:rPr>
          <w:szCs w:val="18"/>
        </w:rPr>
        <w:t>Projekty, ktoré majú obdobie realizácie v rámci tohto programového obdobia sú v hodnote 217 mil. EUR a presahujú voľnú alokáciu o 23 mil. EUR.</w:t>
      </w:r>
    </w:p>
    <w:p w14:paraId="6A991C38" w14:textId="77777777" w:rsidR="006F6F8B" w:rsidRPr="00DD6590" w:rsidRDefault="00962E4B" w:rsidP="005015F0">
      <w:pPr>
        <w:rPr>
          <w:szCs w:val="18"/>
        </w:rPr>
      </w:pPr>
      <w:r>
        <w:rPr>
          <w:szCs w:val="18"/>
        </w:rPr>
        <w:t>P</w:t>
      </w:r>
      <w:r w:rsidR="00595170" w:rsidRPr="00DD6590">
        <w:rPr>
          <w:szCs w:val="18"/>
        </w:rPr>
        <w:t>lánovan</w:t>
      </w:r>
      <w:r w:rsidR="0066395C" w:rsidRPr="00DD6590">
        <w:rPr>
          <w:szCs w:val="18"/>
        </w:rPr>
        <w:t>é</w:t>
      </w:r>
      <w:r w:rsidR="00595170" w:rsidRPr="00DD6590">
        <w:rPr>
          <w:szCs w:val="18"/>
        </w:rPr>
        <w:t xml:space="preserve"> p</w:t>
      </w:r>
      <w:r w:rsidR="00847AD7" w:rsidRPr="00DD6590">
        <w:rPr>
          <w:szCs w:val="18"/>
        </w:rPr>
        <w:t>rojekt</w:t>
      </w:r>
      <w:r w:rsidR="0066395C" w:rsidRPr="00DD6590">
        <w:rPr>
          <w:szCs w:val="18"/>
        </w:rPr>
        <w:t>y</w:t>
      </w:r>
      <w:r w:rsidR="00847AD7" w:rsidRPr="00DD6590">
        <w:rPr>
          <w:szCs w:val="18"/>
        </w:rPr>
        <w:t xml:space="preserve"> </w:t>
      </w:r>
      <w:r w:rsidR="00595170" w:rsidRPr="00DD6590">
        <w:rPr>
          <w:szCs w:val="18"/>
        </w:rPr>
        <w:t>ŽSR –</w:t>
      </w:r>
      <w:r w:rsidR="00847AD7" w:rsidRPr="00DD6590">
        <w:rPr>
          <w:szCs w:val="18"/>
        </w:rPr>
        <w:t xml:space="preserve"> </w:t>
      </w:r>
      <w:r w:rsidR="00595170" w:rsidRPr="00DD6590">
        <w:rPr>
          <w:szCs w:val="18"/>
        </w:rPr>
        <w:t>„</w:t>
      </w:r>
      <w:r w:rsidR="00847AD7" w:rsidRPr="00DD6590">
        <w:rPr>
          <w:szCs w:val="18"/>
        </w:rPr>
        <w:t>Modernizáci</w:t>
      </w:r>
      <w:r w:rsidR="00595170" w:rsidRPr="00DD6590">
        <w:rPr>
          <w:szCs w:val="18"/>
        </w:rPr>
        <w:t>a</w:t>
      </w:r>
      <w:r w:rsidR="00847AD7" w:rsidRPr="00DD6590">
        <w:rPr>
          <w:szCs w:val="18"/>
        </w:rPr>
        <w:t xml:space="preserve"> trate št. hr. ČR/SR -  Čadca – </w:t>
      </w:r>
      <w:r w:rsidR="00F1516F" w:rsidRPr="00DD6590">
        <w:rPr>
          <w:szCs w:val="18"/>
        </w:rPr>
        <w:t>Krásno</w:t>
      </w:r>
      <w:r w:rsidR="00847AD7" w:rsidRPr="00DD6590">
        <w:rPr>
          <w:szCs w:val="18"/>
        </w:rPr>
        <w:t xml:space="preserve"> n/K, úsek Čadca – </w:t>
      </w:r>
      <w:r w:rsidR="00F1516F" w:rsidRPr="00DD6590">
        <w:rPr>
          <w:szCs w:val="18"/>
        </w:rPr>
        <w:t>Krásno</w:t>
      </w:r>
      <w:r w:rsidR="00847AD7" w:rsidRPr="00DD6590">
        <w:rPr>
          <w:szCs w:val="18"/>
        </w:rPr>
        <w:t xml:space="preserve"> n/K, 1. a 2. etapa</w:t>
      </w:r>
      <w:r w:rsidR="00595170" w:rsidRPr="00DD6590">
        <w:rPr>
          <w:szCs w:val="18"/>
        </w:rPr>
        <w:t>“</w:t>
      </w:r>
      <w:r w:rsidR="00847AD7" w:rsidRPr="00DD6590">
        <w:rPr>
          <w:szCs w:val="18"/>
        </w:rPr>
        <w:t xml:space="preserve"> </w:t>
      </w:r>
      <w:r w:rsidR="0066395C" w:rsidRPr="00DD6590">
        <w:rPr>
          <w:szCs w:val="18"/>
        </w:rPr>
        <w:t>a „Modernizácia trate Žilina – Košice, úsek trate Liptovský Mikuláš – Poprad-Tatry (mimo), 5. etapa (úsek Paludza-Lipt</w:t>
      </w:r>
      <w:r w:rsidR="006855C0" w:rsidRPr="00DD6590">
        <w:rPr>
          <w:szCs w:val="18"/>
        </w:rPr>
        <w:t>ovský</w:t>
      </w:r>
      <w:r w:rsidR="0066395C" w:rsidRPr="00DD6590">
        <w:rPr>
          <w:szCs w:val="18"/>
        </w:rPr>
        <w:t xml:space="preserve"> Hrádok)“ majú</w:t>
      </w:r>
      <w:r>
        <w:rPr>
          <w:szCs w:val="18"/>
        </w:rPr>
        <w:t xml:space="preserve"> však</w:t>
      </w:r>
      <w:r w:rsidR="00847AD7" w:rsidRPr="00DD6590">
        <w:rPr>
          <w:szCs w:val="18"/>
        </w:rPr>
        <w:t xml:space="preserve"> termín realizácie </w:t>
      </w:r>
      <w:r>
        <w:rPr>
          <w:szCs w:val="18"/>
        </w:rPr>
        <w:t xml:space="preserve">v rokoch </w:t>
      </w:r>
      <w:r w:rsidR="00847AD7" w:rsidRPr="00DD6590">
        <w:rPr>
          <w:szCs w:val="18"/>
        </w:rPr>
        <w:t xml:space="preserve">2021 až </w:t>
      </w:r>
      <w:r w:rsidR="0066395C" w:rsidRPr="00DD6590">
        <w:rPr>
          <w:szCs w:val="18"/>
        </w:rPr>
        <w:t>2024/</w:t>
      </w:r>
      <w:r w:rsidR="006855C0" w:rsidRPr="00DD6590">
        <w:rPr>
          <w:szCs w:val="18"/>
        </w:rPr>
        <w:t>20</w:t>
      </w:r>
      <w:r w:rsidR="0066395C" w:rsidRPr="00DD6590">
        <w:rPr>
          <w:szCs w:val="18"/>
        </w:rPr>
        <w:t>25</w:t>
      </w:r>
      <w:r w:rsidR="006855C0" w:rsidRPr="00DD6590">
        <w:rPr>
          <w:szCs w:val="18"/>
        </w:rPr>
        <w:t xml:space="preserve">, tzn. </w:t>
      </w:r>
      <w:r w:rsidR="00815EBA" w:rsidRPr="00DD6590">
        <w:rPr>
          <w:szCs w:val="18"/>
        </w:rPr>
        <w:t>p</w:t>
      </w:r>
      <w:r w:rsidR="006855C0" w:rsidRPr="00DD6590">
        <w:rPr>
          <w:szCs w:val="18"/>
        </w:rPr>
        <w:t>rijímateľ nepredpokladá ich ukončenie v rámci programového obdobia</w:t>
      </w:r>
      <w:r w:rsidR="0066395C" w:rsidRPr="00DD6590">
        <w:rPr>
          <w:szCs w:val="18"/>
        </w:rPr>
        <w:t>.</w:t>
      </w:r>
      <w:r w:rsidR="00736A98" w:rsidRPr="00DD6590">
        <w:rPr>
          <w:szCs w:val="18"/>
        </w:rPr>
        <w:t xml:space="preserve"> Fázovaním projektu by došlo k plneniu finančných ukazovateľov, nie však výstupových a</w:t>
      </w:r>
      <w:r>
        <w:rPr>
          <w:szCs w:val="18"/>
        </w:rPr>
        <w:t> </w:t>
      </w:r>
      <w:r w:rsidR="00736A98" w:rsidRPr="00DD6590">
        <w:rPr>
          <w:szCs w:val="18"/>
        </w:rPr>
        <w:t>výsledkových</w:t>
      </w:r>
      <w:r>
        <w:rPr>
          <w:szCs w:val="18"/>
        </w:rPr>
        <w:t>,</w:t>
      </w:r>
      <w:r w:rsidR="00736A98" w:rsidRPr="00DD6590">
        <w:rPr>
          <w:szCs w:val="18"/>
        </w:rPr>
        <w:t xml:space="preserve"> nakoľko ich splnenie je priamo naviazané na ukončenie stavieb a uvedenie do prevádzky.</w:t>
      </w:r>
      <w:r w:rsidR="008B0472" w:rsidRPr="00DD6590">
        <w:rPr>
          <w:szCs w:val="18"/>
        </w:rPr>
        <w:t xml:space="preserve"> Tieto projekty sú v hodnote 482 mil. EUR.</w:t>
      </w:r>
    </w:p>
    <w:p w14:paraId="0EDC8469" w14:textId="77777777" w:rsidR="009B7940" w:rsidRPr="00DD6590" w:rsidRDefault="00847AD7" w:rsidP="005015F0">
      <w:pPr>
        <w:rPr>
          <w:szCs w:val="18"/>
        </w:rPr>
      </w:pPr>
      <w:r w:rsidRPr="00DD6590">
        <w:rPr>
          <w:szCs w:val="18"/>
        </w:rPr>
        <w:t xml:space="preserve">Projekt </w:t>
      </w:r>
      <w:r w:rsidR="00595170" w:rsidRPr="00DD6590">
        <w:rPr>
          <w:szCs w:val="18"/>
        </w:rPr>
        <w:t>„</w:t>
      </w:r>
      <w:r w:rsidRPr="00DD6590">
        <w:rPr>
          <w:szCs w:val="18"/>
        </w:rPr>
        <w:t>ŽSR, dostavba zriaďovacej stanice Žilina Teplička a nadväzujúcej železničnej infraštruktúry v uzle Žilina – realizácia</w:t>
      </w:r>
      <w:r w:rsidR="00595170" w:rsidRPr="00DD6590">
        <w:rPr>
          <w:szCs w:val="18"/>
        </w:rPr>
        <w:t>“</w:t>
      </w:r>
      <w:r w:rsidRPr="00DD6590">
        <w:rPr>
          <w:szCs w:val="18"/>
        </w:rPr>
        <w:t xml:space="preserve"> </w:t>
      </w:r>
      <w:r w:rsidR="00F1516F" w:rsidRPr="00DD6590">
        <w:rPr>
          <w:szCs w:val="18"/>
        </w:rPr>
        <w:t>by mal byť</w:t>
      </w:r>
      <w:r w:rsidRPr="00DD6590">
        <w:rPr>
          <w:szCs w:val="18"/>
        </w:rPr>
        <w:t xml:space="preserve"> rozdelený medzi PO1</w:t>
      </w:r>
      <w:r w:rsidR="009B7940" w:rsidRPr="00DD6590">
        <w:rPr>
          <w:szCs w:val="18"/>
        </w:rPr>
        <w:t xml:space="preserve">, PO5, čo </w:t>
      </w:r>
      <w:r w:rsidR="00F1516F" w:rsidRPr="00DD6590">
        <w:rPr>
          <w:szCs w:val="18"/>
        </w:rPr>
        <w:t xml:space="preserve">by znamenalo </w:t>
      </w:r>
      <w:r w:rsidR="009B7940" w:rsidRPr="00DD6590">
        <w:rPr>
          <w:szCs w:val="18"/>
        </w:rPr>
        <w:t>komplikovan</w:t>
      </w:r>
      <w:r w:rsidR="00F1516F" w:rsidRPr="00DD6590">
        <w:rPr>
          <w:szCs w:val="18"/>
        </w:rPr>
        <w:t>ú</w:t>
      </w:r>
      <w:r w:rsidR="009B7940" w:rsidRPr="00DD6590">
        <w:rPr>
          <w:szCs w:val="18"/>
        </w:rPr>
        <w:t xml:space="preserve"> </w:t>
      </w:r>
      <w:r w:rsidR="00F1516F" w:rsidRPr="00DD6590">
        <w:rPr>
          <w:szCs w:val="18"/>
        </w:rPr>
        <w:t>administráciu a rozdelenie</w:t>
      </w:r>
      <w:r w:rsidR="00595170" w:rsidRPr="00DD6590">
        <w:rPr>
          <w:szCs w:val="18"/>
        </w:rPr>
        <w:t xml:space="preserve"> aktivít do dvoch projektov,</w:t>
      </w:r>
      <w:r w:rsidR="00962E4B">
        <w:rPr>
          <w:szCs w:val="18"/>
        </w:rPr>
        <w:t xml:space="preserve"> pričom</w:t>
      </w:r>
      <w:r w:rsidR="00595170" w:rsidRPr="00DD6590">
        <w:rPr>
          <w:szCs w:val="18"/>
        </w:rPr>
        <w:t xml:space="preserve"> výška NFP je prijímateľom odhadovaná na 167 mi. EUR</w:t>
      </w:r>
      <w:r w:rsidR="009B7940" w:rsidRPr="00DD6590">
        <w:rPr>
          <w:szCs w:val="18"/>
        </w:rPr>
        <w:t>.</w:t>
      </w:r>
      <w:r w:rsidR="00595170" w:rsidRPr="00DD6590">
        <w:rPr>
          <w:szCs w:val="18"/>
        </w:rPr>
        <w:t xml:space="preserve"> Preto odporúčame tento projekt realizovať len v rámci </w:t>
      </w:r>
      <w:r w:rsidR="008C3676" w:rsidRPr="00DD6590">
        <w:rPr>
          <w:szCs w:val="18"/>
        </w:rPr>
        <w:t>jednej prioritnej osi</w:t>
      </w:r>
      <w:r w:rsidR="008B0472" w:rsidRPr="00DD6590">
        <w:rPr>
          <w:szCs w:val="18"/>
        </w:rPr>
        <w:t>,</w:t>
      </w:r>
      <w:r w:rsidR="00595170" w:rsidRPr="00DD6590">
        <w:rPr>
          <w:szCs w:val="18"/>
        </w:rPr>
        <w:t xml:space="preserve"> </w:t>
      </w:r>
      <w:r w:rsidR="004D2EA9" w:rsidRPr="00DD6590">
        <w:t>konkrétne</w:t>
      </w:r>
      <w:r w:rsidR="004A4506" w:rsidRPr="00DD6590">
        <w:t xml:space="preserve"> PO1, </w:t>
      </w:r>
      <w:r w:rsidR="004A4506" w:rsidRPr="00DD6590">
        <w:lastRenderedPageBreak/>
        <w:t>kde by pomohol k naplneniu výstupového ukazovateľa výkonnostného rámca. Presun do PO5 by bol podmienen</w:t>
      </w:r>
      <w:r w:rsidR="00EC0331" w:rsidRPr="00DD6590">
        <w:t xml:space="preserve">ý </w:t>
      </w:r>
      <w:r w:rsidR="004A4506" w:rsidRPr="00DD6590">
        <w:t>navýšením alokácie prioritnej osi 5.</w:t>
      </w:r>
    </w:p>
    <w:p w14:paraId="3CD0717C" w14:textId="77777777" w:rsidR="00E73D0A" w:rsidRPr="00DD6590" w:rsidRDefault="00847AD7" w:rsidP="005015F0">
      <w:pPr>
        <w:rPr>
          <w:szCs w:val="18"/>
        </w:rPr>
      </w:pPr>
      <w:r w:rsidRPr="00DD6590">
        <w:rPr>
          <w:szCs w:val="18"/>
        </w:rPr>
        <w:t xml:space="preserve">Prijímatelia </w:t>
      </w:r>
      <w:r w:rsidR="00F1516F" w:rsidRPr="00DD6590">
        <w:rPr>
          <w:szCs w:val="18"/>
        </w:rPr>
        <w:t>nešpecifikovali</w:t>
      </w:r>
      <w:r w:rsidRPr="00DD6590">
        <w:rPr>
          <w:szCs w:val="18"/>
        </w:rPr>
        <w:t xml:space="preserve"> hodnoty merateľných ukazovateľov, ale vzhľadom </w:t>
      </w:r>
      <w:r w:rsidR="00962E4B">
        <w:rPr>
          <w:szCs w:val="18"/>
        </w:rPr>
        <w:t>na</w:t>
      </w:r>
      <w:r w:rsidR="00962E4B" w:rsidRPr="00DD6590">
        <w:rPr>
          <w:szCs w:val="18"/>
        </w:rPr>
        <w:t> </w:t>
      </w:r>
      <w:r w:rsidRPr="00DD6590">
        <w:rPr>
          <w:szCs w:val="18"/>
        </w:rPr>
        <w:t>poč</w:t>
      </w:r>
      <w:r w:rsidR="00962E4B">
        <w:rPr>
          <w:szCs w:val="18"/>
        </w:rPr>
        <w:t>e</w:t>
      </w:r>
      <w:r w:rsidRPr="00DD6590">
        <w:rPr>
          <w:szCs w:val="18"/>
        </w:rPr>
        <w:t>t projektov je predpoklad, že dané ukazovatele budú naplnené, čo znázorňuje nasledovná matica</w:t>
      </w:r>
      <w:r w:rsidR="00E73D0A" w:rsidRPr="00DD6590">
        <w:rPr>
          <w:szCs w:val="18"/>
        </w:rPr>
        <w:t xml:space="preserve">. </w:t>
      </w:r>
      <w:r w:rsidR="008C3676" w:rsidRPr="00DD6590">
        <w:rPr>
          <w:szCs w:val="18"/>
        </w:rPr>
        <w:t>Disponibilná alokácia</w:t>
      </w:r>
      <w:r w:rsidR="005A45C7" w:rsidRPr="00DD6590">
        <w:rPr>
          <w:szCs w:val="18"/>
        </w:rPr>
        <w:t xml:space="preserve"> PO1 postačuje už len na financovanie prvých</w:t>
      </w:r>
      <w:r w:rsidR="00E73D0A" w:rsidRPr="00DD6590">
        <w:rPr>
          <w:szCs w:val="18"/>
        </w:rPr>
        <w:t xml:space="preserve"> tr</w:t>
      </w:r>
      <w:r w:rsidR="005A45C7" w:rsidRPr="00DD6590">
        <w:rPr>
          <w:szCs w:val="18"/>
        </w:rPr>
        <w:t>och</w:t>
      </w:r>
      <w:r w:rsidR="00E73D0A" w:rsidRPr="00DD6590">
        <w:rPr>
          <w:szCs w:val="18"/>
        </w:rPr>
        <w:t xml:space="preserve"> projekt</w:t>
      </w:r>
      <w:r w:rsidR="005A45C7" w:rsidRPr="00DD6590">
        <w:rPr>
          <w:szCs w:val="18"/>
        </w:rPr>
        <w:t>ov</w:t>
      </w:r>
      <w:r w:rsidR="00E73D0A" w:rsidRPr="00DD6590">
        <w:rPr>
          <w:szCs w:val="18"/>
        </w:rPr>
        <w:t>.</w:t>
      </w:r>
    </w:p>
    <w:p w14:paraId="239E6483" w14:textId="77777777" w:rsidR="00E17868" w:rsidRPr="00DD6590" w:rsidRDefault="00E17868" w:rsidP="00E17868">
      <w:r w:rsidRPr="00DD6590">
        <w:t xml:space="preserve">Vyhodnotenie naplnenia jednotlivých ukazovateľov je farebne rozlíšené nasledovne: </w:t>
      </w:r>
      <w:r w:rsidRPr="00DD6590">
        <w:rPr>
          <w:color w:val="D0EC9F"/>
        </w:rPr>
        <w:t xml:space="preserve">zelená farba </w:t>
      </w:r>
      <w:r w:rsidRPr="00DD6590">
        <w:t xml:space="preserve">– žiadne riziko, </w:t>
      </w:r>
      <w:r w:rsidRPr="00DD6590">
        <w:rPr>
          <w:color w:val="FFD653"/>
        </w:rPr>
        <w:t xml:space="preserve">žltá farba </w:t>
      </w:r>
      <w:r w:rsidRPr="00DD6590">
        <w:t xml:space="preserve">– stredné riziko a </w:t>
      </w:r>
      <w:r w:rsidRPr="00DD6590">
        <w:rPr>
          <w:color w:val="EF858F"/>
        </w:rPr>
        <w:t xml:space="preserve">červená farba </w:t>
      </w:r>
      <w:r w:rsidRPr="00DD6590">
        <w:t>– vysoké riziko.</w:t>
      </w:r>
    </w:p>
    <w:p w14:paraId="0E82AD7D" w14:textId="77777777" w:rsidR="00E17868" w:rsidRPr="00DD6590" w:rsidRDefault="00E17868" w:rsidP="00E17868">
      <w:pPr>
        <w:spacing w:before="0" w:after="0" w:line="276" w:lineRule="auto"/>
        <w:rPr>
          <w:szCs w:val="18"/>
        </w:rPr>
      </w:pPr>
      <w:r w:rsidRPr="00DD6590">
        <w:rPr>
          <w:szCs w:val="18"/>
        </w:rPr>
        <w:t>V matici sú použité nasledovné kódy merateľných ukazovateľov:</w:t>
      </w:r>
    </w:p>
    <w:p w14:paraId="46465B38" w14:textId="77777777" w:rsidR="00E17868" w:rsidRPr="00DD6590" w:rsidRDefault="008424E8" w:rsidP="00E17868">
      <w:pPr>
        <w:spacing w:line="276" w:lineRule="auto"/>
        <w:rPr>
          <w:szCs w:val="18"/>
        </w:rPr>
      </w:pPr>
      <w:r w:rsidRPr="00DD6590">
        <w:rPr>
          <w:szCs w:val="18"/>
        </w:rPr>
        <w:t>Merateľné</w:t>
      </w:r>
      <w:r w:rsidR="00E17868" w:rsidRPr="00DD6590">
        <w:rPr>
          <w:szCs w:val="18"/>
        </w:rPr>
        <w:t xml:space="preserve"> ukazovatele </w:t>
      </w:r>
      <w:r w:rsidR="004A6AF4">
        <w:rPr>
          <w:i/>
        </w:rPr>
        <w:t>‒</w:t>
      </w:r>
      <w:r w:rsidR="00E17868" w:rsidRPr="00DD6590">
        <w:rPr>
          <w:szCs w:val="18"/>
        </w:rPr>
        <w:t xml:space="preserve"> výsledkové:</w:t>
      </w:r>
    </w:p>
    <w:p w14:paraId="14263FC6" w14:textId="77777777" w:rsidR="00E17868" w:rsidRPr="00DD6590" w:rsidRDefault="00E17868" w:rsidP="00E17868">
      <w:pPr>
        <w:spacing w:before="0" w:after="0" w:line="276" w:lineRule="auto"/>
        <w:rPr>
          <w:szCs w:val="18"/>
        </w:rPr>
      </w:pPr>
      <w:r w:rsidRPr="00DD6590">
        <w:rPr>
          <w:szCs w:val="18"/>
        </w:rPr>
        <w:t xml:space="preserve">P0651 </w:t>
      </w:r>
      <w:r w:rsidR="004A6AF4">
        <w:rPr>
          <w:i/>
        </w:rPr>
        <w:t>‒</w:t>
      </w:r>
      <w:r w:rsidRPr="00DD6590">
        <w:rPr>
          <w:szCs w:val="18"/>
        </w:rPr>
        <w:t xml:space="preserve"> Úspora času v železničnej doprave na základnej sieti TEN-T</w:t>
      </w:r>
    </w:p>
    <w:p w14:paraId="1A694CE6" w14:textId="77777777" w:rsidR="00E17868" w:rsidRPr="00DD6590" w:rsidRDefault="00E17868" w:rsidP="00E17868">
      <w:pPr>
        <w:spacing w:before="0" w:after="0" w:line="276" w:lineRule="auto"/>
        <w:rPr>
          <w:szCs w:val="18"/>
        </w:rPr>
      </w:pPr>
      <w:r w:rsidRPr="00DD6590">
        <w:rPr>
          <w:szCs w:val="18"/>
        </w:rPr>
        <w:t xml:space="preserve">P0673 </w:t>
      </w:r>
      <w:r w:rsidR="004A6AF4">
        <w:rPr>
          <w:i/>
        </w:rPr>
        <w:t>‒</w:t>
      </w:r>
      <w:r w:rsidRPr="00DD6590">
        <w:rPr>
          <w:szCs w:val="18"/>
        </w:rPr>
        <w:t xml:space="preserve"> Úspora produkcie emisií PM</w:t>
      </w:r>
      <w:r w:rsidRPr="00EA040D">
        <w:rPr>
          <w:szCs w:val="18"/>
          <w:vertAlign w:val="subscript"/>
        </w:rPr>
        <w:t>10</w:t>
      </w:r>
      <w:r w:rsidRPr="00DD6590">
        <w:rPr>
          <w:szCs w:val="18"/>
        </w:rPr>
        <w:t xml:space="preserve"> (vplyvom modernizácie tratí)</w:t>
      </w:r>
    </w:p>
    <w:p w14:paraId="54B7CF59" w14:textId="77777777" w:rsidR="00E17868" w:rsidRPr="00DD6590" w:rsidRDefault="00E17868" w:rsidP="00E17868">
      <w:pPr>
        <w:spacing w:before="0" w:after="0" w:line="276" w:lineRule="auto"/>
        <w:rPr>
          <w:szCs w:val="18"/>
        </w:rPr>
      </w:pPr>
      <w:r w:rsidRPr="00DD6590">
        <w:rPr>
          <w:szCs w:val="18"/>
        </w:rPr>
        <w:t xml:space="preserve">P0666 </w:t>
      </w:r>
      <w:r w:rsidR="004A6AF4">
        <w:rPr>
          <w:i/>
        </w:rPr>
        <w:t>‒</w:t>
      </w:r>
      <w:r w:rsidRPr="00DD6590">
        <w:rPr>
          <w:szCs w:val="18"/>
        </w:rPr>
        <w:t xml:space="preserve"> Úspora produkcie emisií NO</w:t>
      </w:r>
      <w:r w:rsidRPr="00EA040D">
        <w:rPr>
          <w:szCs w:val="18"/>
          <w:vertAlign w:val="subscript"/>
        </w:rPr>
        <w:t>2</w:t>
      </w:r>
      <w:r w:rsidRPr="00DD6590">
        <w:rPr>
          <w:szCs w:val="18"/>
        </w:rPr>
        <w:t xml:space="preserve"> (vplyvom modernizácie tratí)</w:t>
      </w:r>
    </w:p>
    <w:p w14:paraId="2A9A6139" w14:textId="77777777" w:rsidR="00E17868" w:rsidRPr="00DD6590" w:rsidRDefault="00E17868" w:rsidP="00E17868">
      <w:pPr>
        <w:spacing w:before="0" w:after="0" w:line="276" w:lineRule="auto"/>
        <w:rPr>
          <w:szCs w:val="18"/>
        </w:rPr>
      </w:pPr>
      <w:r w:rsidRPr="00DD6590">
        <w:rPr>
          <w:szCs w:val="18"/>
        </w:rPr>
        <w:t xml:space="preserve">P0030 </w:t>
      </w:r>
      <w:r w:rsidR="004A6AF4">
        <w:rPr>
          <w:i/>
        </w:rPr>
        <w:t>‒</w:t>
      </w:r>
      <w:r w:rsidRPr="00DD6590">
        <w:rPr>
          <w:szCs w:val="18"/>
        </w:rPr>
        <w:t xml:space="preserve"> Celkový objem medzinárodnej prepravy na koridore TEN-T Orient/východné Stredomorie (úsek </w:t>
      </w:r>
    </w:p>
    <w:p w14:paraId="7F90A404" w14:textId="77777777" w:rsidR="00E17868" w:rsidRPr="00DD6590" w:rsidRDefault="00E17868" w:rsidP="00E17868">
      <w:pPr>
        <w:spacing w:before="0" w:after="0" w:line="276" w:lineRule="auto"/>
        <w:ind w:firstLine="720"/>
        <w:rPr>
          <w:szCs w:val="18"/>
        </w:rPr>
      </w:pPr>
      <w:r w:rsidRPr="00DD6590">
        <w:rPr>
          <w:szCs w:val="18"/>
        </w:rPr>
        <w:t xml:space="preserve"> št. hr. ČR/SR </w:t>
      </w:r>
      <w:r w:rsidR="004A6AF4">
        <w:rPr>
          <w:i/>
        </w:rPr>
        <w:t>‒</w:t>
      </w:r>
      <w:r w:rsidRPr="00DD6590">
        <w:rPr>
          <w:szCs w:val="18"/>
        </w:rPr>
        <w:t xml:space="preserve"> Kúty – Bratislava)</w:t>
      </w:r>
    </w:p>
    <w:p w14:paraId="6AF12543" w14:textId="77777777" w:rsidR="00E17868" w:rsidRPr="00DD6590" w:rsidRDefault="00E17868" w:rsidP="00E17868">
      <w:pPr>
        <w:spacing w:before="0" w:after="0" w:line="276" w:lineRule="auto"/>
        <w:rPr>
          <w:szCs w:val="18"/>
        </w:rPr>
      </w:pPr>
      <w:r w:rsidRPr="00DD6590">
        <w:rPr>
          <w:szCs w:val="18"/>
        </w:rPr>
        <w:t xml:space="preserve">P0350 </w:t>
      </w:r>
      <w:r w:rsidR="004A6AF4">
        <w:rPr>
          <w:i/>
        </w:rPr>
        <w:t>‒</w:t>
      </w:r>
      <w:r w:rsidRPr="00DD6590">
        <w:rPr>
          <w:szCs w:val="18"/>
        </w:rPr>
        <w:t xml:space="preserve"> Počet prepravených cestujúcich vo verejnej železničnej osobnej doprave</w:t>
      </w:r>
    </w:p>
    <w:p w14:paraId="402F6643" w14:textId="77777777" w:rsidR="00E17868" w:rsidRPr="00DD6590" w:rsidRDefault="00E17868" w:rsidP="00E17868">
      <w:pPr>
        <w:spacing w:line="276" w:lineRule="auto"/>
        <w:rPr>
          <w:szCs w:val="18"/>
        </w:rPr>
      </w:pPr>
      <w:r w:rsidRPr="00DD6590">
        <w:rPr>
          <w:szCs w:val="18"/>
        </w:rPr>
        <w:t xml:space="preserve">Merateľné ukazovatele </w:t>
      </w:r>
      <w:r w:rsidR="004A6AF4">
        <w:rPr>
          <w:i/>
        </w:rPr>
        <w:t>‒</w:t>
      </w:r>
      <w:r w:rsidRPr="00DD6590">
        <w:rPr>
          <w:szCs w:val="18"/>
        </w:rPr>
        <w:t xml:space="preserve"> výstupové:</w:t>
      </w:r>
    </w:p>
    <w:p w14:paraId="7572F9F8" w14:textId="77777777" w:rsidR="00E17868" w:rsidRPr="00DD6590" w:rsidRDefault="00E17868" w:rsidP="00E17868">
      <w:pPr>
        <w:spacing w:before="0" w:after="0" w:line="276" w:lineRule="auto"/>
        <w:rPr>
          <w:szCs w:val="18"/>
        </w:rPr>
      </w:pPr>
      <w:r w:rsidRPr="00DD6590">
        <w:rPr>
          <w:szCs w:val="18"/>
        </w:rPr>
        <w:t xml:space="preserve">P0019 </w:t>
      </w:r>
      <w:r w:rsidR="004A6AF4">
        <w:rPr>
          <w:i/>
        </w:rPr>
        <w:t>‒</w:t>
      </w:r>
      <w:r w:rsidRPr="00DD6590">
        <w:rPr>
          <w:szCs w:val="18"/>
        </w:rPr>
        <w:t xml:space="preserve"> Celková dĺžka rekonštruovaných alebo zrenovovaných železničných tratí v sieti TEN-T</w:t>
      </w:r>
    </w:p>
    <w:p w14:paraId="56EC92EF" w14:textId="77777777" w:rsidR="00E17868" w:rsidRPr="00DD6590" w:rsidRDefault="00E17868" w:rsidP="00E17868">
      <w:pPr>
        <w:spacing w:before="0" w:after="0" w:line="276" w:lineRule="auto"/>
        <w:rPr>
          <w:szCs w:val="18"/>
        </w:rPr>
      </w:pPr>
      <w:r w:rsidRPr="00DD6590">
        <w:rPr>
          <w:szCs w:val="18"/>
        </w:rPr>
        <w:t xml:space="preserve">P0046 </w:t>
      </w:r>
      <w:r w:rsidR="004A6AF4">
        <w:rPr>
          <w:i/>
        </w:rPr>
        <w:t>‒</w:t>
      </w:r>
      <w:r w:rsidRPr="00DD6590">
        <w:rPr>
          <w:szCs w:val="18"/>
        </w:rPr>
        <w:t xml:space="preserve"> Dĺžka železničných tratí TEN-T CORE so zavedeným systémom ERTMS</w:t>
      </w:r>
    </w:p>
    <w:p w14:paraId="4CCDADC5" w14:textId="77777777" w:rsidR="00E17868" w:rsidRPr="00DD6590" w:rsidRDefault="00E17868" w:rsidP="00E17868">
      <w:pPr>
        <w:spacing w:before="0" w:after="0" w:line="276" w:lineRule="auto"/>
        <w:rPr>
          <w:szCs w:val="18"/>
        </w:rPr>
      </w:pPr>
      <w:r w:rsidRPr="00DD6590">
        <w:rPr>
          <w:szCs w:val="18"/>
        </w:rPr>
        <w:t xml:space="preserve">P0237 </w:t>
      </w:r>
      <w:r w:rsidR="004A6AF4">
        <w:rPr>
          <w:i/>
        </w:rPr>
        <w:t>‒</w:t>
      </w:r>
      <w:r w:rsidRPr="00DD6590">
        <w:rPr>
          <w:szCs w:val="18"/>
        </w:rPr>
        <w:t xml:space="preserve"> Počet obnovených vlakových súprav v železničnej verejnej osobnej doprave</w:t>
      </w:r>
    </w:p>
    <w:p w14:paraId="09903B55" w14:textId="77777777" w:rsidR="00E17868" w:rsidRPr="00DD6590" w:rsidRDefault="00E17868" w:rsidP="005015F0">
      <w:pPr>
        <w:rPr>
          <w:szCs w:val="18"/>
        </w:rPr>
        <w:sectPr w:rsidR="00E17868" w:rsidRPr="00DD6590" w:rsidSect="00B620A4">
          <w:headerReference w:type="even" r:id="rId28"/>
          <w:headerReference w:type="default" r:id="rId29"/>
          <w:footerReference w:type="default" r:id="rId30"/>
          <w:headerReference w:type="first" r:id="rId31"/>
          <w:footerReference w:type="first" r:id="rId32"/>
          <w:pgSz w:w="11906" w:h="16838" w:code="9"/>
          <w:pgMar w:top="1710" w:right="1138" w:bottom="1138" w:left="1411" w:header="677" w:footer="562" w:gutter="0"/>
          <w:cols w:space="9"/>
          <w:titlePg/>
          <w:docGrid w:linePitch="360"/>
        </w:sectPr>
      </w:pPr>
    </w:p>
    <w:p w14:paraId="7D40DA68" w14:textId="43CDF8EC" w:rsidR="00E17868" w:rsidRPr="00DD6590" w:rsidRDefault="00E17868" w:rsidP="00E17868">
      <w:pPr>
        <w:pStyle w:val="Caption"/>
        <w:jc w:val="left"/>
      </w:pPr>
      <w:bookmarkStart w:id="31" w:name="_Ref8659325"/>
      <w:bookmarkStart w:id="32" w:name="_Toc9855572"/>
      <w:r w:rsidRPr="00DD6590">
        <w:lastRenderedPageBreak/>
        <w:t xml:space="preserve">Schéma </w:t>
      </w:r>
      <w:r w:rsidRPr="00DD6590">
        <w:fldChar w:fldCharType="begin"/>
      </w:r>
      <w:r w:rsidRPr="00DD6590">
        <w:instrText xml:space="preserve"> SEQ Schéma \* ARABIC </w:instrText>
      </w:r>
      <w:r w:rsidRPr="00DD6590">
        <w:fldChar w:fldCharType="separate"/>
      </w:r>
      <w:r w:rsidR="00DC3C97">
        <w:rPr>
          <w:noProof/>
        </w:rPr>
        <w:t>2</w:t>
      </w:r>
      <w:r w:rsidRPr="00DD6590">
        <w:fldChar w:fldCharType="end"/>
      </w:r>
      <w:r w:rsidRPr="00DD6590">
        <w:t xml:space="preserve"> Matica plánované projekty vs. naplnenie ukazovateľov na úrovni PO1</w:t>
      </w:r>
      <w:r w:rsidR="008C3676" w:rsidRPr="00DD6590">
        <w:rPr>
          <w:rStyle w:val="FootnoteReference"/>
        </w:rPr>
        <w:footnoteReference w:id="4"/>
      </w:r>
      <w:bookmarkEnd w:id="31"/>
      <w:bookmarkEnd w:id="32"/>
    </w:p>
    <w:p w14:paraId="3C07C044" w14:textId="77777777" w:rsidR="00E17868" w:rsidRPr="00DD6590" w:rsidRDefault="00CB5F8A" w:rsidP="00E17868">
      <w:pPr>
        <w:pStyle w:val="Caption"/>
        <w:jc w:val="left"/>
        <w:rPr>
          <w:noProof/>
          <w:lang w:eastAsia="sk-SK"/>
        </w:rPr>
      </w:pPr>
      <w:r w:rsidRPr="00DD6590">
        <w:rPr>
          <w:noProof/>
          <w:lang w:eastAsia="sk-SK"/>
        </w:rPr>
        <w:drawing>
          <wp:inline distT="0" distB="0" distL="0" distR="0" wp14:anchorId="66EBB261" wp14:editId="7B2730BD">
            <wp:extent cx="8707755" cy="21352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707755" cy="2135213"/>
                    </a:xfrm>
                    <a:prstGeom prst="rect">
                      <a:avLst/>
                    </a:prstGeom>
                    <a:noFill/>
                    <a:ln>
                      <a:noFill/>
                    </a:ln>
                  </pic:spPr>
                </pic:pic>
              </a:graphicData>
            </a:graphic>
          </wp:inline>
        </w:drawing>
      </w:r>
    </w:p>
    <w:p w14:paraId="1067CD8B" w14:textId="77777777" w:rsidR="007B4243" w:rsidRPr="00DD6590" w:rsidRDefault="007B4243" w:rsidP="007B4243">
      <w:pPr>
        <w:rPr>
          <w:lang w:eastAsia="sk-SK"/>
        </w:rPr>
        <w:sectPr w:rsidR="007B4243" w:rsidRPr="00DD6590" w:rsidSect="00847AD7">
          <w:pgSz w:w="16838" w:h="11906" w:orient="landscape" w:code="9"/>
          <w:pgMar w:top="1411" w:right="1987" w:bottom="1138" w:left="1138" w:header="677" w:footer="562" w:gutter="0"/>
          <w:cols w:space="9"/>
          <w:titlePg/>
          <w:docGrid w:linePitch="360"/>
        </w:sectPr>
      </w:pPr>
    </w:p>
    <w:p w14:paraId="794502FE" w14:textId="77777777" w:rsidR="00217747" w:rsidRPr="00DD6590" w:rsidRDefault="00847AD7" w:rsidP="00255B0C">
      <w:pPr>
        <w:pStyle w:val="Heading1"/>
      </w:pPr>
      <w:bookmarkStart w:id="33" w:name="_Toc10709712"/>
      <w:r w:rsidRPr="00DD6590">
        <w:lastRenderedPageBreak/>
        <w:t>Hl</w:t>
      </w:r>
      <w:r w:rsidR="00217747" w:rsidRPr="00DD6590">
        <w:t>avné zistenia analýzy Prioritnej osi 2 – Cestná infraštruktúra (TEN-T)</w:t>
      </w:r>
      <w:bookmarkEnd w:id="33"/>
      <w:r w:rsidR="00217747" w:rsidRPr="00DD6590">
        <w:t xml:space="preserve"> </w:t>
      </w:r>
    </w:p>
    <w:p w14:paraId="6790BEA3" w14:textId="77777777" w:rsidR="00217747" w:rsidRPr="00DD6590" w:rsidRDefault="009917EA" w:rsidP="00217747">
      <w:r w:rsidRPr="00DD6590">
        <w:t xml:space="preserve">Vyhodnotenie </w:t>
      </w:r>
      <w:r w:rsidR="00B160F8" w:rsidRPr="00DD6590">
        <w:t>napĺňania</w:t>
      </w:r>
      <w:r w:rsidR="00601161" w:rsidRPr="00DD6590">
        <w:t xml:space="preserve"> </w:t>
      </w:r>
      <w:r w:rsidRPr="00DD6590">
        <w:t>ukazovateľov</w:t>
      </w:r>
      <w:r w:rsidR="00BB30E7" w:rsidRPr="00DD6590">
        <w:t xml:space="preserve"> a realizácie projektov</w:t>
      </w:r>
      <w:r w:rsidRPr="00DD6590">
        <w:t xml:space="preserve"> v rámci PO</w:t>
      </w:r>
      <w:r w:rsidR="000604BF" w:rsidRPr="00DD6590">
        <w:t>2</w:t>
      </w:r>
      <w:r w:rsidRPr="00DD6590">
        <w:t xml:space="preserve"> je uvedené v</w:t>
      </w:r>
      <w:r w:rsidR="00BB30E7" w:rsidRPr="00DD6590">
        <w:t> </w:t>
      </w:r>
      <w:r w:rsidR="00072349">
        <w:t>prílohe č. 5 -</w:t>
      </w:r>
      <w:r w:rsidR="00072349" w:rsidRPr="00DD6590">
        <w:t xml:space="preserve"> </w:t>
      </w:r>
      <w:r w:rsidR="00072349" w:rsidRPr="00072349">
        <w:t>Výsledky analýzy Prioritnej osi 2 – Cestná infraštruktúra (TEN-T).</w:t>
      </w:r>
    </w:p>
    <w:p w14:paraId="36EE5080" w14:textId="77777777" w:rsidR="0048624A" w:rsidRPr="00DD6590" w:rsidRDefault="00B91705" w:rsidP="00725CA5">
      <w:r w:rsidRPr="004C63A8">
        <w:t>Hodnotením PO</w:t>
      </w:r>
      <w:r w:rsidR="009917EA" w:rsidRPr="004C63A8">
        <w:t xml:space="preserve">2 </w:t>
      </w:r>
      <w:r w:rsidR="004A6AF4" w:rsidRPr="004C63A8">
        <w:t xml:space="preserve">sa </w:t>
      </w:r>
      <w:r w:rsidR="00545593" w:rsidRPr="004C63A8">
        <w:t>zist</w:t>
      </w:r>
      <w:r w:rsidR="004A6AF4" w:rsidRPr="004C63A8">
        <w:t>ilo</w:t>
      </w:r>
      <w:r w:rsidR="00545593" w:rsidRPr="004C63A8">
        <w:t xml:space="preserve">, že v rámci </w:t>
      </w:r>
      <w:r w:rsidR="006E6FAC" w:rsidRPr="004C63A8">
        <w:t xml:space="preserve">zazmluvnených </w:t>
      </w:r>
      <w:r w:rsidR="00545593" w:rsidRPr="004C63A8">
        <w:t xml:space="preserve">projektov </w:t>
      </w:r>
      <w:r w:rsidR="006E6FAC" w:rsidRPr="004C63A8">
        <w:t xml:space="preserve">bude výstupový </w:t>
      </w:r>
      <w:r w:rsidR="00545593" w:rsidRPr="004C63A8">
        <w:t>ukazovateľ</w:t>
      </w:r>
      <w:r w:rsidR="006E6FAC" w:rsidRPr="004C63A8">
        <w:t xml:space="preserve"> </w:t>
      </w:r>
      <w:r w:rsidR="00545593" w:rsidRPr="004C63A8">
        <w:t>– Celková dĺžka novo vybudovaných ciest v sieti TEN-T</w:t>
      </w:r>
      <w:r w:rsidR="004A6AF4" w:rsidRPr="004C63A8">
        <w:t>,</w:t>
      </w:r>
      <w:r w:rsidR="006E6FAC" w:rsidRPr="004C63A8">
        <w:t xml:space="preserve"> </w:t>
      </w:r>
      <w:r w:rsidR="00CB5F8A" w:rsidRPr="004C63A8">
        <w:t xml:space="preserve">naplnený </w:t>
      </w:r>
      <w:r w:rsidR="0048624A" w:rsidRPr="004C63A8">
        <w:t xml:space="preserve">na </w:t>
      </w:r>
      <w:r w:rsidR="0048624A" w:rsidRPr="004C63A8">
        <w:rPr>
          <w:b/>
        </w:rPr>
        <w:t>86,2</w:t>
      </w:r>
      <w:r w:rsidR="008D1BBA" w:rsidRPr="004C63A8">
        <w:rPr>
          <w:b/>
        </w:rPr>
        <w:t>0</w:t>
      </w:r>
      <w:r w:rsidR="004A6AF4" w:rsidRPr="004C63A8">
        <w:rPr>
          <w:b/>
        </w:rPr>
        <w:t xml:space="preserve"> </w:t>
      </w:r>
      <w:r w:rsidR="0048624A" w:rsidRPr="004C63A8">
        <w:rPr>
          <w:b/>
        </w:rPr>
        <w:t xml:space="preserve">%, </w:t>
      </w:r>
      <w:r w:rsidR="0048624A" w:rsidRPr="004C63A8">
        <w:t>tzn. 96,29 km, pričom cieľová hodnota ukazovateľa je 111,7 km.</w:t>
      </w:r>
      <w:r w:rsidR="00BF3A20" w:rsidRPr="004C63A8">
        <w:t xml:space="preserve"> </w:t>
      </w:r>
      <w:r w:rsidR="00CB5F8A" w:rsidRPr="004C63A8">
        <w:t xml:space="preserve">Prerušením prác na projekte </w:t>
      </w:r>
      <w:r w:rsidR="00BF3A20" w:rsidRPr="004C63A8">
        <w:t>D1 Lietavská Lúčka – Višňové – Dubná Skala, II. fáza</w:t>
      </w:r>
      <w:r w:rsidR="004A6AF4" w:rsidRPr="004C63A8">
        <w:t>,</w:t>
      </w:r>
      <w:r w:rsidR="00BF3A20" w:rsidRPr="004C63A8">
        <w:t xml:space="preserve"> je ohrozená aj dostavba 13,5 km, čím by sa cieľová hodnota v rámci projektov znížila na </w:t>
      </w:r>
      <w:r w:rsidR="00680A72" w:rsidRPr="004C63A8">
        <w:t>82,79</w:t>
      </w:r>
      <w:r w:rsidR="00BF3A20" w:rsidRPr="004C63A8">
        <w:t xml:space="preserve"> km, čo by znamenalo naplnenie ukazovateľa len na 74,12</w:t>
      </w:r>
      <w:r w:rsidR="004C63A8">
        <w:t xml:space="preserve"> </w:t>
      </w:r>
      <w:r w:rsidR="00BF3A20" w:rsidRPr="004C63A8">
        <w:t>%.</w:t>
      </w:r>
      <w:r w:rsidR="00601161" w:rsidRPr="004C63A8">
        <w:t xml:space="preserve"> Z plánovaných projektov </w:t>
      </w:r>
      <w:r w:rsidR="004C63A8" w:rsidRPr="004C63A8">
        <w:t xml:space="preserve">by mal </w:t>
      </w:r>
      <w:r w:rsidR="00601161" w:rsidRPr="004C63A8">
        <w:t xml:space="preserve">tento ukazovateľ </w:t>
      </w:r>
      <w:r w:rsidR="00CC7831" w:rsidRPr="004C63A8">
        <w:t>naplniť</w:t>
      </w:r>
      <w:r w:rsidR="00601161" w:rsidRPr="004C63A8">
        <w:t xml:space="preserve"> projekt D1 Hubová – Ivachnová (2. fáza)</w:t>
      </w:r>
      <w:r w:rsidR="004C63A8">
        <w:t>,</w:t>
      </w:r>
      <w:r w:rsidR="00601161" w:rsidRPr="004C63A8">
        <w:t xml:space="preserve"> </w:t>
      </w:r>
      <w:r w:rsidR="006E6FAC" w:rsidRPr="004C63A8">
        <w:t xml:space="preserve">a to </w:t>
      </w:r>
      <w:r w:rsidR="00601161" w:rsidRPr="004C63A8">
        <w:t xml:space="preserve">na </w:t>
      </w:r>
      <w:r w:rsidR="00601161" w:rsidRPr="004C63A8">
        <w:rPr>
          <w:b/>
        </w:rPr>
        <w:t>100</w:t>
      </w:r>
      <w:r w:rsidR="004C63A8">
        <w:rPr>
          <w:b/>
        </w:rPr>
        <w:t xml:space="preserve"> </w:t>
      </w:r>
      <w:r w:rsidR="00601161" w:rsidRPr="004C63A8">
        <w:rPr>
          <w:b/>
        </w:rPr>
        <w:t>%</w:t>
      </w:r>
      <w:r w:rsidR="00601161" w:rsidRPr="004C63A8">
        <w:t>.</w:t>
      </w:r>
      <w:r w:rsidR="00601161" w:rsidRPr="00DD6590">
        <w:t xml:space="preserve"> </w:t>
      </w:r>
    </w:p>
    <w:p w14:paraId="6F931DCE" w14:textId="77777777" w:rsidR="0048624A" w:rsidRPr="00DD6590" w:rsidRDefault="00B160F8" w:rsidP="00725CA5">
      <w:r w:rsidRPr="00DD6590">
        <w:t xml:space="preserve">V rámci zakontrahovaných projektov je </w:t>
      </w:r>
      <w:r w:rsidR="0048624A" w:rsidRPr="00DD6590">
        <w:t>problematickým ukazovateľom Úspora produkcie emisií PM</w:t>
      </w:r>
      <w:r w:rsidR="0048624A" w:rsidRPr="00D84707">
        <w:rPr>
          <w:vertAlign w:val="subscript"/>
        </w:rPr>
        <w:t>10</w:t>
      </w:r>
      <w:r w:rsidR="0048624A" w:rsidRPr="00DD6590">
        <w:t xml:space="preserve"> (vplyvom výstavby diaľnic), ktorého cieľová hodnota na projektoch je 20,03 t </w:t>
      </w:r>
      <w:r w:rsidR="0048624A" w:rsidRPr="00DD6590">
        <w:rPr>
          <w:b/>
        </w:rPr>
        <w:t>(92</w:t>
      </w:r>
      <w:r w:rsidR="0062361B">
        <w:rPr>
          <w:b/>
        </w:rPr>
        <w:t xml:space="preserve"> </w:t>
      </w:r>
      <w:r w:rsidR="0048624A" w:rsidRPr="00DD6590">
        <w:rPr>
          <w:b/>
        </w:rPr>
        <w:t>%)</w:t>
      </w:r>
      <w:r w:rsidR="0048624A" w:rsidRPr="00DD6590">
        <w:t xml:space="preserve">, pričom </w:t>
      </w:r>
      <w:r w:rsidR="0062361B" w:rsidRPr="00DD6590">
        <w:t xml:space="preserve">úspora </w:t>
      </w:r>
      <w:r w:rsidR="0048624A" w:rsidRPr="00DD6590">
        <w:t>by mala byť vo výške 21,65 t.</w:t>
      </w:r>
      <w:r w:rsidRPr="00DD6590">
        <w:t xml:space="preserve"> V prípade zazmluvnenia projektu D1 Hubová – Ivachnová (2. fáza) by mal byť tento ukazovateľ naplnený. </w:t>
      </w:r>
    </w:p>
    <w:p w14:paraId="79EB69D5" w14:textId="77777777" w:rsidR="0048624A" w:rsidRPr="00DD6590" w:rsidRDefault="0048624A" w:rsidP="00725CA5">
      <w:r w:rsidRPr="00DD6590">
        <w:t>Projekt D1 Budimír – Bidovce deklaruje v rámci merateľných ukazovateľov navýšenie emisií pri oboch ukazovateľo</w:t>
      </w:r>
      <w:r w:rsidR="008424E8" w:rsidRPr="00DD6590">
        <w:t>ch</w:t>
      </w:r>
      <w:r w:rsidRPr="00DD6590">
        <w:t xml:space="preserve"> nasledovne:</w:t>
      </w:r>
    </w:p>
    <w:p w14:paraId="57481646" w14:textId="77777777" w:rsidR="0048624A" w:rsidRPr="00DD6590" w:rsidRDefault="0048624A" w:rsidP="003E761D">
      <w:pPr>
        <w:pStyle w:val="ListParagraph"/>
        <w:numPr>
          <w:ilvl w:val="0"/>
          <w:numId w:val="36"/>
        </w:numPr>
        <w:contextualSpacing/>
        <w:rPr>
          <w:rFonts w:asciiTheme="minorHAnsi" w:hAnsiTheme="minorHAnsi"/>
          <w:szCs w:val="18"/>
        </w:rPr>
      </w:pPr>
      <w:r w:rsidRPr="00DD6590">
        <w:rPr>
          <w:rFonts w:asciiTheme="minorHAnsi" w:hAnsiTheme="minorHAnsi"/>
          <w:szCs w:val="18"/>
        </w:rPr>
        <w:t>Úspora produkcie emisií NO</w:t>
      </w:r>
      <w:r w:rsidRPr="00D84707">
        <w:rPr>
          <w:rFonts w:asciiTheme="minorHAnsi" w:hAnsiTheme="minorHAnsi"/>
          <w:szCs w:val="18"/>
          <w:vertAlign w:val="subscript"/>
        </w:rPr>
        <w:t>2</w:t>
      </w:r>
      <w:r w:rsidRPr="00DD6590">
        <w:rPr>
          <w:rFonts w:asciiTheme="minorHAnsi" w:hAnsiTheme="minorHAnsi"/>
          <w:szCs w:val="18"/>
        </w:rPr>
        <w:t xml:space="preserve"> (vplyvom výstavby diaľnic) vo výške -118 t</w:t>
      </w:r>
      <w:r w:rsidR="008424E8" w:rsidRPr="00DD6590">
        <w:rPr>
          <w:rFonts w:asciiTheme="minorHAnsi" w:hAnsiTheme="minorHAnsi"/>
          <w:szCs w:val="18"/>
        </w:rPr>
        <w:t xml:space="preserve"> (navýšenie emisií)</w:t>
      </w:r>
      <w:r w:rsidR="004D58CE">
        <w:rPr>
          <w:rFonts w:asciiTheme="minorHAnsi" w:hAnsiTheme="minorHAnsi"/>
          <w:szCs w:val="18"/>
        </w:rPr>
        <w:t>,</w:t>
      </w:r>
      <w:r w:rsidRPr="00DD6590">
        <w:rPr>
          <w:rFonts w:asciiTheme="minorHAnsi" w:hAnsiTheme="minorHAnsi"/>
          <w:szCs w:val="18"/>
        </w:rPr>
        <w:t xml:space="preserve"> </w:t>
      </w:r>
    </w:p>
    <w:p w14:paraId="038B6C0D" w14:textId="77777777" w:rsidR="0048624A" w:rsidRPr="00DD6590" w:rsidRDefault="0048624A" w:rsidP="003E761D">
      <w:pPr>
        <w:pStyle w:val="ListParagraph"/>
        <w:numPr>
          <w:ilvl w:val="0"/>
          <w:numId w:val="36"/>
        </w:numPr>
        <w:contextualSpacing/>
        <w:rPr>
          <w:rFonts w:asciiTheme="minorHAnsi" w:hAnsiTheme="minorHAnsi"/>
          <w:szCs w:val="18"/>
        </w:rPr>
      </w:pPr>
      <w:r w:rsidRPr="00DD6590">
        <w:rPr>
          <w:rFonts w:asciiTheme="minorHAnsi" w:hAnsiTheme="minorHAnsi"/>
          <w:szCs w:val="18"/>
        </w:rPr>
        <w:t>Úspora produkcie emisií PM</w:t>
      </w:r>
      <w:r w:rsidRPr="00D84707">
        <w:rPr>
          <w:rFonts w:asciiTheme="minorHAnsi" w:hAnsiTheme="minorHAnsi"/>
          <w:szCs w:val="18"/>
          <w:vertAlign w:val="subscript"/>
        </w:rPr>
        <w:t>10</w:t>
      </w:r>
      <w:r w:rsidRPr="00DD6590">
        <w:rPr>
          <w:rFonts w:asciiTheme="minorHAnsi" w:hAnsiTheme="minorHAnsi"/>
          <w:szCs w:val="18"/>
        </w:rPr>
        <w:t xml:space="preserve"> (vplyvom výstavby diaľnic) -3,6</w:t>
      </w:r>
      <w:r w:rsidR="008424E8" w:rsidRPr="00DD6590">
        <w:rPr>
          <w:rFonts w:asciiTheme="minorHAnsi" w:hAnsiTheme="minorHAnsi"/>
          <w:szCs w:val="18"/>
        </w:rPr>
        <w:t xml:space="preserve"> t (navýšenie emisií)</w:t>
      </w:r>
      <w:r w:rsidRPr="00DD6590">
        <w:rPr>
          <w:rFonts w:asciiTheme="minorHAnsi" w:hAnsiTheme="minorHAnsi"/>
          <w:szCs w:val="18"/>
        </w:rPr>
        <w:t>.</w:t>
      </w:r>
    </w:p>
    <w:p w14:paraId="16BCE26D" w14:textId="77777777" w:rsidR="00725CA5" w:rsidRPr="00DD6590" w:rsidRDefault="0048624A" w:rsidP="00725CA5">
      <w:r w:rsidRPr="00DD6590">
        <w:rPr>
          <w:szCs w:val="18"/>
        </w:rPr>
        <w:t>Plánované</w:t>
      </w:r>
      <w:r w:rsidRPr="00DD6590">
        <w:t xml:space="preserve"> projekty, ktoré chce prijímateľ predložiť v tomto programovom období sú:</w:t>
      </w:r>
    </w:p>
    <w:p w14:paraId="67472FCF" w14:textId="77777777" w:rsidR="00B160F8" w:rsidRPr="00DD6590" w:rsidRDefault="00B160F8" w:rsidP="003E761D">
      <w:pPr>
        <w:pStyle w:val="ListParagraph"/>
        <w:numPr>
          <w:ilvl w:val="0"/>
          <w:numId w:val="36"/>
        </w:numPr>
        <w:contextualSpacing/>
        <w:rPr>
          <w:rFonts w:asciiTheme="minorHAnsi" w:hAnsiTheme="minorHAnsi"/>
          <w:szCs w:val="18"/>
        </w:rPr>
      </w:pPr>
      <w:r w:rsidRPr="00DD6590">
        <w:rPr>
          <w:rFonts w:asciiTheme="minorHAnsi" w:hAnsiTheme="minorHAnsi"/>
          <w:szCs w:val="18"/>
        </w:rPr>
        <w:t>D1 Hubová – Ivachnová (2. fáza),</w:t>
      </w:r>
    </w:p>
    <w:p w14:paraId="31020B97" w14:textId="77777777" w:rsidR="0048624A" w:rsidRPr="00DD6590" w:rsidRDefault="0048624A" w:rsidP="003E761D">
      <w:pPr>
        <w:pStyle w:val="ListParagraph"/>
        <w:numPr>
          <w:ilvl w:val="0"/>
          <w:numId w:val="36"/>
        </w:numPr>
        <w:contextualSpacing/>
        <w:rPr>
          <w:rFonts w:asciiTheme="minorHAnsi" w:hAnsiTheme="minorHAnsi"/>
          <w:szCs w:val="18"/>
        </w:rPr>
      </w:pPr>
      <w:r w:rsidRPr="00DD6590">
        <w:rPr>
          <w:rFonts w:asciiTheme="minorHAnsi" w:hAnsiTheme="minorHAnsi"/>
          <w:szCs w:val="18"/>
        </w:rPr>
        <w:t xml:space="preserve">D3 Zelený most </w:t>
      </w:r>
      <w:r w:rsidR="004D58CE">
        <w:rPr>
          <w:rFonts w:asciiTheme="minorHAnsi" w:hAnsiTheme="minorHAnsi"/>
          <w:szCs w:val="18"/>
        </w:rPr>
        <w:t>„</w:t>
      </w:r>
      <w:r w:rsidRPr="00DD6590">
        <w:rPr>
          <w:rFonts w:asciiTheme="minorHAnsi" w:hAnsiTheme="minorHAnsi"/>
          <w:szCs w:val="18"/>
        </w:rPr>
        <w:t>Svrčinovec</w:t>
      </w:r>
      <w:r w:rsidR="004D58CE">
        <w:rPr>
          <w:rFonts w:asciiTheme="minorHAnsi" w:hAnsiTheme="minorHAnsi"/>
          <w:szCs w:val="18"/>
        </w:rPr>
        <w:t>“,</w:t>
      </w:r>
    </w:p>
    <w:p w14:paraId="36836F35" w14:textId="77777777" w:rsidR="0048624A" w:rsidRPr="00DD6590" w:rsidRDefault="0048624A" w:rsidP="003E761D">
      <w:pPr>
        <w:pStyle w:val="ListParagraph"/>
        <w:numPr>
          <w:ilvl w:val="0"/>
          <w:numId w:val="36"/>
        </w:numPr>
        <w:contextualSpacing/>
        <w:rPr>
          <w:rFonts w:asciiTheme="minorHAnsi" w:hAnsiTheme="minorHAnsi"/>
          <w:szCs w:val="18"/>
        </w:rPr>
      </w:pPr>
      <w:r w:rsidRPr="00DD6590">
        <w:rPr>
          <w:rFonts w:asciiTheme="minorHAnsi" w:hAnsiTheme="minorHAnsi"/>
          <w:szCs w:val="18"/>
        </w:rPr>
        <w:t>D3 Oščadnica – Čadca Bukov – projektová dokumentácia.</w:t>
      </w:r>
    </w:p>
    <w:p w14:paraId="6B4E0570" w14:textId="77777777" w:rsidR="00A57617" w:rsidRPr="00DD6590" w:rsidRDefault="00A57617" w:rsidP="00255B0C">
      <w:pPr>
        <w:pStyle w:val="Heading1"/>
      </w:pPr>
      <w:bookmarkStart w:id="34" w:name="_Toc10709713"/>
      <w:r w:rsidRPr="00DD6590">
        <w:t>Hlavné zistenia analýzy Prioritnej osi 3 – Verejná osobná doprava</w:t>
      </w:r>
      <w:bookmarkEnd w:id="34"/>
    </w:p>
    <w:p w14:paraId="2B339AF1" w14:textId="77777777" w:rsidR="00425F9A" w:rsidRPr="00DD6590" w:rsidRDefault="00A01182" w:rsidP="00A57617">
      <w:r w:rsidRPr="00DD6590">
        <w:t>Vyhodnotenie prioritnej osi 3 je uvedené v </w:t>
      </w:r>
      <w:r w:rsidR="00072349">
        <w:t>prílohe č. 6</w:t>
      </w:r>
      <w:r w:rsidR="00072349">
        <w:rPr>
          <w:b/>
        </w:rPr>
        <w:t xml:space="preserve"> </w:t>
      </w:r>
      <w:r w:rsidR="00072349" w:rsidRPr="00072349">
        <w:t>- Výsledky analýzy Prioritnej osi 3 – Verejná osobná doprava</w:t>
      </w:r>
      <w:r w:rsidRPr="00DD6590">
        <w:t>. V rámci prioritnej osi 3 bolo zazmluvnených pätnásť projektov</w:t>
      </w:r>
      <w:r w:rsidR="004D58CE">
        <w:t>,</w:t>
      </w:r>
      <w:r w:rsidRPr="00DD6590">
        <w:t xml:space="preserve"> </w:t>
      </w:r>
      <w:r w:rsidR="009045C9" w:rsidRPr="00DD6590">
        <w:t>z </w:t>
      </w:r>
      <w:r w:rsidRPr="00DD6590">
        <w:t xml:space="preserve">ktorých šesť je ukončených. </w:t>
      </w:r>
      <w:r w:rsidR="004D58CE">
        <w:t>Aj</w:t>
      </w:r>
      <w:r w:rsidRPr="00DD6590">
        <w:t xml:space="preserve"> napriek väčšiemu počtu zazmluvnených projektov </w:t>
      </w:r>
      <w:r w:rsidR="004D58CE">
        <w:t xml:space="preserve">však </w:t>
      </w:r>
      <w:r w:rsidRPr="00DD6590">
        <w:t xml:space="preserve">ukazovatele v rámci PO3 nie sú naplnené. </w:t>
      </w:r>
      <w:r w:rsidR="00425F9A" w:rsidRPr="00DD6590">
        <w:t xml:space="preserve">Rizikové sú </w:t>
      </w:r>
      <w:r w:rsidR="008F0F12" w:rsidRPr="00DD6590">
        <w:t xml:space="preserve">najmä </w:t>
      </w:r>
      <w:r w:rsidR="00425F9A" w:rsidRPr="00DD6590">
        <w:t>nasledovné ukazovatele PO3:</w:t>
      </w:r>
    </w:p>
    <w:p w14:paraId="75CBCFC3" w14:textId="77777777" w:rsidR="00425F9A" w:rsidRPr="00DD6590" w:rsidRDefault="00425F9A" w:rsidP="003E761D">
      <w:pPr>
        <w:pStyle w:val="ListParagraph"/>
        <w:numPr>
          <w:ilvl w:val="0"/>
          <w:numId w:val="36"/>
        </w:numPr>
        <w:contextualSpacing/>
        <w:rPr>
          <w:rFonts w:asciiTheme="minorHAnsi" w:hAnsiTheme="minorHAnsi"/>
          <w:szCs w:val="18"/>
        </w:rPr>
      </w:pPr>
      <w:r w:rsidRPr="00DD6590">
        <w:t xml:space="preserve"> </w:t>
      </w:r>
      <w:r w:rsidRPr="00DD6590">
        <w:rPr>
          <w:rFonts w:asciiTheme="minorHAnsi" w:hAnsiTheme="minorHAnsi"/>
          <w:szCs w:val="18"/>
        </w:rPr>
        <w:t>Ukazovatele výsledku</w:t>
      </w:r>
    </w:p>
    <w:p w14:paraId="26EE5F3B" w14:textId="77777777" w:rsidR="00425F9A" w:rsidRPr="00DD6590" w:rsidRDefault="00425F9A" w:rsidP="003E761D">
      <w:pPr>
        <w:pStyle w:val="ListParagraph"/>
        <w:numPr>
          <w:ilvl w:val="0"/>
          <w:numId w:val="38"/>
        </w:numPr>
        <w:contextualSpacing/>
        <w:rPr>
          <w:rFonts w:asciiTheme="minorHAnsi" w:hAnsiTheme="minorHAnsi"/>
          <w:szCs w:val="18"/>
        </w:rPr>
      </w:pPr>
      <w:r w:rsidRPr="00DD6590">
        <w:rPr>
          <w:rFonts w:asciiTheme="minorHAnsi" w:hAnsiTheme="minorHAnsi"/>
          <w:szCs w:val="18"/>
        </w:rPr>
        <w:t>Úspora času vo verejnej osobnej doprave</w:t>
      </w:r>
    </w:p>
    <w:p w14:paraId="21C829C9" w14:textId="77777777" w:rsidR="00425F9A" w:rsidRPr="00DD6590" w:rsidRDefault="00425F9A" w:rsidP="003E761D">
      <w:pPr>
        <w:pStyle w:val="ListParagraph"/>
        <w:numPr>
          <w:ilvl w:val="0"/>
          <w:numId w:val="38"/>
        </w:numPr>
        <w:contextualSpacing/>
        <w:rPr>
          <w:rFonts w:asciiTheme="minorHAnsi" w:hAnsiTheme="minorHAnsi"/>
          <w:szCs w:val="18"/>
        </w:rPr>
      </w:pPr>
      <w:r w:rsidRPr="00DD6590">
        <w:rPr>
          <w:rFonts w:asciiTheme="minorHAnsi" w:hAnsiTheme="minorHAnsi"/>
          <w:szCs w:val="18"/>
        </w:rPr>
        <w:t xml:space="preserve">Počet cestujúcich prepravených dráhovou MHD v mestách Bratislava, Košice, Žilina, Prešov a Banská Bystrica  </w:t>
      </w:r>
    </w:p>
    <w:p w14:paraId="16F7C536" w14:textId="77777777" w:rsidR="00425F9A" w:rsidRPr="00DD6590" w:rsidRDefault="00D80E1A" w:rsidP="003E761D">
      <w:pPr>
        <w:pStyle w:val="ListParagraph"/>
        <w:numPr>
          <w:ilvl w:val="0"/>
          <w:numId w:val="36"/>
        </w:numPr>
        <w:contextualSpacing/>
        <w:rPr>
          <w:rFonts w:asciiTheme="minorHAnsi" w:hAnsiTheme="minorHAnsi"/>
          <w:szCs w:val="18"/>
        </w:rPr>
      </w:pPr>
      <w:r w:rsidRPr="00DD6590">
        <w:rPr>
          <w:rFonts w:asciiTheme="minorHAnsi" w:hAnsiTheme="minorHAnsi"/>
          <w:szCs w:val="18"/>
        </w:rPr>
        <w:t xml:space="preserve">Ukazovatele výstupu </w:t>
      </w:r>
    </w:p>
    <w:p w14:paraId="3A555D25" w14:textId="77777777" w:rsidR="00D80E1A" w:rsidRPr="00DD6590" w:rsidRDefault="00D80E1A" w:rsidP="003E761D">
      <w:pPr>
        <w:pStyle w:val="ListParagraph"/>
        <w:numPr>
          <w:ilvl w:val="0"/>
          <w:numId w:val="39"/>
        </w:numPr>
        <w:contextualSpacing/>
        <w:rPr>
          <w:rFonts w:asciiTheme="minorHAnsi" w:hAnsiTheme="minorHAnsi"/>
          <w:szCs w:val="18"/>
        </w:rPr>
      </w:pPr>
      <w:r w:rsidRPr="00DD6590">
        <w:rPr>
          <w:rFonts w:asciiTheme="minorHAnsi" w:hAnsiTheme="minorHAnsi"/>
          <w:szCs w:val="18"/>
        </w:rPr>
        <w:t>Počet vybudovaných terminálov osobnej dopravy</w:t>
      </w:r>
    </w:p>
    <w:p w14:paraId="77E31494" w14:textId="77777777" w:rsidR="00BB352B" w:rsidRPr="00DD6590" w:rsidRDefault="00B91705" w:rsidP="00A57617">
      <w:r w:rsidRPr="00DD6590">
        <w:t xml:space="preserve">Hodnotením </w:t>
      </w:r>
      <w:r w:rsidR="004D58CE">
        <w:t>sa z</w:t>
      </w:r>
      <w:r w:rsidRPr="00DD6590">
        <w:t>ist</w:t>
      </w:r>
      <w:r w:rsidR="004D58CE">
        <w:t>ilo</w:t>
      </w:r>
      <w:r w:rsidRPr="00DD6590">
        <w:t>, že</w:t>
      </w:r>
      <w:r w:rsidR="0039267B" w:rsidRPr="00DD6590">
        <w:t xml:space="preserve"> </w:t>
      </w:r>
      <w:r w:rsidR="008F0F12" w:rsidRPr="00DD6590">
        <w:t>v</w:t>
      </w:r>
      <w:r w:rsidR="0039267B" w:rsidRPr="00DD6590">
        <w:t xml:space="preserve"> </w:t>
      </w:r>
      <w:r w:rsidR="00BB352B" w:rsidRPr="00DD6590">
        <w:t xml:space="preserve">PO3 je plánovaných </w:t>
      </w:r>
      <w:r w:rsidR="00CB5F8A" w:rsidRPr="00DD6590">
        <w:t xml:space="preserve">17 </w:t>
      </w:r>
      <w:r w:rsidR="00BB352B" w:rsidRPr="00DD6590">
        <w:t>projektov</w:t>
      </w:r>
      <w:r w:rsidR="004D58CE">
        <w:t>,</w:t>
      </w:r>
      <w:r w:rsidR="00854AD0" w:rsidRPr="00DD6590">
        <w:t xml:space="preserve"> a to v hodnote 215 mil. EUR</w:t>
      </w:r>
      <w:r w:rsidR="00BB352B" w:rsidRPr="00DD6590">
        <w:t>. Dva projekty prispejú k naplneniu ukazovateľa Celková dĺžka nových alebo zmodernizovaných tratí pre električky alebo metro</w:t>
      </w:r>
      <w:r w:rsidR="004D58CE">
        <w:t>,</w:t>
      </w:r>
      <w:r w:rsidR="00BB352B" w:rsidRPr="00DD6590">
        <w:t xml:space="preserve"> a to v celkovej dĺžke 10,55 km. Tento ukazovateľ by mal byť realizáciou týchto projektov naplnený na 99,73</w:t>
      </w:r>
      <w:r w:rsidR="004D58CE">
        <w:t xml:space="preserve"> </w:t>
      </w:r>
      <w:r w:rsidR="00BB352B" w:rsidRPr="00DD6590">
        <w:t>%.</w:t>
      </w:r>
    </w:p>
    <w:p w14:paraId="5D995E2F" w14:textId="77777777" w:rsidR="00BB352B" w:rsidRPr="00DD6590" w:rsidRDefault="00561C52" w:rsidP="00A57617">
      <w:r w:rsidRPr="00DD6590">
        <w:t xml:space="preserve">Najproblematickejším </w:t>
      </w:r>
      <w:r w:rsidR="00AB1D46" w:rsidRPr="00DD6590">
        <w:t>ukazovateľom</w:t>
      </w:r>
      <w:r w:rsidR="00BB352B" w:rsidRPr="00DD6590">
        <w:t xml:space="preserve"> v r</w:t>
      </w:r>
      <w:r w:rsidR="008F0F12" w:rsidRPr="00DD6590">
        <w:t>ámci</w:t>
      </w:r>
      <w:r w:rsidR="00BB352B" w:rsidRPr="00DD6590">
        <w:t xml:space="preserve"> PO3 je Počet cestujúcich prepravených dráhovou MHD v mestách Bratislava, Košice, Žilina, Prešov a Banská Bystrica, ktorý je vykazovaný na šiestich projektoch, </w:t>
      </w:r>
      <w:r w:rsidR="004D58CE">
        <w:t>ale</w:t>
      </w:r>
      <w:r w:rsidR="004D58CE" w:rsidRPr="00DD6590">
        <w:t xml:space="preserve"> </w:t>
      </w:r>
      <w:r w:rsidR="00BB352B" w:rsidRPr="00DD6590">
        <w:t>jeho hodnota na makro úrovni poklesla oproti roku 2013 o 4 mil</w:t>
      </w:r>
      <w:r w:rsidR="00072349">
        <w:t>. cestujúcich</w:t>
      </w:r>
      <w:r w:rsidR="00BB352B" w:rsidRPr="00DD6590">
        <w:t>. Preto odporúčame tento ukazovateľ prehodnotiť a nastaviť novú cieľovú hodnotu v rámci OPII</w:t>
      </w:r>
      <w:r w:rsidR="004D2EA9" w:rsidRPr="00DD6590">
        <w:t xml:space="preserve"> n</w:t>
      </w:r>
      <w:r w:rsidR="00736A98" w:rsidRPr="00DD6590">
        <w:t>a </w:t>
      </w:r>
      <w:r w:rsidR="004D2EA9" w:rsidRPr="00DD6590">
        <w:t xml:space="preserve">základe </w:t>
      </w:r>
      <w:r w:rsidR="00736A98" w:rsidRPr="00DD6590">
        <w:t>dopadové</w:t>
      </w:r>
      <w:r w:rsidR="004D2EA9" w:rsidRPr="00DD6590">
        <w:t>ho</w:t>
      </w:r>
      <w:r w:rsidR="00736A98" w:rsidRPr="00DD6590">
        <w:t xml:space="preserve"> hodnoteni</w:t>
      </w:r>
      <w:r w:rsidR="004D2EA9" w:rsidRPr="00DD6590">
        <w:t>a</w:t>
      </w:r>
      <w:r w:rsidR="00736A98" w:rsidRPr="00DD6590">
        <w:t xml:space="preserve">, ktoré by vyhodnotilo vplyv nových mobilných prostriedkov a infraštruktúry na využívanie </w:t>
      </w:r>
      <w:r w:rsidR="006D749F" w:rsidRPr="00DD6590">
        <w:t>MHD.</w:t>
      </w:r>
      <w:r w:rsidR="00736A98" w:rsidRPr="00DD6590">
        <w:t xml:space="preserve"> </w:t>
      </w:r>
    </w:p>
    <w:p w14:paraId="5FBF2AFB" w14:textId="77777777" w:rsidR="00A01182" w:rsidRPr="00DD6590" w:rsidRDefault="00BB352B" w:rsidP="00A57617">
      <w:r w:rsidRPr="00DD6590">
        <w:lastRenderedPageBreak/>
        <w:t>Ďalší</w:t>
      </w:r>
      <w:r w:rsidR="00AB1D46" w:rsidRPr="00DD6590">
        <w:t xml:space="preserve"> ukazovateľ, ktorý pravdepodobne nebude z projektov naplnený</w:t>
      </w:r>
      <w:r w:rsidR="00255B0C">
        <w:t>,</w:t>
      </w:r>
      <w:r w:rsidR="00AB1D46" w:rsidRPr="00DD6590">
        <w:t xml:space="preserve"> je Úspora času vo verejnej </w:t>
      </w:r>
      <w:r w:rsidR="006D749F" w:rsidRPr="00DD6590">
        <w:t>osobnej</w:t>
      </w:r>
      <w:r w:rsidR="00AB1D46" w:rsidRPr="00DD6590">
        <w:t xml:space="preserve"> doprave</w:t>
      </w:r>
      <w:r w:rsidR="00CC2AAA" w:rsidRPr="00DD6590">
        <w:t xml:space="preserve">. Tento ukazovateľ je plánovaný len pre jeden projekt, čím by sa cieľová hodnota pravdepodobne nenaplnila. Podľa zamerania </w:t>
      </w:r>
      <w:r w:rsidR="006759E4" w:rsidRPr="00DD6590">
        <w:t xml:space="preserve">plánovaných </w:t>
      </w:r>
      <w:r w:rsidR="00CC2AAA" w:rsidRPr="00DD6590">
        <w:t xml:space="preserve">projektov by bolo vhodné navrhnúť jeho doplnenie do </w:t>
      </w:r>
      <w:r w:rsidR="00507E6C" w:rsidRPr="00DD6590">
        <w:t xml:space="preserve">projektov </w:t>
      </w:r>
      <w:r w:rsidR="00CC2AAA" w:rsidRPr="00DD6590">
        <w:t>„</w:t>
      </w:r>
      <w:r w:rsidR="00425F9A" w:rsidRPr="00DD6590">
        <w:t>K</w:t>
      </w:r>
      <w:r w:rsidR="00CC2AAA" w:rsidRPr="00DD6590">
        <w:t>oľajové prepojenie mestskej časti Petržalka s centrom mesta, NS MHD 1. etapa Hlavná stanica – Janíkov dvor, prevádzkový úsek Bosákova ulica – Janíkov dvor, 2. časť Bosákova – Janíkov dvor</w:t>
      </w:r>
      <w:r w:rsidR="00425F9A" w:rsidRPr="00DD6590">
        <w:t>“</w:t>
      </w:r>
      <w:r w:rsidR="00507E6C" w:rsidRPr="00DD6590">
        <w:t xml:space="preserve"> a „Modernizácia električkových tratí Dúbravsko-</w:t>
      </w:r>
      <w:r w:rsidR="00255B0C">
        <w:t>K</w:t>
      </w:r>
      <w:r w:rsidR="00507E6C" w:rsidRPr="00DD6590">
        <w:t>arloveská radiála</w:t>
      </w:r>
      <w:r w:rsidR="001D52E4">
        <w:t>“</w:t>
      </w:r>
      <w:r w:rsidR="006759E4" w:rsidRPr="00DD6590">
        <w:t xml:space="preserve">, keďže v rámci dotazníka nebol tento ukazovateľ pre </w:t>
      </w:r>
      <w:r w:rsidR="00507E6C" w:rsidRPr="00DD6590">
        <w:t>tieto</w:t>
      </w:r>
      <w:r w:rsidR="006759E4" w:rsidRPr="00DD6590">
        <w:t xml:space="preserve"> projekt</w:t>
      </w:r>
      <w:r w:rsidR="00507E6C" w:rsidRPr="00DD6590">
        <w:t>y</w:t>
      </w:r>
      <w:r w:rsidR="006759E4" w:rsidRPr="00DD6590">
        <w:t xml:space="preserve"> zaznamenaný.</w:t>
      </w:r>
    </w:p>
    <w:p w14:paraId="43E0CD54" w14:textId="77777777" w:rsidR="00284D72" w:rsidRPr="00DD6590" w:rsidRDefault="008F0F12" w:rsidP="008F0F12">
      <w:r w:rsidRPr="00DD6590">
        <w:t>Ukazovateľ Počet vybudovaných terminálov osobnej dopravy</w:t>
      </w:r>
      <w:r w:rsidR="001F1079" w:rsidRPr="00DD6590">
        <w:t xml:space="preserve"> bude napĺňaný až z plánovaných projektov</w:t>
      </w:r>
      <w:r w:rsidR="00255B0C">
        <w:t>,</w:t>
      </w:r>
      <w:r w:rsidR="001F1079" w:rsidRPr="00DD6590">
        <w:t xml:space="preserve"> a to len na 50</w:t>
      </w:r>
      <w:r w:rsidR="00255B0C">
        <w:t xml:space="preserve"> </w:t>
      </w:r>
      <w:r w:rsidR="001F1079" w:rsidRPr="00DD6590">
        <w:t xml:space="preserve">%. </w:t>
      </w:r>
      <w:r w:rsidR="00284D72" w:rsidRPr="00DD6590">
        <w:t>Z pôvodne plánovaných ôsm</w:t>
      </w:r>
      <w:r w:rsidR="00507D7D">
        <w:t>i</w:t>
      </w:r>
      <w:r w:rsidR="00284D72" w:rsidRPr="00DD6590">
        <w:t>ch terminálov prijímateľ v dotazníku uviedol len terminály:</w:t>
      </w:r>
    </w:p>
    <w:p w14:paraId="2231E9CE" w14:textId="77777777" w:rsidR="00284D72" w:rsidRPr="00DD6590" w:rsidRDefault="00284D72" w:rsidP="003E761D">
      <w:pPr>
        <w:pStyle w:val="ListParagraph"/>
        <w:numPr>
          <w:ilvl w:val="0"/>
          <w:numId w:val="36"/>
        </w:numPr>
        <w:contextualSpacing/>
        <w:rPr>
          <w:rFonts w:asciiTheme="minorHAnsi" w:hAnsiTheme="minorHAnsi"/>
          <w:szCs w:val="18"/>
        </w:rPr>
      </w:pPr>
      <w:r w:rsidRPr="00DD6590">
        <w:rPr>
          <w:rFonts w:asciiTheme="minorHAnsi" w:hAnsiTheme="minorHAnsi"/>
          <w:szCs w:val="18"/>
        </w:rPr>
        <w:t xml:space="preserve">Lamačská </w:t>
      </w:r>
      <w:r w:rsidR="00507E6C" w:rsidRPr="00DD6590">
        <w:rPr>
          <w:rFonts w:asciiTheme="minorHAnsi" w:hAnsiTheme="minorHAnsi"/>
          <w:szCs w:val="18"/>
        </w:rPr>
        <w:t>brána</w:t>
      </w:r>
    </w:p>
    <w:p w14:paraId="6FE358F4" w14:textId="77777777" w:rsidR="00284D72" w:rsidRPr="00DD6590" w:rsidRDefault="00284D72" w:rsidP="003E761D">
      <w:pPr>
        <w:pStyle w:val="ListParagraph"/>
        <w:numPr>
          <w:ilvl w:val="0"/>
          <w:numId w:val="36"/>
        </w:numPr>
        <w:contextualSpacing/>
        <w:rPr>
          <w:rFonts w:asciiTheme="minorHAnsi" w:hAnsiTheme="minorHAnsi"/>
          <w:szCs w:val="18"/>
        </w:rPr>
      </w:pPr>
      <w:r w:rsidRPr="00DD6590">
        <w:rPr>
          <w:rFonts w:asciiTheme="minorHAnsi" w:hAnsiTheme="minorHAnsi"/>
          <w:szCs w:val="18"/>
        </w:rPr>
        <w:t>Patrónka</w:t>
      </w:r>
    </w:p>
    <w:p w14:paraId="7FD86FAA" w14:textId="77777777" w:rsidR="00284D72" w:rsidRPr="00DD6590" w:rsidRDefault="00284D72" w:rsidP="003E761D">
      <w:pPr>
        <w:pStyle w:val="ListParagraph"/>
        <w:numPr>
          <w:ilvl w:val="0"/>
          <w:numId w:val="36"/>
        </w:numPr>
        <w:contextualSpacing/>
        <w:rPr>
          <w:rFonts w:asciiTheme="minorHAnsi" w:hAnsiTheme="minorHAnsi"/>
          <w:szCs w:val="18"/>
        </w:rPr>
      </w:pPr>
      <w:r w:rsidRPr="00DD6590">
        <w:rPr>
          <w:rFonts w:asciiTheme="minorHAnsi" w:hAnsiTheme="minorHAnsi"/>
          <w:szCs w:val="18"/>
        </w:rPr>
        <w:t>Ružinov</w:t>
      </w:r>
    </w:p>
    <w:p w14:paraId="2D40C3AC" w14:textId="77777777" w:rsidR="00284D72" w:rsidRPr="00DD6590" w:rsidRDefault="00284D72" w:rsidP="003E761D">
      <w:pPr>
        <w:pStyle w:val="ListParagraph"/>
        <w:numPr>
          <w:ilvl w:val="0"/>
          <w:numId w:val="36"/>
        </w:numPr>
        <w:contextualSpacing/>
        <w:rPr>
          <w:rFonts w:asciiTheme="minorHAnsi" w:hAnsiTheme="minorHAnsi"/>
          <w:szCs w:val="18"/>
        </w:rPr>
      </w:pPr>
      <w:r w:rsidRPr="00DD6590">
        <w:rPr>
          <w:rFonts w:asciiTheme="minorHAnsi" w:hAnsiTheme="minorHAnsi"/>
          <w:szCs w:val="18"/>
        </w:rPr>
        <w:t>Vrakuňa</w:t>
      </w:r>
    </w:p>
    <w:p w14:paraId="289F5B27" w14:textId="77777777" w:rsidR="001F1079" w:rsidRPr="00DD6590" w:rsidRDefault="00EA3916" w:rsidP="001F1079">
      <w:r w:rsidRPr="00DD6590">
        <w:rPr>
          <w:szCs w:val="18"/>
        </w:rPr>
        <w:t xml:space="preserve">Počet terminálov bol znížený na základe štúdie uskutočniteľnosti pre železničný uzol Bratislava. </w:t>
      </w:r>
      <w:r w:rsidR="004D2EA9" w:rsidRPr="00DD6590">
        <w:rPr>
          <w:szCs w:val="18"/>
        </w:rPr>
        <w:t>T</w:t>
      </w:r>
      <w:r w:rsidR="00507E6C" w:rsidRPr="00DD6590">
        <w:rPr>
          <w:szCs w:val="18"/>
        </w:rPr>
        <w:t>erminál Trebišov sa plánuje v rámci revízie OPII realizovať z prioritnej osi 5.</w:t>
      </w:r>
      <w:r w:rsidR="00255B0C">
        <w:rPr>
          <w:szCs w:val="18"/>
        </w:rPr>
        <w:t xml:space="preserve"> </w:t>
      </w:r>
      <w:r w:rsidR="001F1079" w:rsidRPr="00DD6590">
        <w:t xml:space="preserve">Vyhodnotenie naplnenia jednotlivých ukazovateľov je farebne rozlíšené nasledovne: </w:t>
      </w:r>
      <w:r w:rsidR="001F1079" w:rsidRPr="00DD6590">
        <w:rPr>
          <w:color w:val="D0EC9F"/>
        </w:rPr>
        <w:t xml:space="preserve">zelená farba </w:t>
      </w:r>
      <w:r w:rsidR="001F1079" w:rsidRPr="00DD6590">
        <w:t xml:space="preserve">– žiadne riziko, </w:t>
      </w:r>
      <w:r w:rsidR="001F1079" w:rsidRPr="00DD6590">
        <w:rPr>
          <w:color w:val="FFD653"/>
        </w:rPr>
        <w:t xml:space="preserve">žltá farba </w:t>
      </w:r>
      <w:r w:rsidR="001F1079" w:rsidRPr="00DD6590">
        <w:t xml:space="preserve">– stredné riziko a </w:t>
      </w:r>
      <w:r w:rsidR="001F1079" w:rsidRPr="00DD6590">
        <w:rPr>
          <w:color w:val="EF858F"/>
        </w:rPr>
        <w:t xml:space="preserve">červená farba </w:t>
      </w:r>
      <w:r w:rsidR="001F1079" w:rsidRPr="00DD6590">
        <w:t>– vysoké riziko.</w:t>
      </w:r>
    </w:p>
    <w:p w14:paraId="0478AD74" w14:textId="77777777" w:rsidR="001F1079" w:rsidRPr="00DD6590" w:rsidRDefault="001F1079" w:rsidP="001F1079">
      <w:pPr>
        <w:spacing w:before="0" w:after="0" w:line="276" w:lineRule="auto"/>
        <w:rPr>
          <w:szCs w:val="18"/>
        </w:rPr>
      </w:pPr>
      <w:r w:rsidRPr="00DD6590">
        <w:rPr>
          <w:szCs w:val="18"/>
        </w:rPr>
        <w:t>V matici sú použité nasledovné kódy merateľných ukazovateľov:</w:t>
      </w:r>
    </w:p>
    <w:p w14:paraId="24A2FD28" w14:textId="77777777" w:rsidR="009C5B69" w:rsidRPr="00DD6590" w:rsidRDefault="001F1079" w:rsidP="001F1079">
      <w:r w:rsidRPr="00DD6590">
        <w:t xml:space="preserve">Merateľné ukazovatele – výsledkové: </w:t>
      </w:r>
    </w:p>
    <w:p w14:paraId="1BD69BFC" w14:textId="77777777" w:rsidR="001F1079" w:rsidRPr="00DD6590" w:rsidRDefault="001F1079" w:rsidP="001F1079">
      <w:pPr>
        <w:contextualSpacing/>
      </w:pPr>
      <w:r w:rsidRPr="00DD6590">
        <w:t xml:space="preserve">P0652 </w:t>
      </w:r>
      <w:r w:rsidR="00255B0C" w:rsidRPr="00DD6590">
        <w:t>–</w:t>
      </w:r>
      <w:r w:rsidRPr="00DD6590">
        <w:t xml:space="preserve"> Úspora času vo verejnej osobnej doprave</w:t>
      </w:r>
    </w:p>
    <w:p w14:paraId="132ACBB8" w14:textId="77777777" w:rsidR="001F1079" w:rsidRPr="00DD6590" w:rsidRDefault="001F1079" w:rsidP="001F1079">
      <w:r w:rsidRPr="00DD6590">
        <w:t xml:space="preserve">P0144 </w:t>
      </w:r>
      <w:r w:rsidR="00255B0C" w:rsidRPr="00DD6590">
        <w:t>–</w:t>
      </w:r>
      <w:r w:rsidRPr="00DD6590">
        <w:t xml:space="preserve"> Počet cestujúcich prepravených dráhovou MHD v mestách Bratislava, Košice, Žilina, Prešov a Banská Bystrica</w:t>
      </w:r>
    </w:p>
    <w:p w14:paraId="6BD61C05" w14:textId="77777777" w:rsidR="001F1079" w:rsidRPr="00DD6590" w:rsidRDefault="001F1079" w:rsidP="001F1079">
      <w:r w:rsidRPr="00DD6590">
        <w:t>Merateľné ukazovatele - výstupové:</w:t>
      </w:r>
    </w:p>
    <w:p w14:paraId="0FFDE547" w14:textId="77777777" w:rsidR="001F1079" w:rsidRPr="00DD6590" w:rsidRDefault="001F1079" w:rsidP="001F1079">
      <w:pPr>
        <w:contextualSpacing/>
      </w:pPr>
      <w:r w:rsidRPr="00DD6590">
        <w:t xml:space="preserve">P0013 </w:t>
      </w:r>
      <w:r w:rsidR="00255B0C" w:rsidRPr="00DD6590">
        <w:t>–</w:t>
      </w:r>
      <w:r w:rsidRPr="00DD6590">
        <w:t xml:space="preserve"> Celková dĺžka nových alebo zmodernizovaných tratí pre električky alebo metro</w:t>
      </w:r>
    </w:p>
    <w:p w14:paraId="1A519935" w14:textId="77777777" w:rsidR="001F1079" w:rsidRPr="00DD6590" w:rsidRDefault="001F1079" w:rsidP="001F1079">
      <w:pPr>
        <w:contextualSpacing/>
      </w:pPr>
      <w:r w:rsidRPr="00DD6590">
        <w:t xml:space="preserve">P0494 </w:t>
      </w:r>
      <w:r w:rsidR="00255B0C" w:rsidRPr="00DD6590">
        <w:t>–</w:t>
      </w:r>
      <w:r w:rsidRPr="00DD6590">
        <w:t xml:space="preserve"> Počet vybudovaných terminálov osobnej dopravy </w:t>
      </w:r>
    </w:p>
    <w:p w14:paraId="476F3383" w14:textId="77777777" w:rsidR="001F1079" w:rsidRPr="00DD6590" w:rsidRDefault="001F1079" w:rsidP="00363FAB">
      <w:r w:rsidRPr="00DD6590">
        <w:t xml:space="preserve">P0222 </w:t>
      </w:r>
      <w:r w:rsidR="00255B0C" w:rsidRPr="00DD6590">
        <w:t>–</w:t>
      </w:r>
      <w:r w:rsidRPr="00DD6590">
        <w:t xml:space="preserve"> Počet nových mobilných prostriedkov dráhovej mestskej hromadnej dopravy (električky, trolejbusy) vhodných tiež pre cestujúcich s obmedzenou mobilitou</w:t>
      </w:r>
    </w:p>
    <w:p w14:paraId="1017F758" w14:textId="77777777" w:rsidR="001F1079" w:rsidRPr="00DD6590" w:rsidRDefault="00363FAB" w:rsidP="00363FAB">
      <w:r w:rsidRPr="00DD6590">
        <w:t>Nové m</w:t>
      </w:r>
      <w:r w:rsidR="001F1079" w:rsidRPr="00DD6590">
        <w:t xml:space="preserve">erateľné ukazovatele </w:t>
      </w:r>
      <w:r w:rsidRPr="00DD6590">
        <w:t>–</w:t>
      </w:r>
      <w:r w:rsidR="001F1079" w:rsidRPr="00DD6590">
        <w:t xml:space="preserve"> </w:t>
      </w:r>
      <w:r w:rsidRPr="00DD6590">
        <w:t>navrhnuté projektovými manažérmi</w:t>
      </w:r>
      <w:r w:rsidR="001F1079" w:rsidRPr="00DD6590">
        <w:t>:</w:t>
      </w:r>
    </w:p>
    <w:p w14:paraId="02789AC7" w14:textId="77777777" w:rsidR="001F1079" w:rsidRPr="00DD6590" w:rsidRDefault="001F1079" w:rsidP="00363FAB">
      <w:pPr>
        <w:contextualSpacing/>
      </w:pPr>
      <w:r w:rsidRPr="00DD6590">
        <w:t>XXX - Vybudovanie vizuálneho informačného systému v bodoch (obec, mesto) o príchode a odchode vlakov</w:t>
      </w:r>
    </w:p>
    <w:p w14:paraId="67D6736C" w14:textId="77777777" w:rsidR="001F1079" w:rsidRPr="00DD6590" w:rsidRDefault="001F1079" w:rsidP="00363FAB">
      <w:pPr>
        <w:contextualSpacing/>
      </w:pPr>
    </w:p>
    <w:p w14:paraId="2916D9BE" w14:textId="77777777" w:rsidR="00363FAB" w:rsidRPr="00DD6590" w:rsidRDefault="00363FAB" w:rsidP="00255B0C">
      <w:pPr>
        <w:pStyle w:val="Heading1"/>
        <w:sectPr w:rsidR="00363FAB" w:rsidRPr="00DD6590" w:rsidSect="00847AD7">
          <w:pgSz w:w="11906" w:h="16838" w:code="9"/>
          <w:pgMar w:top="1987" w:right="1138" w:bottom="1138" w:left="1411" w:header="677" w:footer="562" w:gutter="0"/>
          <w:cols w:space="9"/>
          <w:titlePg/>
          <w:docGrid w:linePitch="360"/>
        </w:sectPr>
      </w:pPr>
    </w:p>
    <w:p w14:paraId="6CAC20E4" w14:textId="26842C1D" w:rsidR="007525D3" w:rsidRPr="00DD6590" w:rsidRDefault="007525D3" w:rsidP="007525D3">
      <w:pPr>
        <w:pStyle w:val="Caption"/>
      </w:pPr>
      <w:bookmarkStart w:id="35" w:name="_Toc9855573"/>
      <w:r w:rsidRPr="00DD6590">
        <w:lastRenderedPageBreak/>
        <w:t xml:space="preserve">Schéma </w:t>
      </w:r>
      <w:r w:rsidRPr="00DD6590">
        <w:fldChar w:fldCharType="begin"/>
      </w:r>
      <w:r w:rsidRPr="00DD6590">
        <w:instrText xml:space="preserve"> SEQ Schéma \* ARABIC </w:instrText>
      </w:r>
      <w:r w:rsidRPr="00DD6590">
        <w:fldChar w:fldCharType="separate"/>
      </w:r>
      <w:r w:rsidR="00DC3C97">
        <w:rPr>
          <w:noProof/>
        </w:rPr>
        <w:t>3</w:t>
      </w:r>
      <w:r w:rsidRPr="00DD6590">
        <w:fldChar w:fldCharType="end"/>
      </w:r>
      <w:r w:rsidRPr="00DD6590">
        <w:t xml:space="preserve"> Matica plánované projekty vs. naplnenie ukazovateľov na úrovni PO3</w:t>
      </w:r>
      <w:bookmarkEnd w:id="35"/>
    </w:p>
    <w:p w14:paraId="2276C6FD" w14:textId="77777777" w:rsidR="007525D3" w:rsidRPr="00DD6590" w:rsidRDefault="007525D3" w:rsidP="007525D3">
      <w:pPr>
        <w:pStyle w:val="Caption"/>
      </w:pPr>
      <w:r w:rsidRPr="00DD6590">
        <w:rPr>
          <w:noProof/>
          <w:lang w:eastAsia="sk-SK"/>
        </w:rPr>
        <w:drawing>
          <wp:inline distT="0" distB="0" distL="0" distR="0" wp14:anchorId="2985CC61" wp14:editId="0CFE79B0">
            <wp:extent cx="8238796" cy="5486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38796" cy="5486400"/>
                    </a:xfrm>
                    <a:prstGeom prst="rect">
                      <a:avLst/>
                    </a:prstGeom>
                    <a:noFill/>
                    <a:ln>
                      <a:noFill/>
                    </a:ln>
                  </pic:spPr>
                </pic:pic>
              </a:graphicData>
            </a:graphic>
          </wp:inline>
        </w:drawing>
      </w:r>
    </w:p>
    <w:p w14:paraId="41BC8AA3" w14:textId="77777777" w:rsidR="007525D3" w:rsidRPr="00DD6590" w:rsidRDefault="007525D3">
      <w:pPr>
        <w:spacing w:before="0" w:after="200" w:line="276" w:lineRule="auto"/>
        <w:jc w:val="left"/>
        <w:sectPr w:rsidR="007525D3" w:rsidRPr="00DD6590" w:rsidSect="007525D3">
          <w:pgSz w:w="16838" w:h="11906" w:orient="landscape" w:code="9"/>
          <w:pgMar w:top="1411" w:right="1987" w:bottom="1138" w:left="1138" w:header="677" w:footer="562" w:gutter="0"/>
          <w:cols w:space="9"/>
          <w:titlePg/>
          <w:docGrid w:linePitch="360"/>
        </w:sectPr>
      </w:pPr>
    </w:p>
    <w:p w14:paraId="791F67ED" w14:textId="77777777" w:rsidR="005775F7" w:rsidRPr="00DD6590" w:rsidRDefault="005775F7" w:rsidP="00255B0C">
      <w:pPr>
        <w:pStyle w:val="Heading1"/>
      </w:pPr>
      <w:bookmarkStart w:id="36" w:name="_Toc10709714"/>
      <w:r w:rsidRPr="00DD6590">
        <w:lastRenderedPageBreak/>
        <w:t>Hlavné zistenie analýzy Prioritnej osi 4 – Infraštruktúra vodnej dopravy (TEN-T CORE)</w:t>
      </w:r>
      <w:bookmarkEnd w:id="36"/>
    </w:p>
    <w:p w14:paraId="44E2F1B3" w14:textId="77777777" w:rsidR="005775F7" w:rsidRPr="00DD6590" w:rsidRDefault="00120B4B" w:rsidP="000730F3">
      <w:pPr>
        <w:rPr>
          <w:b/>
        </w:rPr>
      </w:pPr>
      <w:r w:rsidRPr="00DD6590">
        <w:t xml:space="preserve">Vyhodnotenie prioritnej osi štyri je uvedené </w:t>
      </w:r>
      <w:r w:rsidR="00072349">
        <w:t xml:space="preserve">v prílohe č. 7 - </w:t>
      </w:r>
      <w:r w:rsidR="00072349" w:rsidRPr="00072349">
        <w:t>Výsledky analýzy Prioritnej osi 4 – Infraštruktúra vodnej dopravy</w:t>
      </w:r>
      <w:r w:rsidR="00BB0A6C" w:rsidRPr="00072349">
        <w:t xml:space="preserve">. </w:t>
      </w:r>
    </w:p>
    <w:p w14:paraId="515F2A95" w14:textId="77777777" w:rsidR="0098739F" w:rsidRPr="00DD6590" w:rsidRDefault="009A758F" w:rsidP="005775F7">
      <w:r w:rsidRPr="00DD6590">
        <w:t>V rámci prioritnej osi 4 sú v súčasnosti plánované najmä neinvestičné projekty</w:t>
      </w:r>
      <w:r w:rsidR="00255B0C">
        <w:t xml:space="preserve"> a</w:t>
      </w:r>
      <w:r w:rsidRPr="00DD6590">
        <w:t xml:space="preserve"> z ich realizácie by mala vyplynúť potreba realizácie investičných aktivít. S ohľadom na plánované projekty </w:t>
      </w:r>
      <w:r w:rsidR="0098739F" w:rsidRPr="00DD6590">
        <w:t xml:space="preserve">sú zatiaľ naplánované len </w:t>
      </w:r>
      <w:r w:rsidR="00C404B4" w:rsidRPr="00DD6590">
        <w:t>tri</w:t>
      </w:r>
      <w:r w:rsidR="0098739F" w:rsidRPr="00DD6590">
        <w:t xml:space="preserve"> investičné projekty</w:t>
      </w:r>
      <w:r w:rsidR="00BB30E7" w:rsidRPr="00DD6590">
        <w:t>, ktoré mali určený termín realizácie</w:t>
      </w:r>
      <w:r w:rsidR="00255B0C">
        <w:t>,</w:t>
      </w:r>
      <w:r w:rsidRPr="00DD6590">
        <w:t xml:space="preserve"> </w:t>
      </w:r>
      <w:r w:rsidR="0098739F" w:rsidRPr="00DD6590">
        <w:t xml:space="preserve">a to: </w:t>
      </w:r>
    </w:p>
    <w:p w14:paraId="4AF165B4" w14:textId="77777777" w:rsidR="009A758F" w:rsidRPr="00DD6590" w:rsidRDefault="009A758F" w:rsidP="003E761D">
      <w:pPr>
        <w:pStyle w:val="ListParagraph"/>
        <w:numPr>
          <w:ilvl w:val="0"/>
          <w:numId w:val="36"/>
        </w:numPr>
        <w:ind w:left="360"/>
        <w:rPr>
          <w:rFonts w:asciiTheme="minorHAnsi" w:hAnsiTheme="minorHAnsi"/>
          <w:szCs w:val="18"/>
        </w:rPr>
      </w:pPr>
      <w:r w:rsidRPr="00DD6590">
        <w:rPr>
          <w:rFonts w:asciiTheme="minorHAnsi" w:hAnsiTheme="minorHAnsi"/>
          <w:szCs w:val="18"/>
        </w:rPr>
        <w:t>„Pravidelná osobná lodná doprava na Dunaji – Dunajbus“ v hodnote 65 mil. EUR. Tento projekt však pri súčasnom nastavení ukazovateľov a aktivít OPII neprispieva k</w:t>
      </w:r>
      <w:r w:rsidR="0098739F" w:rsidRPr="00DD6590">
        <w:rPr>
          <w:rFonts w:asciiTheme="minorHAnsi" w:hAnsiTheme="minorHAnsi"/>
          <w:szCs w:val="18"/>
        </w:rPr>
        <w:t> ich naplneniu</w:t>
      </w:r>
      <w:r w:rsidR="00255B0C">
        <w:rPr>
          <w:rFonts w:asciiTheme="minorHAnsi" w:hAnsiTheme="minorHAnsi"/>
          <w:szCs w:val="18"/>
        </w:rPr>
        <w:t>,</w:t>
      </w:r>
      <w:r w:rsidR="0098739F" w:rsidRPr="00DD6590">
        <w:rPr>
          <w:rFonts w:asciiTheme="minorHAnsi" w:hAnsiTheme="minorHAnsi"/>
          <w:szCs w:val="18"/>
        </w:rPr>
        <w:t xml:space="preserve"> </w:t>
      </w:r>
    </w:p>
    <w:p w14:paraId="29D7807C" w14:textId="77777777" w:rsidR="00C404B4" w:rsidRPr="00DD6590" w:rsidRDefault="0098739F" w:rsidP="003E761D">
      <w:pPr>
        <w:pStyle w:val="ListParagraph"/>
        <w:numPr>
          <w:ilvl w:val="0"/>
          <w:numId w:val="36"/>
        </w:numPr>
        <w:ind w:left="360"/>
        <w:rPr>
          <w:rFonts w:asciiTheme="minorHAnsi" w:hAnsiTheme="minorHAnsi"/>
          <w:szCs w:val="18"/>
        </w:rPr>
      </w:pPr>
      <w:r w:rsidRPr="00DD6590">
        <w:rPr>
          <w:rFonts w:asciiTheme="minorHAnsi" w:hAnsiTheme="minorHAnsi"/>
          <w:szCs w:val="18"/>
        </w:rPr>
        <w:t>„Zmena rýchlosti prúdenia v dolnej časti zdrže Hrušov – realizácia“, ktorý taktiež neprispieva k naplneniu ukazovateľov stanovených v</w:t>
      </w:r>
      <w:r w:rsidR="00C404B4" w:rsidRPr="00DD6590">
        <w:rPr>
          <w:rFonts w:asciiTheme="minorHAnsi" w:hAnsiTheme="minorHAnsi"/>
          <w:szCs w:val="18"/>
        </w:rPr>
        <w:t> </w:t>
      </w:r>
      <w:r w:rsidRPr="00DD6590">
        <w:rPr>
          <w:rFonts w:asciiTheme="minorHAnsi" w:hAnsiTheme="minorHAnsi"/>
          <w:szCs w:val="18"/>
        </w:rPr>
        <w:t>OPII</w:t>
      </w:r>
      <w:r w:rsidR="00C404B4" w:rsidRPr="00DD6590">
        <w:rPr>
          <w:rFonts w:asciiTheme="minorHAnsi" w:hAnsiTheme="minorHAnsi"/>
          <w:szCs w:val="18"/>
        </w:rPr>
        <w:t>,</w:t>
      </w:r>
    </w:p>
    <w:p w14:paraId="4B68E392" w14:textId="77777777" w:rsidR="0098739F" w:rsidRPr="00DD6590" w:rsidRDefault="00C404B4" w:rsidP="003E761D">
      <w:pPr>
        <w:pStyle w:val="ListParagraph"/>
        <w:numPr>
          <w:ilvl w:val="0"/>
          <w:numId w:val="36"/>
        </w:numPr>
        <w:ind w:left="360"/>
        <w:rPr>
          <w:rFonts w:asciiTheme="minorHAnsi" w:hAnsiTheme="minorHAnsi"/>
          <w:szCs w:val="18"/>
        </w:rPr>
      </w:pPr>
      <w:r w:rsidRPr="00DD6590">
        <w:rPr>
          <w:rFonts w:asciiTheme="minorHAnsi" w:hAnsiTheme="minorHAnsi"/>
          <w:szCs w:val="18"/>
        </w:rPr>
        <w:t>„Modernizácia plavebných znakov na medzinárodnej vodnej ceste Dunaj – realizácia“</w:t>
      </w:r>
      <w:r w:rsidR="0098739F" w:rsidRPr="00DD6590">
        <w:rPr>
          <w:rFonts w:asciiTheme="minorHAnsi" w:hAnsiTheme="minorHAnsi"/>
          <w:szCs w:val="18"/>
        </w:rPr>
        <w:t xml:space="preserve">.  </w:t>
      </w:r>
    </w:p>
    <w:p w14:paraId="11EF3FAB" w14:textId="77777777" w:rsidR="009A758F" w:rsidRPr="00DD6590" w:rsidRDefault="009A758F" w:rsidP="009A758F">
      <w:r w:rsidRPr="00DD6590">
        <w:t>Z ukazovateľov stanovených v</w:t>
      </w:r>
      <w:r w:rsidR="000F31B2" w:rsidRPr="00DD6590">
        <w:t> </w:t>
      </w:r>
      <w:r w:rsidRPr="00DD6590">
        <w:t>OPII</w:t>
      </w:r>
      <w:r w:rsidR="000F31B2" w:rsidRPr="00DD6590">
        <w:t xml:space="preserve"> verzia</w:t>
      </w:r>
      <w:r w:rsidRPr="00DD6590">
        <w:t xml:space="preserve"> 5.1 bude na 100</w:t>
      </w:r>
      <w:r w:rsidR="00682EC5">
        <w:t xml:space="preserve"> </w:t>
      </w:r>
      <w:r w:rsidRPr="00DD6590">
        <w:t>% naplnený len jeden ukazovateľ</w:t>
      </w:r>
      <w:r w:rsidR="00682EC5">
        <w:t>,</w:t>
      </w:r>
      <w:r w:rsidRPr="00DD6590">
        <w:t xml:space="preserve"> a to Počet vypracovaných štúdií realizovateľnosti (v súvislosti s rozvojom prístavov a vodných ciest TEN-T CORE).</w:t>
      </w:r>
    </w:p>
    <w:p w14:paraId="226A3E9E" w14:textId="77777777" w:rsidR="009A758F" w:rsidRPr="00DD6590" w:rsidRDefault="008D1403" w:rsidP="009A758F">
      <w:r w:rsidRPr="00DD6590">
        <w:t xml:space="preserve">Ostatné ukazovatele </w:t>
      </w:r>
      <w:r w:rsidR="00B20167" w:rsidRPr="00DD6590">
        <w:t>by mali byť podľa dotazníka napĺňané plánovanými projektami</w:t>
      </w:r>
      <w:r w:rsidRPr="00DD6590">
        <w:t xml:space="preserve">. </w:t>
      </w:r>
      <w:r w:rsidR="0098739F" w:rsidRPr="00DD6590">
        <w:t>V súlade s dotazníkom vyplneným projektovými manažérmi</w:t>
      </w:r>
      <w:r w:rsidR="00B20167" w:rsidRPr="00DD6590">
        <w:t xml:space="preserve"> a </w:t>
      </w:r>
      <w:r w:rsidR="00682EC5" w:rsidRPr="00DD6590">
        <w:t>informáci</w:t>
      </w:r>
      <w:r w:rsidR="00682EC5">
        <w:t>ami</w:t>
      </w:r>
      <w:r w:rsidR="00682EC5" w:rsidRPr="00DD6590">
        <w:t xml:space="preserve"> </w:t>
      </w:r>
      <w:r w:rsidR="00B20167" w:rsidRPr="00DD6590">
        <w:t>od vedúceho oddelenia</w:t>
      </w:r>
      <w:r w:rsidR="0098739F" w:rsidRPr="00DD6590">
        <w:t xml:space="preserve"> sú zatiaľ plánované projekty v</w:t>
      </w:r>
      <w:r w:rsidR="00EC7D17" w:rsidRPr="00DD6590">
        <w:t xml:space="preserve"> celkovej</w:t>
      </w:r>
      <w:r w:rsidR="0098739F" w:rsidRPr="00DD6590">
        <w:t xml:space="preserve"> hodnote </w:t>
      </w:r>
      <w:r w:rsidR="00B20167" w:rsidRPr="00DD6590">
        <w:t>149</w:t>
      </w:r>
      <w:r w:rsidR="0098739F" w:rsidRPr="00DD6590">
        <w:t xml:space="preserve"> mil. EUR. </w:t>
      </w:r>
      <w:r w:rsidR="00682EC5">
        <w:t>V</w:t>
      </w:r>
      <w:r w:rsidR="00B20167" w:rsidRPr="00DD6590">
        <w:t>äčšina investičných projektov, ktoré sú plánované</w:t>
      </w:r>
      <w:r w:rsidR="00682EC5">
        <w:t>, však</w:t>
      </w:r>
      <w:r w:rsidR="00B20167" w:rsidRPr="00DD6590">
        <w:t xml:space="preserve"> nemá ešte vypracovanú štúdiu uskutočniteľnosti, resp. </w:t>
      </w:r>
      <w:r w:rsidR="00254E12" w:rsidRPr="00DD6590">
        <w:t>práve</w:t>
      </w:r>
      <w:r w:rsidR="00682EC5">
        <w:t xml:space="preserve"> sa</w:t>
      </w:r>
      <w:r w:rsidR="00254E12" w:rsidRPr="00DD6590">
        <w:t xml:space="preserve"> vypracováva. </w:t>
      </w:r>
      <w:r w:rsidR="00C404B4" w:rsidRPr="00DD6590">
        <w:t>Tým</w:t>
      </w:r>
      <w:r w:rsidR="00254E12" w:rsidRPr="00DD6590">
        <w:t xml:space="preserve"> vzniká predpoklad, že investičné projekty nebudú realizované v tomto programovom období, ale štúdie môžu byť využité ako podklad pre projekty, ktoré by mohli byť financované z ďalšieho programového obdobia. </w:t>
      </w:r>
    </w:p>
    <w:p w14:paraId="60F0EF6A" w14:textId="77777777" w:rsidR="00254E12" w:rsidRPr="00DD6590" w:rsidRDefault="00254E12" w:rsidP="009A758F">
      <w:r w:rsidRPr="00DD6590">
        <w:t>Všetky sumy, ktoré boli uvedené v dotazníku k plánovaným projektom</w:t>
      </w:r>
      <w:r w:rsidR="00272F3D">
        <w:t>,</w:t>
      </w:r>
      <w:r w:rsidRPr="00DD6590">
        <w:t xml:space="preserve"> sú len odhadované hodnoty, ktoré ešte nemajú ani určenú predpokladanú hodnotu zákazky. Ďalším problémom tejto prioritnej osi je, že sú nedoriešené majetko</w:t>
      </w:r>
      <w:r w:rsidR="003503DF" w:rsidRPr="00DD6590">
        <w:t>vo</w:t>
      </w:r>
      <w:r w:rsidRPr="00DD6590">
        <w:t>-právne vzťahy vo Verejnom</w:t>
      </w:r>
      <w:r w:rsidR="001D52E4" w:rsidRPr="00DD6590">
        <w:t xml:space="preserve"> </w:t>
      </w:r>
      <w:r w:rsidRPr="00DD6590">
        <w:t xml:space="preserve">prístave Bratislava, čo tiež znemožňuje realizáciu niektorých plánovaných projektov. </w:t>
      </w:r>
    </w:p>
    <w:p w14:paraId="161DA24E" w14:textId="77777777" w:rsidR="008D1403" w:rsidRPr="00DD6590" w:rsidRDefault="008D1403" w:rsidP="008D1403">
      <w:r w:rsidRPr="00DD6590">
        <w:t>Plánované projekty deklarované prijímateľmi sú uvedené v nasledujúcej matici, ktorá zobrazuje aj odhad napĺňania ukazovateľov.</w:t>
      </w:r>
    </w:p>
    <w:p w14:paraId="09E85A4A" w14:textId="77777777" w:rsidR="008D1403" w:rsidRPr="00DD6590" w:rsidRDefault="008D1403" w:rsidP="008D1403">
      <w:r w:rsidRPr="00DD6590">
        <w:t xml:space="preserve">Vyhodnotenie naplnenia jednotlivých ukazovateľov je farebne rozlíšené nasledovne: </w:t>
      </w:r>
      <w:r w:rsidRPr="00DD6590">
        <w:rPr>
          <w:color w:val="D0EC9F"/>
        </w:rPr>
        <w:t xml:space="preserve">zelená farba </w:t>
      </w:r>
      <w:r w:rsidRPr="00DD6590">
        <w:t>– žiadne</w:t>
      </w:r>
      <w:r w:rsidR="00EC7D17" w:rsidRPr="00DD6590">
        <w:t>/malé</w:t>
      </w:r>
      <w:r w:rsidRPr="00DD6590">
        <w:t xml:space="preserve"> riziko, </w:t>
      </w:r>
      <w:r w:rsidRPr="00DD6590">
        <w:rPr>
          <w:color w:val="FFD653"/>
        </w:rPr>
        <w:t xml:space="preserve">žltá farba </w:t>
      </w:r>
      <w:r w:rsidRPr="00DD6590">
        <w:t xml:space="preserve">– stredné riziko a </w:t>
      </w:r>
      <w:r w:rsidRPr="00DD6590">
        <w:rPr>
          <w:color w:val="EF858F"/>
        </w:rPr>
        <w:t xml:space="preserve">červená farba </w:t>
      </w:r>
      <w:r w:rsidRPr="00DD6590">
        <w:t>– vysoké riziko.</w:t>
      </w:r>
    </w:p>
    <w:p w14:paraId="31DC7517" w14:textId="77777777" w:rsidR="008D1403" w:rsidRPr="00DD6590" w:rsidRDefault="008D1403" w:rsidP="008D1403">
      <w:pPr>
        <w:spacing w:before="0" w:after="0" w:line="276" w:lineRule="auto"/>
        <w:rPr>
          <w:szCs w:val="18"/>
        </w:rPr>
      </w:pPr>
      <w:r w:rsidRPr="00DD6590">
        <w:rPr>
          <w:szCs w:val="18"/>
        </w:rPr>
        <w:t>V matici sú použité nasledovné kódy merateľných ukazovateľov:</w:t>
      </w:r>
    </w:p>
    <w:p w14:paraId="7184D3A3" w14:textId="77777777" w:rsidR="008D1403" w:rsidRPr="00DD6590" w:rsidRDefault="008D1403" w:rsidP="008D1403">
      <w:pPr>
        <w:spacing w:line="276" w:lineRule="auto"/>
        <w:rPr>
          <w:szCs w:val="18"/>
        </w:rPr>
      </w:pPr>
      <w:r w:rsidRPr="00DD6590">
        <w:rPr>
          <w:szCs w:val="18"/>
        </w:rPr>
        <w:t>Merateľné ukazovatele - výsledkové:</w:t>
      </w:r>
    </w:p>
    <w:p w14:paraId="0FB7FDB8" w14:textId="77777777" w:rsidR="008D1403" w:rsidRPr="00DD6590" w:rsidRDefault="008D1403" w:rsidP="009A758F">
      <w:r w:rsidRPr="00DD6590">
        <w:t>P0102</w:t>
      </w:r>
      <w:r w:rsidR="00272F3D">
        <w:t xml:space="preserve"> </w:t>
      </w:r>
      <w:r w:rsidR="00272F3D" w:rsidRPr="00DD6590">
        <w:t>–</w:t>
      </w:r>
      <w:r w:rsidRPr="00DD6590">
        <w:t xml:space="preserve"> Objem zrealizovaných výkonov nákladnej dopravy vo verejnom prístave Bratislava</w:t>
      </w:r>
    </w:p>
    <w:p w14:paraId="208D25BB" w14:textId="77777777" w:rsidR="008D1403" w:rsidRPr="00DD6590" w:rsidRDefault="008D1403" w:rsidP="008D1403">
      <w:pPr>
        <w:spacing w:line="276" w:lineRule="auto"/>
        <w:rPr>
          <w:szCs w:val="18"/>
        </w:rPr>
      </w:pPr>
      <w:r w:rsidRPr="00DD6590">
        <w:rPr>
          <w:szCs w:val="18"/>
        </w:rPr>
        <w:t>Merateľné ukazovatele - výstupové:</w:t>
      </w:r>
    </w:p>
    <w:p w14:paraId="61ED3F03" w14:textId="77777777" w:rsidR="008D1403" w:rsidRPr="00DD6590" w:rsidRDefault="008D1403" w:rsidP="008D1403">
      <w:pPr>
        <w:contextualSpacing/>
      </w:pPr>
      <w:r w:rsidRPr="00DD6590">
        <w:t xml:space="preserve">P0586 </w:t>
      </w:r>
      <w:r w:rsidR="00272F3D" w:rsidRPr="00DD6590">
        <w:t>–</w:t>
      </w:r>
      <w:r w:rsidR="00272F3D">
        <w:t xml:space="preserve"> </w:t>
      </w:r>
      <w:r w:rsidRPr="00DD6590">
        <w:t>Počet zmodernizovaných verejných prístavov na sieti TEN-T CORE</w:t>
      </w:r>
    </w:p>
    <w:p w14:paraId="65974C40" w14:textId="77777777" w:rsidR="008D1403" w:rsidRPr="00DD6590" w:rsidRDefault="008D1403" w:rsidP="008D1403">
      <w:pPr>
        <w:contextualSpacing/>
      </w:pPr>
      <w:r w:rsidRPr="00DD6590">
        <w:t xml:space="preserve">P0511 </w:t>
      </w:r>
      <w:r w:rsidR="00272F3D" w:rsidRPr="00DD6590">
        <w:t>–</w:t>
      </w:r>
      <w:r w:rsidR="00272F3D">
        <w:t xml:space="preserve"> </w:t>
      </w:r>
      <w:r w:rsidRPr="00DD6590">
        <w:t>Počet vypracovaných štúdií realizovateľnosti (v súvislosti s rozvojom prístavov a vodných ciest TEN-T CORE)</w:t>
      </w:r>
    </w:p>
    <w:p w14:paraId="78551E3F" w14:textId="5B526E3C" w:rsidR="008D1403" w:rsidRPr="00DD6590" w:rsidRDefault="008D1403" w:rsidP="008D1403">
      <w:pPr>
        <w:pStyle w:val="Caption"/>
      </w:pPr>
      <w:bookmarkStart w:id="37" w:name="_Ref7181119"/>
      <w:bookmarkStart w:id="38" w:name="_Ref7181108"/>
      <w:bookmarkStart w:id="39" w:name="_Toc9855574"/>
      <w:r w:rsidRPr="00DD6590">
        <w:lastRenderedPageBreak/>
        <w:t xml:space="preserve">Schéma </w:t>
      </w:r>
      <w:r w:rsidRPr="00DD6590">
        <w:fldChar w:fldCharType="begin"/>
      </w:r>
      <w:r w:rsidRPr="00DD6590">
        <w:instrText xml:space="preserve"> SEQ Schéma \* ARABIC </w:instrText>
      </w:r>
      <w:r w:rsidRPr="00DD6590">
        <w:fldChar w:fldCharType="separate"/>
      </w:r>
      <w:r w:rsidR="00DC3C97">
        <w:rPr>
          <w:noProof/>
        </w:rPr>
        <w:t>4</w:t>
      </w:r>
      <w:r w:rsidRPr="00DD6590">
        <w:fldChar w:fldCharType="end"/>
      </w:r>
      <w:bookmarkEnd w:id="37"/>
      <w:r w:rsidRPr="00DD6590">
        <w:t xml:space="preserve"> Matica plánované projekty vs. naplnenie ukazovateľov na úrovni PO4</w:t>
      </w:r>
      <w:bookmarkEnd w:id="38"/>
      <w:bookmarkEnd w:id="39"/>
    </w:p>
    <w:p w14:paraId="74763F69" w14:textId="77777777" w:rsidR="008D1403" w:rsidRPr="00DD6590" w:rsidRDefault="007525D3" w:rsidP="008D1403">
      <w:pPr>
        <w:keepNext/>
      </w:pPr>
      <w:r w:rsidRPr="00DD6590">
        <w:rPr>
          <w:noProof/>
          <w:lang w:eastAsia="sk-SK"/>
        </w:rPr>
        <w:drawing>
          <wp:inline distT="0" distB="0" distL="0" distR="0" wp14:anchorId="198EFD40" wp14:editId="1D964F74">
            <wp:extent cx="5941695" cy="4124898"/>
            <wp:effectExtent l="0" t="0" r="190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41695" cy="4124898"/>
                    </a:xfrm>
                    <a:prstGeom prst="rect">
                      <a:avLst/>
                    </a:prstGeom>
                    <a:noFill/>
                    <a:ln>
                      <a:noFill/>
                    </a:ln>
                  </pic:spPr>
                </pic:pic>
              </a:graphicData>
            </a:graphic>
          </wp:inline>
        </w:drawing>
      </w:r>
    </w:p>
    <w:p w14:paraId="776B87F7" w14:textId="77777777" w:rsidR="00FE5BE7" w:rsidRPr="00DD6590" w:rsidRDefault="00FE5BE7" w:rsidP="00255B0C">
      <w:pPr>
        <w:pStyle w:val="Heading1"/>
      </w:pPr>
      <w:bookmarkStart w:id="40" w:name="_Toc10709715"/>
      <w:r w:rsidRPr="00DD6590">
        <w:t>Hlavné zistenia analýzy Prioritnej osi 5 – Železničná infraštruktúra</w:t>
      </w:r>
      <w:bookmarkEnd w:id="40"/>
    </w:p>
    <w:p w14:paraId="734C136D" w14:textId="77777777" w:rsidR="00AE4BC5" w:rsidRPr="00DD6590" w:rsidRDefault="00FE5BE7" w:rsidP="00FE5BE7">
      <w:r w:rsidRPr="00DD6590">
        <w:t xml:space="preserve">Vyhodnotenie prioritnej osi 5 je uvedené </w:t>
      </w:r>
      <w:r w:rsidR="002640B5">
        <w:t xml:space="preserve">v prílohe č. 8 - </w:t>
      </w:r>
      <w:r w:rsidR="002640B5" w:rsidRPr="002640B5">
        <w:t>Výsledky analýzy Prioritnej osi 5 – Železničná infraštruktúra</w:t>
      </w:r>
      <w:r w:rsidRPr="00DD6590">
        <w:t xml:space="preserve">. </w:t>
      </w:r>
    </w:p>
    <w:p w14:paraId="489230D0" w14:textId="77777777" w:rsidR="00FE5BE7" w:rsidRPr="00DD6590" w:rsidRDefault="00FE5BE7" w:rsidP="00FE5BE7">
      <w:r w:rsidRPr="00DD6590">
        <w:t xml:space="preserve">Na rozdiel od PO1 </w:t>
      </w:r>
      <w:r w:rsidR="00602056">
        <w:t xml:space="preserve">je </w:t>
      </w:r>
      <w:r w:rsidRPr="00DD6590">
        <w:t xml:space="preserve">v rámci PO5 len jeden projekt v realizácii a tri projekty sú </w:t>
      </w:r>
      <w:r w:rsidR="00F7744A" w:rsidRPr="00DD6590">
        <w:t>predložené</w:t>
      </w:r>
      <w:r w:rsidRPr="00DD6590">
        <w:t xml:space="preserve"> </w:t>
      </w:r>
      <w:r w:rsidR="00F7744A" w:rsidRPr="00DD6590">
        <w:t xml:space="preserve">na </w:t>
      </w:r>
      <w:r w:rsidR="008D1BBA" w:rsidRPr="00DD6590">
        <w:t>schválenie</w:t>
      </w:r>
      <w:r w:rsidRPr="00DD6590">
        <w:t xml:space="preserve"> na RO OPII. </w:t>
      </w:r>
      <w:r w:rsidR="00602056">
        <w:t>P</w:t>
      </w:r>
      <w:r w:rsidR="00D916CE" w:rsidRPr="00DD6590">
        <w:t>rojekt, ktorý realizuje ŽSR neprispieva k naplneniu ukazovateľov stanovených v</w:t>
      </w:r>
      <w:r w:rsidR="00602056">
        <w:t> </w:t>
      </w:r>
      <w:r w:rsidR="00D916CE" w:rsidRPr="00DD6590">
        <w:t>OPII</w:t>
      </w:r>
      <w:r w:rsidR="00602056">
        <w:t>,</w:t>
      </w:r>
      <w:r w:rsidR="00D916CE" w:rsidRPr="00DD6590">
        <w:t xml:space="preserve"> </w:t>
      </w:r>
      <w:r w:rsidR="00602056">
        <w:t>ale</w:t>
      </w:r>
      <w:r w:rsidR="00230B7E" w:rsidRPr="00DD6590">
        <w:t xml:space="preserve"> je predpokladom pre realizáciu investičného projektu, ktorý bude napĺňať hlavné ukazovatele PO5</w:t>
      </w:r>
      <w:r w:rsidRPr="00DD6590">
        <w:t>. Projekty predložené ZSSK budú napĺňať ukazovateľ pre špecifický cieľ 5.</w:t>
      </w:r>
      <w:r w:rsidR="00B160F8" w:rsidRPr="00DD6590">
        <w:t>1</w:t>
      </w:r>
      <w:r w:rsidR="00602056">
        <w:t>,</w:t>
      </w:r>
      <w:r w:rsidR="00B160F8" w:rsidRPr="00DD6590">
        <w:t xml:space="preserve"> </w:t>
      </w:r>
      <w:r w:rsidRPr="00DD6590">
        <w:t xml:space="preserve">a to – Počet lokalít s odstránením environmentálnej záťaže spôsobenej prevádzkou železničnej dopravy. Tento ukazovateľ </w:t>
      </w:r>
      <w:r w:rsidR="00602056">
        <w:t xml:space="preserve">bude </w:t>
      </w:r>
      <w:r w:rsidRPr="00DD6590">
        <w:t>realizáciou projektov naplnený na 100</w:t>
      </w:r>
      <w:r w:rsidR="00602056">
        <w:t xml:space="preserve"> </w:t>
      </w:r>
      <w:r w:rsidRPr="00DD6590">
        <w:t>%.</w:t>
      </w:r>
    </w:p>
    <w:p w14:paraId="2B676AEA" w14:textId="77777777" w:rsidR="00FE5BE7" w:rsidRPr="00DD6590" w:rsidRDefault="00FE5BE7" w:rsidP="00FE5BE7">
      <w:pPr>
        <w:rPr>
          <w:b/>
        </w:rPr>
      </w:pPr>
      <w:r w:rsidRPr="00DD6590">
        <w:rPr>
          <w:b/>
        </w:rPr>
        <w:t>Ostatné ukazovatele stanovené v rámci OPII pre PO5 nie sú vôbec napĺňané a projekty, ktoré deklarujú prijímatelia ako plánované</w:t>
      </w:r>
      <w:r w:rsidR="00602056">
        <w:rPr>
          <w:b/>
        </w:rPr>
        <w:t>,</w:t>
      </w:r>
      <w:r w:rsidRPr="00DD6590">
        <w:rPr>
          <w:b/>
        </w:rPr>
        <w:t xml:space="preserve"> prispievajú k naplneniu týchto ukazovateľov len v malej miere. </w:t>
      </w:r>
      <w:r w:rsidR="001616A1" w:rsidRPr="00DD6590">
        <w:rPr>
          <w:b/>
        </w:rPr>
        <w:t xml:space="preserve">Preto odporúčame prehodnotenie a nastavenie nových </w:t>
      </w:r>
      <w:r w:rsidR="00B81843" w:rsidRPr="00DD6590">
        <w:rPr>
          <w:b/>
        </w:rPr>
        <w:t>ukazovateľov</w:t>
      </w:r>
      <w:r w:rsidR="00B81843">
        <w:rPr>
          <w:b/>
        </w:rPr>
        <w:t>, tak aby nedošlo ku kráteniu finančných prostriedkov</w:t>
      </w:r>
      <w:r w:rsidR="001616A1" w:rsidRPr="00DD6590">
        <w:rPr>
          <w:b/>
        </w:rPr>
        <w:t>.</w:t>
      </w:r>
    </w:p>
    <w:p w14:paraId="397D5432" w14:textId="77777777" w:rsidR="001A582C" w:rsidRPr="00DD6590" w:rsidRDefault="001A582C" w:rsidP="007F14C1">
      <w:r w:rsidRPr="00DD6590">
        <w:t xml:space="preserve">Ukazovateľ - Celkový objem medzinárodnej prepravy na koridore TEN-T (úsek Bratislava – Nové Zámky – Štúrovo/Komárno – št. hr. SR/MR) nie je </w:t>
      </w:r>
      <w:r w:rsidR="00602056" w:rsidRPr="00DD6590">
        <w:t xml:space="preserve">na projektoch </w:t>
      </w:r>
      <w:r w:rsidRPr="00DD6590">
        <w:t>napĺňaný</w:t>
      </w:r>
      <w:r w:rsidR="00602056">
        <w:t>,</w:t>
      </w:r>
      <w:r w:rsidRPr="00DD6590">
        <w:t xml:space="preserve"> </w:t>
      </w:r>
      <w:r w:rsidR="00602056">
        <w:t>hoci</w:t>
      </w:r>
      <w:r w:rsidRPr="00DD6590">
        <w:t xml:space="preserve"> podľa štatistík ŽSR je tento ukazovateľ splnený.</w:t>
      </w:r>
    </w:p>
    <w:p w14:paraId="1813DD0E" w14:textId="77777777" w:rsidR="00D916CE" w:rsidRPr="00DD6590" w:rsidRDefault="00D916CE" w:rsidP="00D916CE">
      <w:r w:rsidRPr="00DD6590">
        <w:t>Pri plánovaných projektoch ZSSK zameraných na vybudovanie infraštruktúry na kontrolu a prípravu vozového parku železničnej osobnej dopravy je ich predloženie a schválenie podmienené schválením štátnej pomoci od Európskej komisie. Čím sa predlžuje prípravná fáza projektu.</w:t>
      </w:r>
    </w:p>
    <w:p w14:paraId="4D142239" w14:textId="77777777" w:rsidR="00D916CE" w:rsidRPr="00DD6590" w:rsidRDefault="00D916CE" w:rsidP="00D916CE">
      <w:r w:rsidRPr="00DD6590">
        <w:t xml:space="preserve">Projekt „ŽSR, dostavba zriaďovacej stanice Žilina Teplička a nadväzujúcej železničnej infraštruktúry v uzle Žilina“ - realizácia (časť financovaná z PO5) je rozdelený medzi PO1 a PO5, </w:t>
      </w:r>
      <w:r w:rsidR="00602056">
        <w:t>ale</w:t>
      </w:r>
      <w:r w:rsidRPr="00DD6590">
        <w:t xml:space="preserve"> tak</w:t>
      </w:r>
      <w:r w:rsidR="00602056">
        <w:t>,</w:t>
      </w:r>
      <w:r w:rsidRPr="00DD6590">
        <w:t xml:space="preserve"> ako je uvedené </w:t>
      </w:r>
      <w:r w:rsidRPr="00DD6590">
        <w:lastRenderedPageBreak/>
        <w:t>v rámci zistení PO1</w:t>
      </w:r>
      <w:r w:rsidR="00602056">
        <w:t>,</w:t>
      </w:r>
      <w:r w:rsidRPr="00DD6590">
        <w:t xml:space="preserve"> odporúčame tento projekt realizovať len z jednej prioritnej osi</w:t>
      </w:r>
      <w:r w:rsidR="003503DF" w:rsidRPr="00DD6590">
        <w:t xml:space="preserve">, </w:t>
      </w:r>
      <w:r w:rsidR="0013283B" w:rsidRPr="00DD6590">
        <w:t>konkrétne</w:t>
      </w:r>
      <w:r w:rsidRPr="00DD6590">
        <w:t xml:space="preserve"> PO1, kde by pomohol k naplneniu výstupového ukazovateľa výkonnostného rámca. Presun do PO5 by bol podmienen</w:t>
      </w:r>
      <w:r w:rsidR="00602056">
        <w:t>ý</w:t>
      </w:r>
      <w:r w:rsidRPr="00DD6590">
        <w:t xml:space="preserve"> navýšením alokácie prioritnej osi 5.</w:t>
      </w:r>
    </w:p>
    <w:p w14:paraId="1871D122" w14:textId="77777777" w:rsidR="007F14C1" w:rsidRPr="00DD6590" w:rsidRDefault="007F14C1" w:rsidP="007F14C1">
      <w:r w:rsidRPr="00DD6590">
        <w:t xml:space="preserve">Podľa informácií od projektového manažéra je tento projekt úzko previazaný s projektom </w:t>
      </w:r>
      <w:r w:rsidR="00497CFA" w:rsidRPr="00DD6590">
        <w:t>„</w:t>
      </w:r>
      <w:r w:rsidRPr="00DD6590">
        <w:t>Vybudovanie infraštruktúry na kontrolu a prípravu vozového parku železničnej osobnej dopravy – Žilina</w:t>
      </w:r>
      <w:r w:rsidR="00497CFA" w:rsidRPr="00DD6590">
        <w:t>“</w:t>
      </w:r>
      <w:r w:rsidRPr="00DD6590">
        <w:t xml:space="preserve"> </w:t>
      </w:r>
      <w:r w:rsidR="007F0AFF" w:rsidRPr="00DD6590">
        <w:t xml:space="preserve">(projekt ZSSK) </w:t>
      </w:r>
      <w:r w:rsidRPr="00DD6590">
        <w:t>a je ich potrebné realizovať v rovnakom ča</w:t>
      </w:r>
      <w:r w:rsidR="00F7744A" w:rsidRPr="00DD6590">
        <w:t xml:space="preserve">se. </w:t>
      </w:r>
    </w:p>
    <w:p w14:paraId="6170B275" w14:textId="77777777" w:rsidR="00D916CE" w:rsidRPr="00DD6590" w:rsidRDefault="00D916CE" w:rsidP="007F14C1">
      <w:r w:rsidRPr="00DD6590">
        <w:t>Podľa informácií od RO OPII je projekt „Modernizácia koridoru št. hranica ČR/SR – Čadca – Krásno nad Kysucou, úsek štátna hranica ČR/SR - Čadca (mimo)“ pripravený na implementáciu</w:t>
      </w:r>
      <w:r w:rsidR="00602056">
        <w:t>,</w:t>
      </w:r>
      <w:r w:rsidRPr="00DD6590">
        <w:t xml:space="preserve"> preto odporúčame čo najskoršie schválenie projektu, prípadne konzultácie s prijímateľom na doriešenie problematických častí ŽoNFP. </w:t>
      </w:r>
    </w:p>
    <w:p w14:paraId="3B7B19AE" w14:textId="77777777" w:rsidR="00680A72" w:rsidRPr="00DD6590" w:rsidRDefault="00680A72" w:rsidP="007F14C1">
      <w:r w:rsidRPr="00DD6590">
        <w:t>Projekty plánované prijímateľmi sú nad rámec voľnej alokácie stanovenej pre prioritnú os 5 a presahujú ju približne o</w:t>
      </w:r>
      <w:r w:rsidR="00602056">
        <w:t> </w:t>
      </w:r>
      <w:r w:rsidRPr="00DD6590">
        <w:t>200</w:t>
      </w:r>
      <w:r w:rsidR="00602056">
        <w:t xml:space="preserve"> </w:t>
      </w:r>
      <w:r w:rsidRPr="00DD6590">
        <w:t xml:space="preserve">%. Podľa informácií od projektového manažéra </w:t>
      </w:r>
      <w:r w:rsidR="00602056">
        <w:t xml:space="preserve">sú </w:t>
      </w:r>
      <w:r w:rsidR="00351C61" w:rsidRPr="00DD6590">
        <w:t xml:space="preserve">predpokladané termíny predloženia plánovaných projektov stanovené odhadom a nie je zaručené ich dodržanie a tým </w:t>
      </w:r>
      <w:r w:rsidR="00602056">
        <w:t xml:space="preserve">ani </w:t>
      </w:r>
      <w:r w:rsidR="00351C61" w:rsidRPr="00DD6590">
        <w:t xml:space="preserve">následný termín ukončenia projektov. </w:t>
      </w:r>
    </w:p>
    <w:p w14:paraId="7C95069E" w14:textId="77777777" w:rsidR="00E17868" w:rsidRPr="00DD6590" w:rsidRDefault="00F7744A" w:rsidP="007F14C1">
      <w:r w:rsidRPr="00DD6590">
        <w:t>Plánované projekty deklarované prijímateľmi sú uvedené v nasledujúcej matici, ktorá zobrazuje aj odhad napĺňania ukazovateľov</w:t>
      </w:r>
      <w:r w:rsidR="00E17868" w:rsidRPr="00DD6590">
        <w:t>.</w:t>
      </w:r>
    </w:p>
    <w:p w14:paraId="7C2BD681" w14:textId="77777777" w:rsidR="00E17868" w:rsidRPr="00DD6590" w:rsidRDefault="00E17868" w:rsidP="00E17868">
      <w:r w:rsidRPr="00DD6590">
        <w:t xml:space="preserve">Vyhodnotenie naplnenia jednotlivých ukazovateľov je farebne rozlíšené nasledovne: </w:t>
      </w:r>
      <w:r w:rsidRPr="00DD6590">
        <w:rPr>
          <w:color w:val="D0EC9F"/>
        </w:rPr>
        <w:t xml:space="preserve">zelená farba </w:t>
      </w:r>
      <w:r w:rsidRPr="00DD6590">
        <w:t xml:space="preserve">– žiadne riziko, </w:t>
      </w:r>
      <w:r w:rsidRPr="00DD6590">
        <w:rPr>
          <w:color w:val="FFD653"/>
        </w:rPr>
        <w:t xml:space="preserve">žltá farba </w:t>
      </w:r>
      <w:r w:rsidRPr="00DD6590">
        <w:t xml:space="preserve">– stredné riziko a </w:t>
      </w:r>
      <w:r w:rsidRPr="00DD6590">
        <w:rPr>
          <w:color w:val="EF858F"/>
        </w:rPr>
        <w:t xml:space="preserve">červená farba </w:t>
      </w:r>
      <w:r w:rsidRPr="00DD6590">
        <w:t>– vysoké riziko.</w:t>
      </w:r>
    </w:p>
    <w:p w14:paraId="38D0FD7D" w14:textId="77777777" w:rsidR="00E17868" w:rsidRPr="00DD6590" w:rsidRDefault="00E17868" w:rsidP="00235284">
      <w:pPr>
        <w:spacing w:before="0" w:after="0" w:line="276" w:lineRule="auto"/>
        <w:jc w:val="left"/>
        <w:rPr>
          <w:szCs w:val="18"/>
        </w:rPr>
      </w:pPr>
      <w:r w:rsidRPr="00DD6590">
        <w:rPr>
          <w:szCs w:val="18"/>
        </w:rPr>
        <w:t>V matici sú použité nasledovné kódy merateľných ukazovateľov:</w:t>
      </w:r>
    </w:p>
    <w:p w14:paraId="44996A2B" w14:textId="77777777" w:rsidR="00E17868" w:rsidRPr="00DD6590" w:rsidRDefault="00E17868" w:rsidP="00235284">
      <w:pPr>
        <w:spacing w:line="276" w:lineRule="auto"/>
        <w:jc w:val="left"/>
        <w:rPr>
          <w:szCs w:val="18"/>
        </w:rPr>
      </w:pPr>
      <w:r w:rsidRPr="00DD6590">
        <w:rPr>
          <w:szCs w:val="18"/>
        </w:rPr>
        <w:t>Merateľné ukazovatele - výsledkové:</w:t>
      </w:r>
    </w:p>
    <w:p w14:paraId="4C8AD195" w14:textId="77777777" w:rsidR="00E17868" w:rsidRPr="00DD6590" w:rsidRDefault="00E17868" w:rsidP="00235284">
      <w:pPr>
        <w:spacing w:before="0" w:after="0" w:line="276" w:lineRule="auto"/>
        <w:jc w:val="left"/>
        <w:rPr>
          <w:szCs w:val="18"/>
        </w:rPr>
      </w:pPr>
      <w:r w:rsidRPr="00DD6590">
        <w:rPr>
          <w:szCs w:val="18"/>
        </w:rPr>
        <w:t xml:space="preserve">P0650 </w:t>
      </w:r>
      <w:r w:rsidR="00602056" w:rsidRPr="00DD6590">
        <w:t>–</w:t>
      </w:r>
      <w:r w:rsidRPr="00DD6590">
        <w:rPr>
          <w:szCs w:val="18"/>
        </w:rPr>
        <w:t xml:space="preserve"> Úspora času v železničnej doprave</w:t>
      </w:r>
    </w:p>
    <w:p w14:paraId="0497126E" w14:textId="77777777" w:rsidR="00E17868" w:rsidRPr="00DD6590" w:rsidRDefault="00E17868" w:rsidP="00235284">
      <w:pPr>
        <w:spacing w:before="0" w:after="0" w:line="276" w:lineRule="auto"/>
        <w:jc w:val="left"/>
        <w:rPr>
          <w:szCs w:val="18"/>
        </w:rPr>
      </w:pPr>
      <w:r w:rsidRPr="00DD6590">
        <w:rPr>
          <w:szCs w:val="18"/>
        </w:rPr>
        <w:t xml:space="preserve">R0061 </w:t>
      </w:r>
      <w:r w:rsidR="00602056" w:rsidRPr="00DD6590">
        <w:t>–</w:t>
      </w:r>
      <w:r w:rsidRPr="00DD6590">
        <w:rPr>
          <w:szCs w:val="18"/>
        </w:rPr>
        <w:t xml:space="preserve"> Miera elektrifikácie železničných tratí</w:t>
      </w:r>
    </w:p>
    <w:p w14:paraId="32AABC83" w14:textId="77777777" w:rsidR="00E17868" w:rsidRPr="00DD6590" w:rsidRDefault="00E17868" w:rsidP="00235284">
      <w:pPr>
        <w:spacing w:before="0" w:after="0" w:line="276" w:lineRule="auto"/>
        <w:jc w:val="left"/>
        <w:rPr>
          <w:szCs w:val="18"/>
        </w:rPr>
      </w:pPr>
      <w:r w:rsidRPr="00DD6590">
        <w:rPr>
          <w:szCs w:val="18"/>
        </w:rPr>
        <w:t xml:space="preserve">P0670 </w:t>
      </w:r>
      <w:r w:rsidR="00602056" w:rsidRPr="00DD6590">
        <w:t>–</w:t>
      </w:r>
      <w:r w:rsidRPr="00DD6590">
        <w:rPr>
          <w:szCs w:val="18"/>
        </w:rPr>
        <w:t xml:space="preserve"> Úspora produkcie emisií PM</w:t>
      </w:r>
      <w:r w:rsidRPr="002640B5">
        <w:rPr>
          <w:szCs w:val="18"/>
          <w:vertAlign w:val="subscript"/>
        </w:rPr>
        <w:t>10</w:t>
      </w:r>
      <w:r w:rsidRPr="00DD6590">
        <w:rPr>
          <w:szCs w:val="18"/>
        </w:rPr>
        <w:t xml:space="preserve"> (vplyvom elektrifikácie tratí)</w:t>
      </w:r>
    </w:p>
    <w:p w14:paraId="5B0EAA0E" w14:textId="77777777" w:rsidR="00E17868" w:rsidRPr="00DD6590" w:rsidRDefault="00E17868" w:rsidP="00235284">
      <w:pPr>
        <w:spacing w:before="0" w:after="0" w:line="276" w:lineRule="auto"/>
        <w:jc w:val="left"/>
        <w:rPr>
          <w:szCs w:val="18"/>
        </w:rPr>
      </w:pPr>
      <w:r w:rsidRPr="00DD6590">
        <w:rPr>
          <w:szCs w:val="18"/>
        </w:rPr>
        <w:t xml:space="preserve">P0663 </w:t>
      </w:r>
      <w:r w:rsidR="00602056" w:rsidRPr="00DD6590">
        <w:t>–</w:t>
      </w:r>
      <w:r w:rsidRPr="00DD6590">
        <w:rPr>
          <w:szCs w:val="18"/>
        </w:rPr>
        <w:t xml:space="preserve"> Úspora produkcie emisií NO</w:t>
      </w:r>
      <w:r w:rsidRPr="002640B5">
        <w:rPr>
          <w:szCs w:val="18"/>
          <w:vertAlign w:val="subscript"/>
        </w:rPr>
        <w:t>2</w:t>
      </w:r>
      <w:r w:rsidRPr="00DD6590">
        <w:rPr>
          <w:szCs w:val="18"/>
        </w:rPr>
        <w:t xml:space="preserve"> (vplyvom elektrifikácie tratí)</w:t>
      </w:r>
    </w:p>
    <w:p w14:paraId="5C9ECB54" w14:textId="77777777" w:rsidR="00E17868" w:rsidRPr="00DD6590" w:rsidRDefault="00E17868" w:rsidP="00235284">
      <w:pPr>
        <w:spacing w:before="0" w:after="0" w:line="276" w:lineRule="auto"/>
        <w:jc w:val="left"/>
        <w:rPr>
          <w:szCs w:val="18"/>
        </w:rPr>
      </w:pPr>
      <w:r w:rsidRPr="00DD6590">
        <w:rPr>
          <w:szCs w:val="18"/>
        </w:rPr>
        <w:t xml:space="preserve">P0029 </w:t>
      </w:r>
      <w:r w:rsidR="00602056" w:rsidRPr="00DD6590">
        <w:t>–</w:t>
      </w:r>
      <w:r w:rsidRPr="00DD6590">
        <w:rPr>
          <w:szCs w:val="18"/>
        </w:rPr>
        <w:t xml:space="preserve"> Celkový objem medzinárodnej prepravy na koridore TEN-T (úsek Bratislava – Nové Zámky – </w:t>
      </w:r>
    </w:p>
    <w:p w14:paraId="52EB331A" w14:textId="77777777" w:rsidR="00E17868" w:rsidRPr="00DD6590" w:rsidRDefault="00E17868" w:rsidP="00235284">
      <w:pPr>
        <w:spacing w:before="0" w:after="0" w:line="276" w:lineRule="auto"/>
        <w:ind w:firstLine="720"/>
        <w:jc w:val="left"/>
        <w:rPr>
          <w:szCs w:val="18"/>
        </w:rPr>
      </w:pPr>
      <w:r w:rsidRPr="00DD6590">
        <w:rPr>
          <w:szCs w:val="18"/>
        </w:rPr>
        <w:t xml:space="preserve"> Štúrovo/Komárno – št. hr. SR/MR) </w:t>
      </w:r>
    </w:p>
    <w:p w14:paraId="24144144" w14:textId="77777777" w:rsidR="00E17868" w:rsidRPr="00DD6590" w:rsidRDefault="00E17868" w:rsidP="00235284">
      <w:pPr>
        <w:spacing w:line="276" w:lineRule="auto"/>
        <w:jc w:val="left"/>
        <w:rPr>
          <w:szCs w:val="18"/>
        </w:rPr>
      </w:pPr>
      <w:r w:rsidRPr="00DD6590">
        <w:rPr>
          <w:szCs w:val="18"/>
        </w:rPr>
        <w:t>Merateľné ukazovatele - výstupové:</w:t>
      </w:r>
    </w:p>
    <w:p w14:paraId="381898DB" w14:textId="77777777" w:rsidR="00E17868" w:rsidRPr="00DD6590" w:rsidRDefault="00E17868" w:rsidP="00235284">
      <w:pPr>
        <w:spacing w:before="0" w:after="0" w:line="276" w:lineRule="auto"/>
        <w:jc w:val="left"/>
        <w:rPr>
          <w:szCs w:val="18"/>
        </w:rPr>
      </w:pPr>
      <w:r w:rsidRPr="00DD6590">
        <w:rPr>
          <w:szCs w:val="18"/>
        </w:rPr>
        <w:t xml:space="preserve">P0018 </w:t>
      </w:r>
      <w:r w:rsidR="00602056" w:rsidRPr="00DD6590">
        <w:t>–</w:t>
      </w:r>
      <w:r w:rsidRPr="00DD6590">
        <w:rPr>
          <w:szCs w:val="18"/>
        </w:rPr>
        <w:t xml:space="preserve"> Celková dĺžka rekonštruovaných alebo zrenovovaných železničných tratí </w:t>
      </w:r>
    </w:p>
    <w:p w14:paraId="22ACEA85" w14:textId="77777777" w:rsidR="00E17868" w:rsidRPr="00DD6590" w:rsidRDefault="00E17868" w:rsidP="00235284">
      <w:pPr>
        <w:spacing w:before="0" w:after="0" w:line="276" w:lineRule="auto"/>
        <w:jc w:val="left"/>
        <w:rPr>
          <w:szCs w:val="18"/>
        </w:rPr>
      </w:pPr>
      <w:r w:rsidRPr="00DD6590">
        <w:rPr>
          <w:szCs w:val="18"/>
        </w:rPr>
        <w:t xml:space="preserve">P0020 </w:t>
      </w:r>
      <w:r w:rsidR="00602056" w:rsidRPr="00DD6590">
        <w:t>–</w:t>
      </w:r>
      <w:r w:rsidRPr="00DD6590">
        <w:rPr>
          <w:szCs w:val="18"/>
        </w:rPr>
        <w:t xml:space="preserve"> Celková dĺžka rekonštruovaných alebo zrenovovaných železničných tratí v sieti TEN-T</w:t>
      </w:r>
    </w:p>
    <w:p w14:paraId="5EADA570" w14:textId="77777777" w:rsidR="00E17868" w:rsidRPr="00DD6590" w:rsidRDefault="00E17868" w:rsidP="00896925">
      <w:pPr>
        <w:spacing w:before="0" w:after="0" w:line="276" w:lineRule="auto"/>
        <w:ind w:left="720" w:hanging="720"/>
        <w:rPr>
          <w:szCs w:val="18"/>
        </w:rPr>
      </w:pPr>
      <w:r w:rsidRPr="00DD6590">
        <w:rPr>
          <w:szCs w:val="18"/>
        </w:rPr>
        <w:t>P</w:t>
      </w:r>
      <w:r w:rsidR="00896925" w:rsidRPr="00DD6590">
        <w:rPr>
          <w:szCs w:val="18"/>
        </w:rPr>
        <w:t xml:space="preserve">0181 </w:t>
      </w:r>
      <w:r w:rsidR="00602056" w:rsidRPr="00DD6590">
        <w:t>–</w:t>
      </w:r>
      <w:r w:rsidR="00896925" w:rsidRPr="00DD6590">
        <w:rPr>
          <w:szCs w:val="18"/>
        </w:rPr>
        <w:t xml:space="preserve"> </w:t>
      </w:r>
      <w:r w:rsidRPr="00DD6590">
        <w:rPr>
          <w:szCs w:val="18"/>
        </w:rPr>
        <w:t xml:space="preserve">Počet lokalít s odstránením environmentálnej záťaže spôsobenej prevádzkou železničnej  </w:t>
      </w:r>
      <w:r w:rsidR="00896925" w:rsidRPr="00DD6590">
        <w:rPr>
          <w:szCs w:val="18"/>
        </w:rPr>
        <w:t>d</w:t>
      </w:r>
      <w:r w:rsidRPr="00DD6590">
        <w:rPr>
          <w:szCs w:val="18"/>
        </w:rPr>
        <w:t>opravy</w:t>
      </w:r>
    </w:p>
    <w:p w14:paraId="46B0B193" w14:textId="77777777" w:rsidR="00F7744A" w:rsidRPr="00DD6590" w:rsidRDefault="00E17868" w:rsidP="00235284">
      <w:pPr>
        <w:spacing w:before="0" w:after="0" w:line="276" w:lineRule="auto"/>
        <w:jc w:val="left"/>
      </w:pPr>
      <w:r w:rsidRPr="00DD6590">
        <w:rPr>
          <w:szCs w:val="18"/>
        </w:rPr>
        <w:t xml:space="preserve">P0045 </w:t>
      </w:r>
      <w:r w:rsidR="00602056" w:rsidRPr="00DD6590">
        <w:t>–</w:t>
      </w:r>
      <w:r w:rsidRPr="00DD6590">
        <w:rPr>
          <w:szCs w:val="18"/>
        </w:rPr>
        <w:t xml:space="preserve"> Dĺžka železničných tratí (mimo TEN-T CORE) so zavedeným systémom ERTMS</w:t>
      </w:r>
      <w:r w:rsidR="00F7744A" w:rsidRPr="00DD6590">
        <w:t xml:space="preserve">  </w:t>
      </w:r>
    </w:p>
    <w:p w14:paraId="03991FDC" w14:textId="77777777" w:rsidR="00F7744A" w:rsidRPr="00DD6590" w:rsidRDefault="00F7744A" w:rsidP="007F14C1">
      <w:pPr>
        <w:sectPr w:rsidR="00F7744A" w:rsidRPr="00DD6590" w:rsidSect="00847AD7">
          <w:pgSz w:w="11906" w:h="16838" w:code="9"/>
          <w:pgMar w:top="1987" w:right="1138" w:bottom="1138" w:left="1411" w:header="677" w:footer="562" w:gutter="0"/>
          <w:cols w:space="9"/>
          <w:titlePg/>
          <w:docGrid w:linePitch="360"/>
        </w:sectPr>
      </w:pPr>
    </w:p>
    <w:p w14:paraId="2467EB07" w14:textId="729B63E4" w:rsidR="00F7744A" w:rsidRPr="00DD6590" w:rsidRDefault="00E17868" w:rsidP="00E17868">
      <w:pPr>
        <w:pStyle w:val="Caption"/>
      </w:pPr>
      <w:bookmarkStart w:id="41" w:name="_Toc9855575"/>
      <w:r w:rsidRPr="00DD6590">
        <w:lastRenderedPageBreak/>
        <w:t xml:space="preserve">Schéma </w:t>
      </w:r>
      <w:r w:rsidRPr="00DD6590">
        <w:fldChar w:fldCharType="begin"/>
      </w:r>
      <w:r w:rsidRPr="00DD6590">
        <w:instrText xml:space="preserve"> SEQ Schéma \* ARABIC </w:instrText>
      </w:r>
      <w:r w:rsidRPr="00DD6590">
        <w:fldChar w:fldCharType="separate"/>
      </w:r>
      <w:r w:rsidR="00DC3C97">
        <w:rPr>
          <w:noProof/>
        </w:rPr>
        <w:t>5</w:t>
      </w:r>
      <w:r w:rsidRPr="00DD6590">
        <w:fldChar w:fldCharType="end"/>
      </w:r>
      <w:r w:rsidRPr="00DD6590">
        <w:t xml:space="preserve"> Matica plánované projekty vs. napln</w:t>
      </w:r>
      <w:r w:rsidR="005B0592" w:rsidRPr="00DD6590">
        <w:t>enie ukazovateľov na úrovni PO5</w:t>
      </w:r>
      <w:r w:rsidR="004A4506" w:rsidRPr="00DD6590">
        <w:rPr>
          <w:rStyle w:val="FootnoteReference"/>
        </w:rPr>
        <w:footnoteReference w:id="5"/>
      </w:r>
      <w:bookmarkEnd w:id="41"/>
    </w:p>
    <w:p w14:paraId="41B0368C" w14:textId="77777777" w:rsidR="00C404B4" w:rsidRPr="00DD6590" w:rsidRDefault="00106067" w:rsidP="00BB0B97">
      <w:pPr>
        <w:rPr>
          <w:b/>
          <w:bCs/>
        </w:rPr>
        <w:sectPr w:rsidR="00C404B4" w:rsidRPr="00DD6590" w:rsidSect="00F7744A">
          <w:pgSz w:w="16838" w:h="11906" w:orient="landscape" w:code="9"/>
          <w:pgMar w:top="1411" w:right="1987" w:bottom="1138" w:left="1138" w:header="677" w:footer="562" w:gutter="0"/>
          <w:cols w:space="9"/>
          <w:titlePg/>
          <w:docGrid w:linePitch="360"/>
        </w:sectPr>
      </w:pPr>
      <w:r w:rsidRPr="00DD6590">
        <w:rPr>
          <w:noProof/>
          <w:lang w:eastAsia="sk-SK"/>
        </w:rPr>
        <w:drawing>
          <wp:inline distT="0" distB="0" distL="0" distR="0" wp14:anchorId="2A72C865" wp14:editId="107E8776">
            <wp:extent cx="8707755" cy="4213809"/>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707755" cy="4213809"/>
                    </a:xfrm>
                    <a:prstGeom prst="rect">
                      <a:avLst/>
                    </a:prstGeom>
                    <a:noFill/>
                    <a:ln>
                      <a:noFill/>
                    </a:ln>
                  </pic:spPr>
                </pic:pic>
              </a:graphicData>
            </a:graphic>
          </wp:inline>
        </w:drawing>
      </w:r>
    </w:p>
    <w:p w14:paraId="20296BE2" w14:textId="77777777" w:rsidR="00863DEC" w:rsidRPr="00DD6590" w:rsidRDefault="00863DEC" w:rsidP="00255B0C">
      <w:pPr>
        <w:pStyle w:val="Heading1"/>
      </w:pPr>
      <w:bookmarkStart w:id="42" w:name="_Toc10709716"/>
      <w:r w:rsidRPr="00DD6590">
        <w:lastRenderedPageBreak/>
        <w:t>Hlavné zistenia analýzy Prioritnej osi 6 – Cestná infraštruktúra (mimo TEN-T CORE)</w:t>
      </w:r>
      <w:bookmarkEnd w:id="42"/>
    </w:p>
    <w:p w14:paraId="701C7A77" w14:textId="77777777" w:rsidR="00452ABB" w:rsidRPr="00DD6590" w:rsidRDefault="00452ABB" w:rsidP="003D5AD9">
      <w:r w:rsidRPr="00DD6590">
        <w:t>Vyhodnotenie  implementácie prioritnej osi 6 je uvedené v</w:t>
      </w:r>
      <w:r w:rsidR="002640B5">
        <w:t xml:space="preserve"> prílohe č. 9 - </w:t>
      </w:r>
      <w:r w:rsidR="002640B5" w:rsidRPr="002640B5">
        <w:t>Výsledky analýzy Prioritnej osi 6 – Cestná infraštruktúra (mimo TEN-T CORE)</w:t>
      </w:r>
      <w:r w:rsidRPr="00DD6590">
        <w:t>. V</w:t>
      </w:r>
      <w:r w:rsidR="00F24A14" w:rsidRPr="00DD6590">
        <w:t xml:space="preserve"> rámci </w:t>
      </w:r>
      <w:r w:rsidR="006E6FAC" w:rsidRPr="00DD6590">
        <w:t xml:space="preserve">prioritnej osi </w:t>
      </w:r>
      <w:r w:rsidR="003D5AD9" w:rsidRPr="00DD6590">
        <w:t xml:space="preserve">6 je zakontrahovaných </w:t>
      </w:r>
      <w:r w:rsidR="00494A36" w:rsidRPr="00DD6590">
        <w:t>dvadsaťjed</w:t>
      </w:r>
      <w:r w:rsidR="00DF536D">
        <w:t>en</w:t>
      </w:r>
      <w:r w:rsidR="003D5AD9" w:rsidRPr="00DD6590">
        <w:t xml:space="preserve"> projektov, ktorých realizáciou sa vyčerpá 208 mil. EUR.</w:t>
      </w:r>
      <w:r w:rsidR="00896925" w:rsidRPr="00DD6590">
        <w:t xml:space="preserve"> </w:t>
      </w:r>
    </w:p>
    <w:p w14:paraId="0F931E5F" w14:textId="77777777" w:rsidR="00137513" w:rsidRPr="00DD6590" w:rsidRDefault="003D5AD9" w:rsidP="003D5AD9">
      <w:r w:rsidRPr="00DD6590">
        <w:t xml:space="preserve">NDS </w:t>
      </w:r>
      <w:r w:rsidR="001E450C" w:rsidRPr="00DD6590">
        <w:t>má v zásobníku pre</w:t>
      </w:r>
      <w:r w:rsidR="00F7103E" w:rsidRPr="00DD6590">
        <w:t xml:space="preserve"> </w:t>
      </w:r>
      <w:r w:rsidR="001E450C" w:rsidRPr="00DD6590">
        <w:t>toto</w:t>
      </w:r>
      <w:r w:rsidR="00F7103E" w:rsidRPr="00DD6590">
        <w:t xml:space="preserve"> programov</w:t>
      </w:r>
      <w:r w:rsidR="001E450C" w:rsidRPr="00DD6590">
        <w:t>é</w:t>
      </w:r>
      <w:r w:rsidR="00F7103E" w:rsidRPr="00DD6590">
        <w:t xml:space="preserve"> obdob</w:t>
      </w:r>
      <w:r w:rsidR="001E450C" w:rsidRPr="00DD6590">
        <w:t>ie</w:t>
      </w:r>
      <w:r w:rsidR="00F7103E" w:rsidRPr="00DD6590">
        <w:t xml:space="preserve"> </w:t>
      </w:r>
      <w:r w:rsidR="007525D3" w:rsidRPr="00DD6590">
        <w:t>pätnásť</w:t>
      </w:r>
      <w:r w:rsidR="001E450C" w:rsidRPr="00DD6590">
        <w:t xml:space="preserve"> </w:t>
      </w:r>
      <w:r w:rsidR="00F7103E" w:rsidRPr="00DD6590">
        <w:t xml:space="preserve">projektov v celkovej hodnote 1 </w:t>
      </w:r>
      <w:r w:rsidR="007525D3" w:rsidRPr="00DD6590">
        <w:t>269</w:t>
      </w:r>
      <w:r w:rsidR="001E450C" w:rsidRPr="00DD6590">
        <w:t xml:space="preserve"> </w:t>
      </w:r>
      <w:r w:rsidR="00F7103E" w:rsidRPr="00DD6590">
        <w:t>mil. EUR</w:t>
      </w:r>
      <w:r w:rsidR="00494A36" w:rsidRPr="00DD6590">
        <w:t xml:space="preserve">, z čoho len </w:t>
      </w:r>
      <w:r w:rsidR="001E450C" w:rsidRPr="00DD6590">
        <w:t xml:space="preserve">päť </w:t>
      </w:r>
      <w:r w:rsidR="00494A36" w:rsidRPr="00DD6590">
        <w:t>je investičných a </w:t>
      </w:r>
      <w:r w:rsidR="00DF536D" w:rsidRPr="00DD6590">
        <w:t>prispej</w:t>
      </w:r>
      <w:r w:rsidR="00DF536D">
        <w:t>e</w:t>
      </w:r>
      <w:r w:rsidR="00DF536D" w:rsidRPr="00DD6590">
        <w:t xml:space="preserve"> </w:t>
      </w:r>
      <w:r w:rsidR="00494A36" w:rsidRPr="00DD6590">
        <w:t>k napĺňaniu ukazovateľov</w:t>
      </w:r>
      <w:r w:rsidR="00F7103E" w:rsidRPr="00DD6590">
        <w:t>.</w:t>
      </w:r>
      <w:r w:rsidR="00872809" w:rsidRPr="00DD6590">
        <w:t xml:space="preserve"> </w:t>
      </w:r>
    </w:p>
    <w:p w14:paraId="1A00CECC" w14:textId="77777777" w:rsidR="003D5AD9" w:rsidRPr="00DD6590" w:rsidRDefault="00494A36" w:rsidP="003D5AD9">
      <w:r w:rsidRPr="00DD6590">
        <w:t xml:space="preserve">SSC plánuje v tomto programovom období realizovať </w:t>
      </w:r>
      <w:r w:rsidR="001B73AD" w:rsidRPr="00DD6590">
        <w:t xml:space="preserve">tridsať </w:t>
      </w:r>
      <w:r w:rsidRPr="00DD6590">
        <w:t xml:space="preserve">projektov v celkovej hodnote </w:t>
      </w:r>
      <w:r w:rsidR="001B73AD" w:rsidRPr="00DD6590">
        <w:t xml:space="preserve">357 </w:t>
      </w:r>
      <w:r w:rsidRPr="00DD6590">
        <w:t>mil. EUR</w:t>
      </w:r>
      <w:r w:rsidR="00872809" w:rsidRPr="00DD6590">
        <w:t xml:space="preserve"> a</w:t>
      </w:r>
      <w:r w:rsidR="00DF536D">
        <w:t> </w:t>
      </w:r>
      <w:r w:rsidR="00872809" w:rsidRPr="00DD6590">
        <w:t>osem</w:t>
      </w:r>
      <w:r w:rsidR="00DF536D">
        <w:t xml:space="preserve"> projektov,</w:t>
      </w:r>
      <w:r w:rsidR="00872809" w:rsidRPr="00DD6590">
        <w:t xml:space="preserve"> pri ktorých ešte nevedeli určiť predbežnú hodnotu.</w:t>
      </w:r>
      <w:r w:rsidRPr="00DD6590">
        <w:t xml:space="preserve"> </w:t>
      </w:r>
      <w:r w:rsidR="00872809" w:rsidRPr="00DD6590">
        <w:t>Dvanásť</w:t>
      </w:r>
      <w:r w:rsidRPr="00DD6590">
        <w:t xml:space="preserve"> projektov je zameraných na rekonštrukciu a modernizáciu ciest, </w:t>
      </w:r>
      <w:r w:rsidR="00872809" w:rsidRPr="00DD6590">
        <w:t>štyri</w:t>
      </w:r>
      <w:r w:rsidRPr="00DD6590">
        <w:t xml:space="preserve"> projekty sú plánované na vybudovanie nových ciest</w:t>
      </w:r>
      <w:r w:rsidR="00137513" w:rsidRPr="00DD6590">
        <w:t>,</w:t>
      </w:r>
      <w:r w:rsidRPr="00DD6590">
        <w:t> </w:t>
      </w:r>
      <w:r w:rsidR="00137513" w:rsidRPr="00DD6590">
        <w:t>desať</w:t>
      </w:r>
      <w:r w:rsidRPr="00DD6590">
        <w:t xml:space="preserve"> projektov na odstránenie kritických nehodových miest na cestách I. triedy</w:t>
      </w:r>
      <w:r w:rsidR="00137513" w:rsidRPr="00DD6590">
        <w:t xml:space="preserve"> a štyri projekty na projektovú dokumentáciu</w:t>
      </w:r>
      <w:r w:rsidRPr="00DD6590">
        <w:t>.</w:t>
      </w:r>
    </w:p>
    <w:p w14:paraId="2C0A2900" w14:textId="77777777" w:rsidR="00494A36" w:rsidRPr="00DD6590" w:rsidRDefault="00494A36" w:rsidP="002C6E97">
      <w:r w:rsidRPr="00DD6590">
        <w:t>V</w:t>
      </w:r>
      <w:r w:rsidR="002C6E97" w:rsidRPr="00DD6590">
        <w:t>z</w:t>
      </w:r>
      <w:r w:rsidRPr="00DD6590">
        <w:t xml:space="preserve">hľadom na pripravenosť </w:t>
      </w:r>
      <w:r w:rsidR="002C6E97" w:rsidRPr="00DD6590">
        <w:t xml:space="preserve">a kapacitu </w:t>
      </w:r>
      <w:r w:rsidRPr="00DD6590">
        <w:t>projektov</w:t>
      </w:r>
      <w:r w:rsidR="00896925" w:rsidRPr="00DD6590">
        <w:t xml:space="preserve"> bol </w:t>
      </w:r>
      <w:r w:rsidR="002C6E97" w:rsidRPr="00DD6590">
        <w:t xml:space="preserve">rokovaním vlády </w:t>
      </w:r>
      <w:r w:rsidR="00000334" w:rsidRPr="00DD6590">
        <w:t>27</w:t>
      </w:r>
      <w:r w:rsidR="00872809" w:rsidRPr="00DD6590">
        <w:t>.</w:t>
      </w:r>
      <w:r w:rsidR="00DF536D">
        <w:t xml:space="preserve"> </w:t>
      </w:r>
      <w:r w:rsidR="00872809" w:rsidRPr="00DD6590">
        <w:t>3.</w:t>
      </w:r>
      <w:r w:rsidR="00DF536D">
        <w:t xml:space="preserve"> </w:t>
      </w:r>
      <w:r w:rsidR="00872809" w:rsidRPr="00DD6590">
        <w:t xml:space="preserve">2019 schválený materiál „Predbežný návrh prerozdelenia časti výkonnostnej rezervy v prospech Operačného programu Integrovaná infraštruktúra“ </w:t>
      </w:r>
      <w:hyperlink r:id="rId37" w:history="1">
        <w:r w:rsidR="002C6E97" w:rsidRPr="00DD6590">
          <w:rPr>
            <w:rStyle w:val="Hyperlink"/>
          </w:rPr>
          <w:t>https://rokovania.gov.sk/RVL/Material/23662/1</w:t>
        </w:r>
      </w:hyperlink>
      <w:r w:rsidR="00872809" w:rsidRPr="00DD6590">
        <w:t>, čím by sa alokácia PO6 navýšila o</w:t>
      </w:r>
      <w:r w:rsidR="00896925" w:rsidRPr="00DD6590">
        <w:t xml:space="preserve"> ďalších</w:t>
      </w:r>
      <w:r w:rsidR="00872809" w:rsidRPr="00DD6590">
        <w:t> 250 mil. EUR</w:t>
      </w:r>
      <w:r w:rsidR="007525D3" w:rsidRPr="00DD6590">
        <w:t xml:space="preserve"> (EÚ zdroje)</w:t>
      </w:r>
      <w:r w:rsidR="00872809" w:rsidRPr="00DD6590">
        <w:t>.</w:t>
      </w:r>
    </w:p>
    <w:p w14:paraId="1CD3A404" w14:textId="77777777" w:rsidR="00235284" w:rsidRPr="00DD6590" w:rsidRDefault="00235284" w:rsidP="00235284">
      <w:r w:rsidRPr="00DD6590">
        <w:t xml:space="preserve">Plánované projekty deklarované prijímateľmi sú uvedené v </w:t>
      </w:r>
      <w:r w:rsidR="00AE4BC5" w:rsidRPr="00DD6590">
        <w:t xml:space="preserve">nasledujúcich </w:t>
      </w:r>
      <w:r w:rsidRPr="00DD6590">
        <w:t>matici</w:t>
      </w:r>
      <w:r w:rsidR="00AE4BC5" w:rsidRPr="00DD6590">
        <w:t>ach</w:t>
      </w:r>
      <w:r w:rsidRPr="00DD6590">
        <w:t xml:space="preserve">, </w:t>
      </w:r>
      <w:r w:rsidR="00AE4BC5" w:rsidRPr="00DD6590">
        <w:t xml:space="preserve">ktoré zobrazujú </w:t>
      </w:r>
      <w:r w:rsidRPr="00DD6590">
        <w:t>aj odhad napĺňania ukazovateľov.</w:t>
      </w:r>
    </w:p>
    <w:p w14:paraId="7E47FE13" w14:textId="77777777" w:rsidR="00235284" w:rsidRPr="00DD6590" w:rsidRDefault="00235284" w:rsidP="00235284">
      <w:r w:rsidRPr="00DD6590">
        <w:t xml:space="preserve">Vyhodnotenie naplnenia jednotlivých ukazovateľov je farebne rozlíšené nasledovne: </w:t>
      </w:r>
      <w:r w:rsidRPr="00DD6590">
        <w:rPr>
          <w:color w:val="D0EC9F"/>
        </w:rPr>
        <w:t>zelená farba</w:t>
      </w:r>
      <w:r w:rsidRPr="00DD6590">
        <w:t xml:space="preserve"> – žiadne riziko, </w:t>
      </w:r>
      <w:r w:rsidRPr="00DD6590">
        <w:rPr>
          <w:color w:val="FFD653"/>
        </w:rPr>
        <w:t>žltá farba</w:t>
      </w:r>
      <w:r w:rsidRPr="00DD6590">
        <w:t xml:space="preserve"> – stredné riziko a </w:t>
      </w:r>
      <w:r w:rsidRPr="00DD6590">
        <w:rPr>
          <w:color w:val="EF858F"/>
        </w:rPr>
        <w:t>červená farba</w:t>
      </w:r>
      <w:r w:rsidRPr="00DD6590">
        <w:t xml:space="preserve"> – vysoké riziko.</w:t>
      </w:r>
    </w:p>
    <w:p w14:paraId="2AEB09D4" w14:textId="77777777" w:rsidR="00235284" w:rsidRPr="00DD6590" w:rsidRDefault="00235284" w:rsidP="00235284">
      <w:r w:rsidRPr="00DD6590">
        <w:t>V matici sú použité nasledovné kódy merateľných ukazovateľov:</w:t>
      </w:r>
    </w:p>
    <w:p w14:paraId="15E4C549" w14:textId="77777777" w:rsidR="00235284" w:rsidRPr="00DD6590" w:rsidRDefault="00235284" w:rsidP="00235284">
      <w:r w:rsidRPr="00DD6590">
        <w:t>Merateľné ukazovatele - výsledkové:</w:t>
      </w:r>
    </w:p>
    <w:p w14:paraId="04714F00" w14:textId="77777777" w:rsidR="00235284" w:rsidRPr="00DD6590" w:rsidRDefault="00235284" w:rsidP="00235284">
      <w:pPr>
        <w:contextualSpacing/>
      </w:pPr>
      <w:r w:rsidRPr="00DD6590">
        <w:t xml:space="preserve">P0649 </w:t>
      </w:r>
      <w:r w:rsidR="00DF536D" w:rsidRPr="00DD6590">
        <w:t>–</w:t>
      </w:r>
      <w:r w:rsidRPr="00DD6590">
        <w:t xml:space="preserve"> Úspora času v cestnej doprave na rýchlostných cestách</w:t>
      </w:r>
    </w:p>
    <w:p w14:paraId="09F05F70" w14:textId="77777777" w:rsidR="00235284" w:rsidRPr="00DD6590" w:rsidRDefault="00235284" w:rsidP="00235284">
      <w:pPr>
        <w:contextualSpacing/>
      </w:pPr>
      <w:r w:rsidRPr="00DD6590">
        <w:t xml:space="preserve">P0676 </w:t>
      </w:r>
      <w:r w:rsidR="00DF536D" w:rsidRPr="00DD6590">
        <w:t>–</w:t>
      </w:r>
      <w:r w:rsidRPr="00DD6590">
        <w:t xml:space="preserve"> Úspora produkcie emisií PM</w:t>
      </w:r>
      <w:r w:rsidRPr="002640B5">
        <w:rPr>
          <w:vertAlign w:val="subscript"/>
        </w:rPr>
        <w:t>10</w:t>
      </w:r>
      <w:r w:rsidRPr="00DD6590">
        <w:t xml:space="preserve"> (vplyvom výstavby rýchlostných ciest)</w:t>
      </w:r>
    </w:p>
    <w:p w14:paraId="6589F426" w14:textId="77777777" w:rsidR="00235284" w:rsidRPr="00DD6590" w:rsidRDefault="00235284" w:rsidP="00235284">
      <w:pPr>
        <w:contextualSpacing/>
      </w:pPr>
      <w:r w:rsidRPr="00DD6590">
        <w:t xml:space="preserve">P0669 </w:t>
      </w:r>
      <w:r w:rsidR="00DF536D" w:rsidRPr="00DD6590">
        <w:t>–</w:t>
      </w:r>
      <w:r w:rsidRPr="00DD6590">
        <w:t xml:space="preserve"> Úspora produkcie emisií NO</w:t>
      </w:r>
      <w:r w:rsidRPr="002640B5">
        <w:rPr>
          <w:vertAlign w:val="subscript"/>
        </w:rPr>
        <w:t>2</w:t>
      </w:r>
      <w:r w:rsidRPr="00DD6590">
        <w:t xml:space="preserve"> (vplyvom výstavby rýchlostných ciest)</w:t>
      </w:r>
    </w:p>
    <w:p w14:paraId="786832F0" w14:textId="77777777" w:rsidR="00235284" w:rsidRPr="00DD6590" w:rsidRDefault="00235284" w:rsidP="00235284">
      <w:pPr>
        <w:contextualSpacing/>
      </w:pPr>
      <w:r w:rsidRPr="00DD6590">
        <w:t xml:space="preserve">P0644 </w:t>
      </w:r>
      <w:r w:rsidR="00DF536D" w:rsidRPr="00DD6590">
        <w:t>–</w:t>
      </w:r>
      <w:r w:rsidRPr="00DD6590">
        <w:t xml:space="preserve"> Úspora času v cestnej doprave na cestách I. triedy</w:t>
      </w:r>
    </w:p>
    <w:p w14:paraId="507718EC" w14:textId="77777777" w:rsidR="00235284" w:rsidRPr="00DD6590" w:rsidRDefault="00235284" w:rsidP="00235284">
      <w:pPr>
        <w:contextualSpacing/>
      </w:pPr>
      <w:r w:rsidRPr="00DD6590">
        <w:t xml:space="preserve">P0458 </w:t>
      </w:r>
      <w:r w:rsidR="00DF536D" w:rsidRPr="00DD6590">
        <w:t>–</w:t>
      </w:r>
      <w:r w:rsidRPr="00DD6590">
        <w:t xml:space="preserve"> Počet usmrtených na cestách I. triedy</w:t>
      </w:r>
    </w:p>
    <w:p w14:paraId="0403F9C5" w14:textId="77777777" w:rsidR="00235284" w:rsidRPr="00DD6590" w:rsidRDefault="00235284" w:rsidP="00235284">
      <w:pPr>
        <w:contextualSpacing/>
      </w:pPr>
      <w:r w:rsidRPr="00DD6590">
        <w:t>P067</w:t>
      </w:r>
      <w:r w:rsidR="00000334" w:rsidRPr="00DD6590">
        <w:t>4</w:t>
      </w:r>
      <w:r w:rsidRPr="00DD6590">
        <w:t xml:space="preserve"> </w:t>
      </w:r>
      <w:r w:rsidR="00DF536D" w:rsidRPr="00DD6590">
        <w:t>–</w:t>
      </w:r>
      <w:r w:rsidRPr="00DD6590">
        <w:t xml:space="preserve"> Úspora produkcie emisií PM</w:t>
      </w:r>
      <w:r w:rsidRPr="002640B5">
        <w:rPr>
          <w:vertAlign w:val="subscript"/>
        </w:rPr>
        <w:t>10</w:t>
      </w:r>
      <w:r w:rsidRPr="00DD6590">
        <w:t xml:space="preserve"> (vplyvom výstavby ciest I. triedy)</w:t>
      </w:r>
    </w:p>
    <w:p w14:paraId="27919A7D" w14:textId="77777777" w:rsidR="00235284" w:rsidRPr="00DD6590" w:rsidRDefault="00235284" w:rsidP="00235284">
      <w:r w:rsidRPr="00DD6590">
        <w:t xml:space="preserve">P0667 </w:t>
      </w:r>
      <w:r w:rsidR="00DF536D" w:rsidRPr="00DD6590">
        <w:t>–</w:t>
      </w:r>
      <w:r w:rsidRPr="00DD6590">
        <w:t xml:space="preserve"> Úspora produkcie emisií NO</w:t>
      </w:r>
      <w:r w:rsidRPr="002640B5">
        <w:rPr>
          <w:vertAlign w:val="subscript"/>
        </w:rPr>
        <w:t>2</w:t>
      </w:r>
      <w:r w:rsidRPr="00DD6590">
        <w:t xml:space="preserve"> (vplyvom výstavby ciest I. triedy)</w:t>
      </w:r>
    </w:p>
    <w:p w14:paraId="17E06F6D" w14:textId="77777777" w:rsidR="00896925" w:rsidRPr="00DD6590" w:rsidRDefault="00896925" w:rsidP="00896925">
      <w:pPr>
        <w:spacing w:line="276" w:lineRule="auto"/>
        <w:jc w:val="left"/>
        <w:rPr>
          <w:szCs w:val="18"/>
        </w:rPr>
      </w:pPr>
      <w:r w:rsidRPr="00DD6590">
        <w:rPr>
          <w:szCs w:val="18"/>
        </w:rPr>
        <w:t>Merateľné ukazovatele - výstupové:</w:t>
      </w:r>
    </w:p>
    <w:p w14:paraId="181F5D0D" w14:textId="77777777" w:rsidR="00235284" w:rsidRPr="00DD6590" w:rsidRDefault="00235284" w:rsidP="00235284">
      <w:pPr>
        <w:contextualSpacing/>
      </w:pPr>
      <w:r w:rsidRPr="00DD6590">
        <w:t xml:space="preserve">P0006 </w:t>
      </w:r>
      <w:r w:rsidR="00DF536D" w:rsidRPr="00DD6590">
        <w:t>–</w:t>
      </w:r>
      <w:r w:rsidRPr="00DD6590">
        <w:t xml:space="preserve"> Celková dĺžka novovybudovaných ciest v sieti TEN-T (mimo CORE)</w:t>
      </w:r>
    </w:p>
    <w:p w14:paraId="064174E6" w14:textId="77777777" w:rsidR="00235284" w:rsidRPr="00DD6590" w:rsidRDefault="00235284" w:rsidP="00235284">
      <w:pPr>
        <w:contextualSpacing/>
      </w:pPr>
      <w:r w:rsidRPr="00DD6590">
        <w:t xml:space="preserve">P0003 </w:t>
      </w:r>
      <w:r w:rsidR="00DF536D" w:rsidRPr="00DD6590">
        <w:t>–</w:t>
      </w:r>
      <w:r w:rsidRPr="00DD6590">
        <w:t xml:space="preserve"> Celková dĺžka novovybudovaných ciest (cesty </w:t>
      </w:r>
      <w:r w:rsidR="00DF536D">
        <w:t>I</w:t>
      </w:r>
      <w:r w:rsidRPr="00DD6590">
        <w:t>. triedy)</w:t>
      </w:r>
    </w:p>
    <w:p w14:paraId="182E3F60" w14:textId="77777777" w:rsidR="00235284" w:rsidRPr="00DD6590" w:rsidRDefault="00235284" w:rsidP="00235284">
      <w:pPr>
        <w:contextualSpacing/>
      </w:pPr>
      <w:r w:rsidRPr="00DD6590">
        <w:t xml:space="preserve">P0015 </w:t>
      </w:r>
      <w:r w:rsidR="00DF536D" w:rsidRPr="00DD6590">
        <w:t>–</w:t>
      </w:r>
      <w:r w:rsidRPr="00DD6590">
        <w:t xml:space="preserve"> Celková dĺžka rekonštruovaných alebo zrenovovaných ciest</w:t>
      </w:r>
    </w:p>
    <w:p w14:paraId="4141F29C" w14:textId="77777777" w:rsidR="00235284" w:rsidRPr="00DD6590" w:rsidRDefault="00235284" w:rsidP="00235284">
      <w:pPr>
        <w:contextualSpacing/>
        <w:sectPr w:rsidR="00235284" w:rsidRPr="00DD6590" w:rsidSect="00863DEC">
          <w:pgSz w:w="11906" w:h="16838" w:code="9"/>
          <w:pgMar w:top="1987" w:right="1138" w:bottom="1138" w:left="1411" w:header="677" w:footer="562" w:gutter="0"/>
          <w:cols w:space="9"/>
          <w:titlePg/>
          <w:docGrid w:linePitch="360"/>
        </w:sectPr>
      </w:pPr>
      <w:r w:rsidRPr="00DD6590">
        <w:t xml:space="preserve">P0243 </w:t>
      </w:r>
      <w:r w:rsidR="00DF536D" w:rsidRPr="00DD6590">
        <w:t>–</w:t>
      </w:r>
      <w:r w:rsidRPr="00DD6590">
        <w:t xml:space="preserve"> Počet odstránených kritických nehodových lokalít a kolíznych bodov na cestách I. triedy</w:t>
      </w:r>
    </w:p>
    <w:p w14:paraId="1A050F02" w14:textId="1535B7F6" w:rsidR="00006B9F" w:rsidRPr="00DD6590" w:rsidRDefault="00006B9F" w:rsidP="00006B9F">
      <w:pPr>
        <w:pStyle w:val="Caption"/>
      </w:pPr>
      <w:bookmarkStart w:id="43" w:name="_Toc9855576"/>
      <w:r w:rsidRPr="00DD6590">
        <w:lastRenderedPageBreak/>
        <w:t xml:space="preserve">Schéma </w:t>
      </w:r>
      <w:r w:rsidRPr="00DD6590">
        <w:fldChar w:fldCharType="begin"/>
      </w:r>
      <w:r w:rsidRPr="00DD6590">
        <w:instrText xml:space="preserve"> SEQ Schéma \* ARABIC </w:instrText>
      </w:r>
      <w:r w:rsidRPr="00DD6590">
        <w:fldChar w:fldCharType="separate"/>
      </w:r>
      <w:r w:rsidR="00DC3C97">
        <w:rPr>
          <w:noProof/>
        </w:rPr>
        <w:t>6</w:t>
      </w:r>
      <w:r w:rsidRPr="00DD6590">
        <w:fldChar w:fldCharType="end"/>
      </w:r>
      <w:r w:rsidRPr="00DD6590">
        <w:t xml:space="preserve"> Matica plánované projekty vs. naplnenie ukazovateľov na úrovni PO6 prijímateľa NDS</w:t>
      </w:r>
      <w:bookmarkEnd w:id="43"/>
    </w:p>
    <w:p w14:paraId="4F1D8C61" w14:textId="77777777" w:rsidR="00235284" w:rsidRPr="00DD6590" w:rsidRDefault="00235284" w:rsidP="00235284">
      <w:pPr>
        <w:keepNext/>
      </w:pPr>
    </w:p>
    <w:p w14:paraId="3B9F381C" w14:textId="77777777" w:rsidR="007525D3" w:rsidRPr="00DD6590" w:rsidRDefault="00FB7270" w:rsidP="00235284">
      <w:pPr>
        <w:keepNext/>
        <w:sectPr w:rsidR="007525D3" w:rsidRPr="00DD6590" w:rsidSect="00235284">
          <w:pgSz w:w="11906" w:h="16838" w:code="9"/>
          <w:pgMar w:top="1987" w:right="1138" w:bottom="1138" w:left="1411" w:header="677" w:footer="562" w:gutter="0"/>
          <w:cols w:space="9"/>
          <w:titlePg/>
          <w:docGrid w:linePitch="360"/>
        </w:sectPr>
      </w:pPr>
      <w:r w:rsidRPr="00FB7270">
        <w:rPr>
          <w:noProof/>
          <w:lang w:eastAsia="sk-SK"/>
        </w:rPr>
        <w:drawing>
          <wp:inline distT="0" distB="0" distL="0" distR="0" wp14:anchorId="611F7941" wp14:editId="0F7BA615">
            <wp:extent cx="5940965" cy="3920837"/>
            <wp:effectExtent l="0" t="0" r="3175"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3930" cy="3922794"/>
                    </a:xfrm>
                    <a:prstGeom prst="rect">
                      <a:avLst/>
                    </a:prstGeom>
                    <a:noFill/>
                    <a:ln>
                      <a:noFill/>
                    </a:ln>
                  </pic:spPr>
                </pic:pic>
              </a:graphicData>
            </a:graphic>
          </wp:inline>
        </w:drawing>
      </w:r>
    </w:p>
    <w:p w14:paraId="66385FF6" w14:textId="402853CB" w:rsidR="00235284" w:rsidRPr="00DD6590" w:rsidRDefault="00006B9F" w:rsidP="00006B9F">
      <w:pPr>
        <w:pStyle w:val="Caption"/>
      </w:pPr>
      <w:bookmarkStart w:id="44" w:name="_Toc9855577"/>
      <w:r w:rsidRPr="00DD6590">
        <w:lastRenderedPageBreak/>
        <w:t xml:space="preserve">Schéma </w:t>
      </w:r>
      <w:r w:rsidRPr="00DD6590">
        <w:fldChar w:fldCharType="begin"/>
      </w:r>
      <w:r w:rsidRPr="00DD6590">
        <w:instrText xml:space="preserve"> SEQ Schéma \* ARABIC </w:instrText>
      </w:r>
      <w:r w:rsidRPr="00DD6590">
        <w:fldChar w:fldCharType="separate"/>
      </w:r>
      <w:r w:rsidR="00DC3C97">
        <w:rPr>
          <w:noProof/>
        </w:rPr>
        <w:t>7</w:t>
      </w:r>
      <w:r w:rsidRPr="00DD6590">
        <w:fldChar w:fldCharType="end"/>
      </w:r>
      <w:r w:rsidRPr="00DD6590">
        <w:t xml:space="preserve"> Matica plánované projekty vs. naplnenie ukazovateľov na úrovni PO6 prijímateľa SSC</w:t>
      </w:r>
      <w:bookmarkEnd w:id="44"/>
    </w:p>
    <w:p w14:paraId="1BC65FBF" w14:textId="77777777" w:rsidR="00863DEC" w:rsidRPr="00DD6590" w:rsidRDefault="00137513" w:rsidP="00006B9F">
      <w:pPr>
        <w:pStyle w:val="Caption"/>
      </w:pPr>
      <w:r w:rsidRPr="00DD6590">
        <w:rPr>
          <w:iCs w:val="0"/>
        </w:rPr>
        <w:t xml:space="preserve"> </w:t>
      </w:r>
      <w:r w:rsidR="00000334" w:rsidRPr="00DD6590">
        <w:rPr>
          <w:noProof/>
          <w:lang w:eastAsia="sk-SK"/>
        </w:rPr>
        <w:drawing>
          <wp:inline distT="0" distB="0" distL="0" distR="0" wp14:anchorId="159F2396" wp14:editId="1524EE90">
            <wp:extent cx="6384193" cy="7315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84193" cy="7315200"/>
                    </a:xfrm>
                    <a:prstGeom prst="rect">
                      <a:avLst/>
                    </a:prstGeom>
                    <a:noFill/>
                    <a:ln>
                      <a:noFill/>
                    </a:ln>
                  </pic:spPr>
                </pic:pic>
              </a:graphicData>
            </a:graphic>
          </wp:inline>
        </w:drawing>
      </w:r>
    </w:p>
    <w:p w14:paraId="2453F423" w14:textId="77777777" w:rsidR="00000334" w:rsidRPr="00DD6590" w:rsidRDefault="00000334" w:rsidP="00402CBB">
      <w:bookmarkStart w:id="45" w:name="_Ref7530462"/>
    </w:p>
    <w:p w14:paraId="43C99CB6" w14:textId="77777777" w:rsidR="00000334" w:rsidRPr="00DD6590" w:rsidRDefault="00000334" w:rsidP="00402CBB"/>
    <w:p w14:paraId="288DBC39" w14:textId="77777777" w:rsidR="000B5F92" w:rsidRPr="00DD6590" w:rsidRDefault="000B5F92" w:rsidP="00255B0C">
      <w:pPr>
        <w:pStyle w:val="Heading1"/>
      </w:pPr>
      <w:bookmarkStart w:id="46" w:name="_Toc10709717"/>
      <w:r w:rsidRPr="00DD6590">
        <w:lastRenderedPageBreak/>
        <w:t>Hlavné zistenia analýzy Prioritnej osi 7 – Informačná spoločnosť</w:t>
      </w:r>
      <w:bookmarkEnd w:id="45"/>
      <w:bookmarkEnd w:id="46"/>
      <w:r w:rsidRPr="00DD6590">
        <w:t xml:space="preserve"> </w:t>
      </w:r>
    </w:p>
    <w:p w14:paraId="607AA2D5" w14:textId="77777777" w:rsidR="00254E12" w:rsidRPr="00DD6590" w:rsidRDefault="00254E12" w:rsidP="00254E12">
      <w:r w:rsidRPr="00DD6590">
        <w:t>Vyhodnotenie napĺňania ukazovateľov</w:t>
      </w:r>
      <w:r w:rsidR="00BB30E7" w:rsidRPr="00DD6590">
        <w:t xml:space="preserve"> a realizácie projektov </w:t>
      </w:r>
      <w:r w:rsidRPr="00DD6590">
        <w:t>v rámci PO</w:t>
      </w:r>
      <w:r w:rsidR="00BB30E7" w:rsidRPr="00DD6590">
        <w:t>7</w:t>
      </w:r>
      <w:r w:rsidRPr="00DD6590">
        <w:t xml:space="preserve"> je uvedené v</w:t>
      </w:r>
      <w:r w:rsidR="002640B5">
        <w:t xml:space="preserve"> prílohe č. 10 - </w:t>
      </w:r>
      <w:r w:rsidR="002640B5" w:rsidRPr="002640B5">
        <w:t>Výsledky analýzy Prioritnej osi 7 – Informačná spoločnosť.</w:t>
      </w:r>
    </w:p>
    <w:p w14:paraId="5BC5B432" w14:textId="77777777" w:rsidR="00BB30E7" w:rsidRPr="00DD6590" w:rsidRDefault="00BB30E7" w:rsidP="00BB30E7">
      <w:r w:rsidRPr="00DD6590">
        <w:t xml:space="preserve">Hodnotením PO7 </w:t>
      </w:r>
      <w:r w:rsidR="00DF536D">
        <w:t>sa</w:t>
      </w:r>
      <w:r w:rsidR="00DF536D" w:rsidRPr="00DD6590">
        <w:t xml:space="preserve"> zist</w:t>
      </w:r>
      <w:r w:rsidR="00DF536D">
        <w:t>ilo</w:t>
      </w:r>
      <w:r w:rsidRPr="00DD6590">
        <w:t>, že v prípade, ak nebudú zazmluvnené ďalšie projekty prospievajúce k dosiahnutiu cieľových hodnôt ukazovateľov, bude naplnenie cieľových hodnôt väčšiny výsledkových a výstupových ukazovateľov problematické.</w:t>
      </w:r>
    </w:p>
    <w:p w14:paraId="4A9ED4CE" w14:textId="77777777" w:rsidR="004E58F8" w:rsidRPr="00DD6590" w:rsidRDefault="004E58F8" w:rsidP="004E58F8">
      <w:r w:rsidRPr="00DD6590">
        <w:t>Projekty, ktoré sú naplánované do konca roku 2023 nebudú napĺňať všetky merateľné ukazovatele, ktoré sú uvedené v prioritnej osi 7.</w:t>
      </w:r>
    </w:p>
    <w:p w14:paraId="4A56B93A" w14:textId="77777777" w:rsidR="00BB30E7" w:rsidRPr="00DD6590" w:rsidRDefault="00BB30E7" w:rsidP="00BB30E7">
      <w:pPr>
        <w:rPr>
          <w:szCs w:val="23"/>
        </w:rPr>
      </w:pPr>
      <w:r w:rsidRPr="00DD6590">
        <w:rPr>
          <w:szCs w:val="23"/>
        </w:rPr>
        <w:t>Ukazovatele operačného programu, ktoré nie sú plánované na úrovni projektov:</w:t>
      </w:r>
    </w:p>
    <w:p w14:paraId="7C0CD077" w14:textId="77777777" w:rsidR="00BB30E7" w:rsidRPr="00DD6590" w:rsidRDefault="00BB30E7" w:rsidP="003E761D">
      <w:pPr>
        <w:pStyle w:val="ListParagraph"/>
        <w:numPr>
          <w:ilvl w:val="0"/>
          <w:numId w:val="14"/>
        </w:numPr>
        <w:ind w:left="450" w:hanging="450"/>
        <w:contextualSpacing/>
        <w:rPr>
          <w:szCs w:val="23"/>
        </w:rPr>
      </w:pPr>
      <w:r w:rsidRPr="00DD6590">
        <w:rPr>
          <w:szCs w:val="23"/>
        </w:rPr>
        <w:t xml:space="preserve">Ukazovatele výsledku: </w:t>
      </w:r>
    </w:p>
    <w:p w14:paraId="12A662BD" w14:textId="77777777" w:rsidR="00BB30E7" w:rsidRPr="00DD6590" w:rsidRDefault="00BB30E7" w:rsidP="003E761D">
      <w:pPr>
        <w:pStyle w:val="ListParagraph"/>
        <w:numPr>
          <w:ilvl w:val="1"/>
          <w:numId w:val="76"/>
        </w:numPr>
        <w:ind w:left="900" w:hanging="450"/>
        <w:contextualSpacing/>
        <w:rPr>
          <w:szCs w:val="23"/>
        </w:rPr>
      </w:pPr>
      <w:r w:rsidRPr="00DD6590">
        <w:rPr>
          <w:color w:val="000000" w:themeColor="text1"/>
          <w:szCs w:val="23"/>
        </w:rPr>
        <w:t>Počet stiahnutí otvorených dát</w:t>
      </w:r>
      <w:r w:rsidRPr="00DD6590">
        <w:rPr>
          <w:szCs w:val="23"/>
        </w:rPr>
        <w:t xml:space="preserve"> </w:t>
      </w:r>
    </w:p>
    <w:p w14:paraId="1426A9BB" w14:textId="77777777" w:rsidR="00BB30E7" w:rsidRPr="00DD6590" w:rsidRDefault="00BB30E7" w:rsidP="003E761D">
      <w:pPr>
        <w:pStyle w:val="ListParagraph"/>
        <w:numPr>
          <w:ilvl w:val="1"/>
          <w:numId w:val="76"/>
        </w:numPr>
        <w:ind w:left="900" w:hanging="450"/>
        <w:contextualSpacing/>
        <w:rPr>
          <w:szCs w:val="23"/>
        </w:rPr>
      </w:pPr>
      <w:r w:rsidRPr="00DD6590">
        <w:rPr>
          <w:color w:val="000000" w:themeColor="text1"/>
          <w:szCs w:val="23"/>
        </w:rPr>
        <w:t>Priemerná doba vybavenia podania v rozhodovacej činnosti</w:t>
      </w:r>
    </w:p>
    <w:p w14:paraId="2A4A1FD6" w14:textId="77777777" w:rsidR="00BB30E7" w:rsidRPr="00DD6590" w:rsidRDefault="00BB30E7" w:rsidP="003E761D">
      <w:pPr>
        <w:pStyle w:val="ListParagraph"/>
        <w:numPr>
          <w:ilvl w:val="1"/>
          <w:numId w:val="76"/>
        </w:numPr>
        <w:ind w:left="900" w:hanging="450"/>
        <w:contextualSpacing/>
        <w:rPr>
          <w:szCs w:val="23"/>
        </w:rPr>
      </w:pPr>
      <w:r w:rsidRPr="00DD6590">
        <w:rPr>
          <w:color w:val="000000" w:themeColor="text1"/>
          <w:szCs w:val="23"/>
        </w:rPr>
        <w:t>Celkové náklady na vlastníctvo ISVS</w:t>
      </w:r>
    </w:p>
    <w:p w14:paraId="78B4115B" w14:textId="77777777" w:rsidR="00000334" w:rsidRPr="00DD6590" w:rsidRDefault="00BB30E7" w:rsidP="003E761D">
      <w:pPr>
        <w:pStyle w:val="ListParagraph"/>
        <w:numPr>
          <w:ilvl w:val="1"/>
          <w:numId w:val="76"/>
        </w:numPr>
        <w:ind w:left="900" w:hanging="450"/>
        <w:contextualSpacing/>
        <w:rPr>
          <w:szCs w:val="23"/>
        </w:rPr>
      </w:pPr>
      <w:r w:rsidRPr="00DD6590">
        <w:rPr>
          <w:szCs w:val="23"/>
        </w:rPr>
        <w:t xml:space="preserve">Dodatočný pomer informačných systémov verejnej správy s implementovaným nástrojom na rozpoznávanie, monitorovanie a riadenie bezpečnostných incidentov </w:t>
      </w:r>
    </w:p>
    <w:p w14:paraId="2F0ACE3D" w14:textId="77777777" w:rsidR="00BB30E7" w:rsidRPr="00DD6590" w:rsidRDefault="00BB30E7" w:rsidP="003E761D">
      <w:pPr>
        <w:pStyle w:val="ListParagraph"/>
        <w:numPr>
          <w:ilvl w:val="1"/>
          <w:numId w:val="76"/>
        </w:numPr>
        <w:ind w:left="900" w:hanging="450"/>
        <w:contextualSpacing/>
        <w:rPr>
          <w:szCs w:val="23"/>
        </w:rPr>
      </w:pPr>
      <w:r w:rsidRPr="00DD6590">
        <w:rPr>
          <w:szCs w:val="23"/>
        </w:rPr>
        <w:t>Pomer webových aplikácií verejnej správy bez kritických bezpečnostných nedostatkov na celkovej vzorke webových aplikácií verejnej správy</w:t>
      </w:r>
    </w:p>
    <w:p w14:paraId="4C96CF81" w14:textId="77777777" w:rsidR="00BB30E7" w:rsidRPr="00DD6590" w:rsidRDefault="00BB30E7" w:rsidP="003E761D">
      <w:pPr>
        <w:pStyle w:val="ListParagraph"/>
        <w:numPr>
          <w:ilvl w:val="0"/>
          <w:numId w:val="14"/>
        </w:numPr>
        <w:ind w:left="450" w:hanging="450"/>
        <w:contextualSpacing/>
        <w:rPr>
          <w:szCs w:val="23"/>
        </w:rPr>
      </w:pPr>
      <w:r w:rsidRPr="00DD6590">
        <w:rPr>
          <w:szCs w:val="23"/>
        </w:rPr>
        <w:t>Ukazovatele výstupu:</w:t>
      </w:r>
    </w:p>
    <w:p w14:paraId="50A35D6E" w14:textId="77777777" w:rsidR="00BB30E7" w:rsidRPr="00DD6590" w:rsidRDefault="00BB30E7" w:rsidP="003E761D">
      <w:pPr>
        <w:pStyle w:val="ListParagraph"/>
        <w:numPr>
          <w:ilvl w:val="1"/>
          <w:numId w:val="77"/>
        </w:numPr>
        <w:ind w:left="900" w:hanging="450"/>
        <w:contextualSpacing/>
        <w:rPr>
          <w:szCs w:val="23"/>
        </w:rPr>
      </w:pPr>
      <w:r w:rsidRPr="00DD6590">
        <w:rPr>
          <w:color w:val="000000" w:themeColor="text1"/>
          <w:szCs w:val="23"/>
        </w:rPr>
        <w:t>Počet nových inovatívnych aplikácií nasadených MSP (open data, language resources, ... )</w:t>
      </w:r>
    </w:p>
    <w:p w14:paraId="26442F70" w14:textId="77777777" w:rsidR="00BB30E7" w:rsidRPr="00DD6590" w:rsidRDefault="00BB30E7" w:rsidP="003E761D">
      <w:pPr>
        <w:pStyle w:val="ListParagraph"/>
        <w:numPr>
          <w:ilvl w:val="1"/>
          <w:numId w:val="77"/>
        </w:numPr>
        <w:ind w:left="900" w:hanging="450"/>
        <w:contextualSpacing/>
        <w:rPr>
          <w:szCs w:val="23"/>
        </w:rPr>
      </w:pPr>
      <w:r w:rsidRPr="00DD6590">
        <w:rPr>
          <w:color w:val="000000"/>
          <w:szCs w:val="23"/>
        </w:rPr>
        <w:t>Počet nových cezhraničných služieb pre podnikateľov</w:t>
      </w:r>
      <w:r w:rsidRPr="00DD6590">
        <w:rPr>
          <w:szCs w:val="23"/>
        </w:rPr>
        <w:t xml:space="preserve"> </w:t>
      </w:r>
    </w:p>
    <w:p w14:paraId="20DC9370" w14:textId="77777777" w:rsidR="00BB30E7" w:rsidRPr="00DD6590" w:rsidRDefault="00BB30E7" w:rsidP="003E761D">
      <w:pPr>
        <w:pStyle w:val="ListParagraph"/>
        <w:numPr>
          <w:ilvl w:val="1"/>
          <w:numId w:val="77"/>
        </w:numPr>
        <w:ind w:left="900" w:hanging="450"/>
        <w:contextualSpacing/>
        <w:rPr>
          <w:szCs w:val="23"/>
        </w:rPr>
      </w:pPr>
      <w:r w:rsidRPr="00DD6590">
        <w:rPr>
          <w:color w:val="000000"/>
          <w:szCs w:val="23"/>
        </w:rPr>
        <w:t>Zvýšenie počtu znevýhodnených jednotlivcov benefitujúcich z používania nástrojov asistovaného života alebo participácie na digitálnom trhu</w:t>
      </w:r>
    </w:p>
    <w:p w14:paraId="4910E88F" w14:textId="77777777" w:rsidR="00BB30E7" w:rsidRPr="00DD6590" w:rsidRDefault="00BB30E7" w:rsidP="00BB30E7">
      <w:pPr>
        <w:rPr>
          <w:szCs w:val="23"/>
        </w:rPr>
      </w:pPr>
      <w:r w:rsidRPr="00DD6590">
        <w:rPr>
          <w:szCs w:val="23"/>
        </w:rPr>
        <w:t>Ukazovatele výsledku, ktoré sa napĺňajú aj bez realizácie projektov</w:t>
      </w:r>
      <w:r w:rsidR="00CF0727" w:rsidRPr="00DD6590">
        <w:rPr>
          <w:szCs w:val="23"/>
        </w:rPr>
        <w:t>, len na základe údajov z Eurostatu</w:t>
      </w:r>
      <w:r w:rsidRPr="00DD6590">
        <w:rPr>
          <w:szCs w:val="23"/>
        </w:rPr>
        <w:t>:</w:t>
      </w:r>
    </w:p>
    <w:p w14:paraId="28B68A9F" w14:textId="77777777" w:rsidR="00BB30E7" w:rsidRPr="00DD6590" w:rsidRDefault="00BB30E7" w:rsidP="003E761D">
      <w:pPr>
        <w:pStyle w:val="ListParagraph"/>
        <w:numPr>
          <w:ilvl w:val="1"/>
          <w:numId w:val="78"/>
        </w:numPr>
        <w:tabs>
          <w:tab w:val="left" w:pos="450"/>
          <w:tab w:val="left" w:pos="1350"/>
        </w:tabs>
        <w:ind w:left="450" w:hanging="450"/>
        <w:contextualSpacing/>
        <w:rPr>
          <w:szCs w:val="23"/>
        </w:rPr>
      </w:pPr>
      <w:r w:rsidRPr="00DD6590">
        <w:rPr>
          <w:color w:val="000000" w:themeColor="text1"/>
          <w:szCs w:val="23"/>
        </w:rPr>
        <w:t xml:space="preserve">Percento populácie využívajúce mobilný širokopásmový prístup na internet </w:t>
      </w:r>
    </w:p>
    <w:p w14:paraId="7DF0B2FA" w14:textId="77777777" w:rsidR="00BB30E7" w:rsidRPr="00DD6590" w:rsidRDefault="00BB30E7" w:rsidP="003E761D">
      <w:pPr>
        <w:pStyle w:val="ListParagraph"/>
        <w:numPr>
          <w:ilvl w:val="1"/>
          <w:numId w:val="78"/>
        </w:numPr>
        <w:tabs>
          <w:tab w:val="left" w:pos="450"/>
          <w:tab w:val="left" w:pos="1350"/>
        </w:tabs>
        <w:ind w:left="450" w:hanging="450"/>
        <w:contextualSpacing/>
        <w:rPr>
          <w:szCs w:val="23"/>
        </w:rPr>
      </w:pPr>
      <w:r w:rsidRPr="00DD6590">
        <w:rPr>
          <w:color w:val="000000" w:themeColor="text1"/>
          <w:szCs w:val="23"/>
        </w:rPr>
        <w:t>Percento populácie využívajúce širokopásmový internet pravidelne</w:t>
      </w:r>
    </w:p>
    <w:p w14:paraId="160F0A06" w14:textId="77777777" w:rsidR="00BB30E7" w:rsidRPr="00DD6590" w:rsidRDefault="00BB30E7" w:rsidP="003E761D">
      <w:pPr>
        <w:pStyle w:val="ListParagraph"/>
        <w:numPr>
          <w:ilvl w:val="1"/>
          <w:numId w:val="78"/>
        </w:numPr>
        <w:tabs>
          <w:tab w:val="left" w:pos="450"/>
          <w:tab w:val="left" w:pos="1350"/>
        </w:tabs>
        <w:ind w:left="450" w:hanging="450"/>
        <w:contextualSpacing/>
        <w:rPr>
          <w:szCs w:val="23"/>
        </w:rPr>
      </w:pPr>
      <w:r w:rsidRPr="00DD6590">
        <w:rPr>
          <w:szCs w:val="23"/>
        </w:rPr>
        <w:t>Percento MSP predávajúce tovar a služby online</w:t>
      </w:r>
    </w:p>
    <w:p w14:paraId="5A003C8E" w14:textId="77777777" w:rsidR="00BB30E7" w:rsidRPr="00DD6590" w:rsidRDefault="00BB30E7" w:rsidP="003E761D">
      <w:pPr>
        <w:pStyle w:val="ListParagraph"/>
        <w:numPr>
          <w:ilvl w:val="1"/>
          <w:numId w:val="78"/>
        </w:numPr>
        <w:tabs>
          <w:tab w:val="left" w:pos="450"/>
          <w:tab w:val="left" w:pos="1350"/>
        </w:tabs>
        <w:ind w:left="450" w:hanging="450"/>
        <w:contextualSpacing/>
        <w:rPr>
          <w:szCs w:val="23"/>
        </w:rPr>
      </w:pPr>
      <w:r w:rsidRPr="00DD6590">
        <w:rPr>
          <w:szCs w:val="23"/>
        </w:rPr>
        <w:t>Percento občanov objednávajúcich tovar a služby online</w:t>
      </w:r>
    </w:p>
    <w:p w14:paraId="561FEC26" w14:textId="77777777" w:rsidR="00BB30E7" w:rsidRPr="00DD6590" w:rsidRDefault="00BB30E7" w:rsidP="003E761D">
      <w:pPr>
        <w:pStyle w:val="ListParagraph"/>
        <w:numPr>
          <w:ilvl w:val="1"/>
          <w:numId w:val="78"/>
        </w:numPr>
        <w:tabs>
          <w:tab w:val="left" w:pos="450"/>
          <w:tab w:val="left" w:pos="1350"/>
        </w:tabs>
        <w:ind w:left="450" w:hanging="450"/>
        <w:contextualSpacing/>
        <w:rPr>
          <w:szCs w:val="23"/>
        </w:rPr>
      </w:pPr>
      <w:r w:rsidRPr="00DD6590">
        <w:rPr>
          <w:color w:val="000000" w:themeColor="text1"/>
          <w:szCs w:val="23"/>
        </w:rPr>
        <w:t>Celkové používanie služieb eGovernmentu občanmi</w:t>
      </w:r>
    </w:p>
    <w:p w14:paraId="21B36278" w14:textId="77777777" w:rsidR="00BB30E7" w:rsidRPr="00DD6590" w:rsidRDefault="00BB30E7" w:rsidP="003E761D">
      <w:pPr>
        <w:pStyle w:val="ListParagraph"/>
        <w:numPr>
          <w:ilvl w:val="1"/>
          <w:numId w:val="78"/>
        </w:numPr>
        <w:tabs>
          <w:tab w:val="left" w:pos="450"/>
          <w:tab w:val="left" w:pos="1350"/>
        </w:tabs>
        <w:ind w:left="450" w:hanging="450"/>
        <w:contextualSpacing/>
        <w:rPr>
          <w:szCs w:val="23"/>
        </w:rPr>
      </w:pPr>
      <w:r w:rsidRPr="00DD6590">
        <w:rPr>
          <w:color w:val="000000" w:themeColor="text1"/>
          <w:szCs w:val="23"/>
        </w:rPr>
        <w:t>Percento znevýhodnených jednotlivcov používajúcich internet</w:t>
      </w:r>
    </w:p>
    <w:p w14:paraId="79D56850" w14:textId="77777777" w:rsidR="00BB30E7" w:rsidRPr="00DD6590" w:rsidRDefault="00E7300D" w:rsidP="00E7300D">
      <w:r w:rsidRPr="00DD6590">
        <w:t>Pri vyhodnocovaní dotazníka a realizovaných projektov bolo zistené:</w:t>
      </w:r>
    </w:p>
    <w:p w14:paraId="0B0FB349" w14:textId="77777777" w:rsidR="00E7300D" w:rsidRPr="00DD6590" w:rsidRDefault="00E7300D" w:rsidP="003E761D">
      <w:pPr>
        <w:pStyle w:val="ListParagraph"/>
        <w:numPr>
          <w:ilvl w:val="1"/>
          <w:numId w:val="78"/>
        </w:numPr>
        <w:ind w:left="360"/>
        <w:contextualSpacing/>
      </w:pPr>
      <w:r w:rsidRPr="00DD6590">
        <w:t>ani na jednom realizovanom projekte nie sú vykazované ukazovatele výsledku</w:t>
      </w:r>
      <w:r w:rsidR="00B05554">
        <w:t>,</w:t>
      </w:r>
    </w:p>
    <w:p w14:paraId="745DB27C" w14:textId="77777777" w:rsidR="00E7300D" w:rsidRPr="00DD6590" w:rsidRDefault="00E7300D" w:rsidP="003E761D">
      <w:pPr>
        <w:pStyle w:val="ListParagraph"/>
        <w:numPr>
          <w:ilvl w:val="1"/>
          <w:numId w:val="78"/>
        </w:numPr>
        <w:ind w:left="360"/>
        <w:contextualSpacing/>
      </w:pPr>
      <w:r w:rsidRPr="00DD6590">
        <w:t xml:space="preserve">ukazovatele stanovené v OPII pre PO7 </w:t>
      </w:r>
      <w:r w:rsidR="00CF0727" w:rsidRPr="00DD6590">
        <w:t xml:space="preserve">nie sú takmer vôbec </w:t>
      </w:r>
      <w:r w:rsidRPr="00DD6590">
        <w:t>prepojené s projektovými ukazovateľmi, tzn. na základe projektov sa nedá vyhodnotiť úroveň naplnenia ukazovateľov OPII.</w:t>
      </w:r>
    </w:p>
    <w:p w14:paraId="49953D60" w14:textId="77777777" w:rsidR="004E0A2C" w:rsidRPr="00DD6590" w:rsidRDefault="004E0A2C" w:rsidP="001B535E">
      <w:r w:rsidRPr="00DD6590">
        <w:t xml:space="preserve">Na projektovej úrovni boli zistené </w:t>
      </w:r>
      <w:r w:rsidR="008845D6" w:rsidRPr="00DD6590">
        <w:t xml:space="preserve">tri </w:t>
      </w:r>
      <w:r w:rsidRPr="00DD6590">
        <w:t>zásadné problémy</w:t>
      </w:r>
      <w:r w:rsidR="008845D6" w:rsidRPr="00DD6590">
        <w:t>, ktoré  majú vplyv na dodržiavanie harmonogramu a oprávnenosť výdavkov,</w:t>
      </w:r>
      <w:r w:rsidRPr="00DD6590">
        <w:t xml:space="preserve"> a to:</w:t>
      </w:r>
      <w:r w:rsidR="008845D6" w:rsidRPr="00DD6590">
        <w:t xml:space="preserve"> </w:t>
      </w:r>
    </w:p>
    <w:p w14:paraId="7D606F4D" w14:textId="77777777" w:rsidR="008845D6" w:rsidRPr="00DD6590" w:rsidRDefault="008845D6" w:rsidP="003E761D">
      <w:pPr>
        <w:pStyle w:val="ListParagraph"/>
        <w:numPr>
          <w:ilvl w:val="1"/>
          <w:numId w:val="78"/>
        </w:numPr>
        <w:ind w:left="360"/>
        <w:contextualSpacing/>
      </w:pPr>
      <w:r w:rsidRPr="00DD6590">
        <w:t>verejné obstarávanie</w:t>
      </w:r>
      <w:r w:rsidR="00B05554">
        <w:t>,</w:t>
      </w:r>
    </w:p>
    <w:p w14:paraId="779ADE98" w14:textId="77777777" w:rsidR="00785725" w:rsidRPr="00DD6590" w:rsidRDefault="00785725" w:rsidP="004D11D7">
      <w:pPr>
        <w:pStyle w:val="ListParagraph"/>
        <w:numPr>
          <w:ilvl w:val="1"/>
          <w:numId w:val="78"/>
        </w:numPr>
        <w:ind w:left="360"/>
        <w:contextualSpacing/>
      </w:pPr>
      <w:r w:rsidRPr="00DD6590">
        <w:t>neimplementovanie legislatívnych zmien</w:t>
      </w:r>
      <w:r w:rsidR="004D11D7">
        <w:t xml:space="preserve"> (projekt </w:t>
      </w:r>
      <w:r w:rsidR="004D11D7" w:rsidRPr="004D11D7">
        <w:t>„IS Identifikátora fyzických osôb – 2/fáza“</w:t>
      </w:r>
      <w:r w:rsidR="004D11D7">
        <w:t>)</w:t>
      </w:r>
      <w:r>
        <w:t>,</w:t>
      </w:r>
      <w:r w:rsidRPr="00DD6590">
        <w:t xml:space="preserve"> </w:t>
      </w:r>
    </w:p>
    <w:p w14:paraId="0B5A76B7" w14:textId="77777777" w:rsidR="008845D6" w:rsidRPr="00DD6590" w:rsidRDefault="008845D6" w:rsidP="003E761D">
      <w:pPr>
        <w:pStyle w:val="ListParagraph"/>
        <w:numPr>
          <w:ilvl w:val="1"/>
          <w:numId w:val="78"/>
        </w:numPr>
        <w:ind w:left="360"/>
        <w:contextualSpacing/>
      </w:pPr>
      <w:r w:rsidRPr="00DD6590">
        <w:t>nastavenie ukazovateľov, ktoré nenapĺňajú povinné ukazovatele OPII.</w:t>
      </w:r>
    </w:p>
    <w:p w14:paraId="288909F2" w14:textId="77777777" w:rsidR="008845D6" w:rsidRPr="00DD6590" w:rsidRDefault="00E7300D" w:rsidP="001B535E">
      <w:r w:rsidRPr="00DD6590">
        <w:t xml:space="preserve">Najväčším problémom realizovaných a pravdepodobne aj plánovaných projektov je verejné obstarávanie. Keďže </w:t>
      </w:r>
      <w:r w:rsidR="00891CB1" w:rsidRPr="00DD6590">
        <w:t>verejné obstarávanie sa začína pripravovať a realizovať až po podpise zmluvy o</w:t>
      </w:r>
      <w:r w:rsidR="00B05554">
        <w:t> </w:t>
      </w:r>
      <w:r w:rsidR="00891CB1" w:rsidRPr="00DD6590">
        <w:t>NFP</w:t>
      </w:r>
      <w:r w:rsidR="00B05554">
        <w:t>,</w:t>
      </w:r>
      <w:r w:rsidRPr="00DD6590">
        <w:t xml:space="preserve"> dochádza </w:t>
      </w:r>
      <w:r w:rsidR="00891CB1" w:rsidRPr="00DD6590">
        <w:t xml:space="preserve">tak </w:t>
      </w:r>
      <w:r w:rsidRPr="00DD6590">
        <w:t xml:space="preserve">k predlžovaniu harmonogramu realizácie projektov. </w:t>
      </w:r>
      <w:r w:rsidR="008845D6" w:rsidRPr="00DD6590">
        <w:t>Príčinou sú napríklad:</w:t>
      </w:r>
    </w:p>
    <w:p w14:paraId="2C4F5CFC" w14:textId="77777777" w:rsidR="008845D6" w:rsidRPr="00DD6590" w:rsidRDefault="008845D6" w:rsidP="003E761D">
      <w:pPr>
        <w:pStyle w:val="ListParagraph"/>
        <w:numPr>
          <w:ilvl w:val="0"/>
          <w:numId w:val="83"/>
        </w:numPr>
        <w:ind w:left="360"/>
        <w:contextualSpacing/>
      </w:pPr>
      <w:r w:rsidRPr="00DD6590">
        <w:t>nedostatočne kvalitne pripravené podklady k verejnému obstarávaniu</w:t>
      </w:r>
      <w:r w:rsidR="00B05554">
        <w:t>,</w:t>
      </w:r>
    </w:p>
    <w:p w14:paraId="7BAF01BD" w14:textId="77777777" w:rsidR="008845D6" w:rsidRPr="00DD6590" w:rsidRDefault="008845D6" w:rsidP="003E761D">
      <w:pPr>
        <w:pStyle w:val="ListParagraph"/>
        <w:numPr>
          <w:ilvl w:val="0"/>
          <w:numId w:val="83"/>
        </w:numPr>
        <w:ind w:left="360"/>
        <w:contextualSpacing/>
      </w:pPr>
      <w:r w:rsidRPr="00DD6590">
        <w:t>pochybenia v procese verejného obstarávania</w:t>
      </w:r>
      <w:r w:rsidR="00734EAB" w:rsidRPr="00DD6590">
        <w:t>,</w:t>
      </w:r>
    </w:p>
    <w:p w14:paraId="03E2B9D5" w14:textId="77777777" w:rsidR="008845D6" w:rsidRPr="00DD6590" w:rsidRDefault="008845D6" w:rsidP="003E761D">
      <w:pPr>
        <w:pStyle w:val="ListParagraph"/>
        <w:numPr>
          <w:ilvl w:val="0"/>
          <w:numId w:val="83"/>
        </w:numPr>
        <w:ind w:left="360"/>
        <w:contextualSpacing/>
      </w:pPr>
      <w:r w:rsidRPr="00DD6590">
        <w:t>časová náročnosť administratívnej kontroly verejného obstaráva</w:t>
      </w:r>
      <w:r w:rsidR="00F71D35" w:rsidRPr="00DD6590">
        <w:t>nia.</w:t>
      </w:r>
    </w:p>
    <w:p w14:paraId="2BFFD1C2" w14:textId="77777777" w:rsidR="00E7300D" w:rsidRPr="00DD6590" w:rsidRDefault="00E7300D" w:rsidP="001B535E">
      <w:pPr>
        <w:rPr>
          <w:i/>
          <w:color w:val="000000"/>
          <w:szCs w:val="18"/>
        </w:rPr>
      </w:pPr>
      <w:r w:rsidRPr="00DD6590">
        <w:lastRenderedPageBreak/>
        <w:t xml:space="preserve">Jedným </w:t>
      </w:r>
      <w:r w:rsidR="008845D6" w:rsidRPr="00DD6590">
        <w:t>z projektov</w:t>
      </w:r>
      <w:r w:rsidR="001808D2" w:rsidRPr="00DD6590">
        <w:t>, pri ktorom došlo k výrazným problémom s verejným obstarávaním,</w:t>
      </w:r>
      <w:r w:rsidR="008845D6" w:rsidRPr="00DD6590">
        <w:t xml:space="preserve"> </w:t>
      </w:r>
      <w:r w:rsidRPr="00DD6590">
        <w:t>je projekt Ministerstva vnútra SR – „Datacentrum Ministerstva vnútra SR“,</w:t>
      </w:r>
      <w:r w:rsidR="00E70359" w:rsidRPr="00DD6590">
        <w:t xml:space="preserve"> pri ktorom bola zmluva podpísaná 28.</w:t>
      </w:r>
      <w:r w:rsidR="00B05554">
        <w:t> </w:t>
      </w:r>
      <w:r w:rsidR="00E70359" w:rsidRPr="00DD6590">
        <w:t>5.</w:t>
      </w:r>
      <w:r w:rsidR="00B05554">
        <w:t xml:space="preserve"> </w:t>
      </w:r>
      <w:r w:rsidR="00E70359" w:rsidRPr="00DD6590">
        <w:t xml:space="preserve">2016 a predlžoval sa harmonogram z dôvodu problematického obstarávania budovy. Z tohto dôvodu je na tomto projekte čerpanie a napĺňanie ukazovateľa </w:t>
      </w:r>
      <w:r w:rsidR="00B05554">
        <w:t>na</w:t>
      </w:r>
      <w:r w:rsidR="00B05554" w:rsidRPr="00DD6590">
        <w:t> </w:t>
      </w:r>
      <w:r w:rsidR="00E70359" w:rsidRPr="00DD6590">
        <w:t>nulovej hodnote.</w:t>
      </w:r>
      <w:r w:rsidR="001B535E" w:rsidRPr="00DD6590">
        <w:t xml:space="preserve"> Projekt mal byť podľa harmonogramu v schválenej ŽoNFP ukončený 09/2016 a v súčasnej dobe je realizácia projektu predĺžená až do 10/2019. Prijímateľ </w:t>
      </w:r>
      <w:r w:rsidR="00F71D35" w:rsidRPr="00DD6590">
        <w:t xml:space="preserve">však </w:t>
      </w:r>
      <w:r w:rsidR="001B535E" w:rsidRPr="00DD6590">
        <w:t>nepredložil monitorovaciu správu za rok 2018</w:t>
      </w:r>
      <w:r w:rsidR="00F71D35" w:rsidRPr="00DD6590">
        <w:t xml:space="preserve">, takže na </w:t>
      </w:r>
      <w:r w:rsidR="00F71D35" w:rsidRPr="00DD6590">
        <w:rPr>
          <w:color w:val="000000"/>
          <w:szCs w:val="18"/>
        </w:rPr>
        <w:t>základe chýbajúcich údajov nie je možné vyhodnotiť postup implementácie projektu</w:t>
      </w:r>
      <w:r w:rsidR="001B535E" w:rsidRPr="00DD6590">
        <w:t xml:space="preserve">. </w:t>
      </w:r>
      <w:r w:rsidR="00F71D35" w:rsidRPr="00DD6590">
        <w:rPr>
          <w:color w:val="000000"/>
          <w:szCs w:val="18"/>
        </w:rPr>
        <w:t>V</w:t>
      </w:r>
      <w:r w:rsidR="001B535E" w:rsidRPr="00DD6590">
        <w:rPr>
          <w:color w:val="000000"/>
          <w:szCs w:val="18"/>
        </w:rPr>
        <w:t xml:space="preserve">ýročná správa za rok 2017 bola </w:t>
      </w:r>
      <w:r w:rsidR="0013283B" w:rsidRPr="00DD6590">
        <w:rPr>
          <w:color w:val="000000"/>
          <w:szCs w:val="18"/>
        </w:rPr>
        <w:t xml:space="preserve">schválená </w:t>
      </w:r>
      <w:r w:rsidR="001B535E" w:rsidRPr="00DD6590">
        <w:rPr>
          <w:color w:val="000000"/>
          <w:szCs w:val="18"/>
        </w:rPr>
        <w:t xml:space="preserve">až </w:t>
      </w:r>
      <w:r w:rsidR="001B535E" w:rsidRPr="00DD6590">
        <w:rPr>
          <w:b/>
          <w:color w:val="000000"/>
          <w:szCs w:val="18"/>
        </w:rPr>
        <w:t>1.</w:t>
      </w:r>
      <w:r w:rsidR="00B05554">
        <w:rPr>
          <w:b/>
          <w:color w:val="000000"/>
          <w:szCs w:val="18"/>
        </w:rPr>
        <w:t xml:space="preserve"> </w:t>
      </w:r>
      <w:r w:rsidR="001B535E" w:rsidRPr="00DD6590">
        <w:rPr>
          <w:b/>
          <w:color w:val="000000"/>
          <w:szCs w:val="18"/>
        </w:rPr>
        <w:t>4.</w:t>
      </w:r>
      <w:r w:rsidR="00B05554">
        <w:rPr>
          <w:b/>
          <w:color w:val="000000"/>
          <w:szCs w:val="18"/>
        </w:rPr>
        <w:t xml:space="preserve"> </w:t>
      </w:r>
      <w:r w:rsidR="001B535E" w:rsidRPr="00DD6590">
        <w:rPr>
          <w:b/>
          <w:color w:val="000000"/>
          <w:szCs w:val="18"/>
        </w:rPr>
        <w:t>2019</w:t>
      </w:r>
      <w:r w:rsidR="001B535E" w:rsidRPr="00DD6590">
        <w:rPr>
          <w:i/>
          <w:color w:val="000000"/>
          <w:szCs w:val="18"/>
        </w:rPr>
        <w:t>.</w:t>
      </w:r>
      <w:r w:rsidR="00CF0727" w:rsidRPr="00DD6590">
        <w:rPr>
          <w:i/>
          <w:color w:val="000000"/>
          <w:szCs w:val="18"/>
        </w:rPr>
        <w:t xml:space="preserve"> </w:t>
      </w:r>
    </w:p>
    <w:p w14:paraId="101ECDDB" w14:textId="77777777" w:rsidR="00CF0727" w:rsidRPr="00DD6590" w:rsidRDefault="00CF0727" w:rsidP="001B535E">
      <w:r w:rsidRPr="00DD6590">
        <w:rPr>
          <w:color w:val="000000"/>
          <w:szCs w:val="18"/>
        </w:rPr>
        <w:t>Okrem toho</w:t>
      </w:r>
      <w:r w:rsidR="00B05554">
        <w:rPr>
          <w:color w:val="000000"/>
          <w:szCs w:val="18"/>
        </w:rPr>
        <w:t xml:space="preserve"> bola</w:t>
      </w:r>
      <w:r w:rsidRPr="00DD6590">
        <w:rPr>
          <w:color w:val="000000"/>
          <w:szCs w:val="18"/>
        </w:rPr>
        <w:t xml:space="preserve"> pri dvoch projektoch udelená aj korekcia na verejné obstarávanie</w:t>
      </w:r>
      <w:r w:rsidR="00B05554">
        <w:rPr>
          <w:color w:val="000000"/>
          <w:szCs w:val="18"/>
        </w:rPr>
        <w:t>,</w:t>
      </w:r>
      <w:r w:rsidRPr="00DD6590">
        <w:rPr>
          <w:color w:val="000000"/>
          <w:szCs w:val="18"/>
        </w:rPr>
        <w:t xml:space="preserve"> a to z dôvodov obmedzenia hospodárskej súťaže a nedodržania postupov zverejňovania VO. </w:t>
      </w:r>
    </w:p>
    <w:p w14:paraId="08CBFDE3" w14:textId="77777777" w:rsidR="00CA1D00" w:rsidRPr="00DD6590" w:rsidRDefault="00261E3B" w:rsidP="00320D28">
      <w:r w:rsidRPr="00DD6590">
        <w:t>Pri projektoch implementovaných v rámci PO7 boli zistené chyby pri zadávaní údajov do ITMS2014+</w:t>
      </w:r>
      <w:r w:rsidR="00320D28" w:rsidRPr="00DD6590">
        <w:t>, ako doplnenie spisu projektu po jeho ukončení</w:t>
      </w:r>
      <w:r w:rsidR="00B05554">
        <w:t>.</w:t>
      </w:r>
      <w:r w:rsidR="00320D28" w:rsidRPr="00DD6590">
        <w:t xml:space="preserve"> </w:t>
      </w:r>
      <w:r w:rsidR="00B05554">
        <w:t>N</w:t>
      </w:r>
      <w:r w:rsidR="00320D28" w:rsidRPr="00DD6590">
        <w:t>iektoré výročné m</w:t>
      </w:r>
      <w:r w:rsidRPr="00DD6590">
        <w:t>onitorovacie správy</w:t>
      </w:r>
      <w:r w:rsidR="00B05554">
        <w:t xml:space="preserve"> tiež</w:t>
      </w:r>
      <w:r w:rsidRPr="00DD6590">
        <w:t xml:space="preserve"> </w:t>
      </w:r>
      <w:r w:rsidR="00D842C0">
        <w:t>neboli</w:t>
      </w:r>
      <w:r w:rsidRPr="00DD6590">
        <w:t xml:space="preserve"> zo strany prijímateľov</w:t>
      </w:r>
      <w:r w:rsidR="00320D28" w:rsidRPr="00DD6590">
        <w:t xml:space="preserve"> zadané do ITMS2014+ do 31.</w:t>
      </w:r>
      <w:r w:rsidR="00B05554">
        <w:t xml:space="preserve"> </w:t>
      </w:r>
      <w:r w:rsidR="00320D28" w:rsidRPr="00DD6590">
        <w:t xml:space="preserve">1. a zo strany SO OPII </w:t>
      </w:r>
      <w:r w:rsidR="00D842C0">
        <w:t>neboli</w:t>
      </w:r>
      <w:r w:rsidR="00320D28" w:rsidRPr="00DD6590">
        <w:t xml:space="preserve"> posunuté do stavu schválená, napr. pri projekte 311071A172 </w:t>
      </w:r>
      <w:r w:rsidR="00B05554" w:rsidRPr="00DD6590">
        <w:t>–</w:t>
      </w:r>
      <w:r w:rsidR="00320D28" w:rsidRPr="00DD6590">
        <w:t xml:space="preserve"> Cloud Ministerstva vnútra SR je záverečná správa od 28.</w:t>
      </w:r>
      <w:r w:rsidR="00B05554">
        <w:t> </w:t>
      </w:r>
      <w:r w:rsidR="00320D28" w:rsidRPr="00DD6590">
        <w:t>2.</w:t>
      </w:r>
      <w:r w:rsidR="00B05554">
        <w:t> </w:t>
      </w:r>
      <w:r w:rsidR="00320D28" w:rsidRPr="00DD6590">
        <w:t xml:space="preserve">2017 v stave </w:t>
      </w:r>
      <w:r w:rsidR="00320D28" w:rsidRPr="00DD6590">
        <w:rPr>
          <w:i/>
        </w:rPr>
        <w:t>Zaregistrovaná.</w:t>
      </w:r>
      <w:r w:rsidR="00320D28" w:rsidRPr="00DD6590">
        <w:t xml:space="preserve"> </w:t>
      </w:r>
    </w:p>
    <w:p w14:paraId="14D7B134" w14:textId="77777777" w:rsidR="00C048F6" w:rsidRPr="00DD6590" w:rsidRDefault="00CA1D00" w:rsidP="00C048F6">
      <w:r w:rsidRPr="00DD6590">
        <w:t>Pri ukončených projektoch neboli v rámci PO7 predložené následné monitorovacie správy.</w:t>
      </w:r>
      <w:r w:rsidR="00C048F6" w:rsidRPr="00DD6590">
        <w:t xml:space="preserve"> </w:t>
      </w:r>
      <w:r w:rsidR="004E58F8" w:rsidRPr="00DD6590">
        <w:t>Tieto zistenia možno</w:t>
      </w:r>
      <w:r w:rsidR="002867E7">
        <w:t>, podľa názoru hodnotiteľa,</w:t>
      </w:r>
      <w:r w:rsidR="004E58F8" w:rsidRPr="00DD6590">
        <w:t xml:space="preserve"> považovať za závažné zistenia v rámci riadenia a kontroly na strane SO OPII</w:t>
      </w:r>
      <w:r w:rsidR="00AE6247">
        <w:t>,</w:t>
      </w:r>
      <w:r w:rsidR="00C048F6" w:rsidRPr="00DD6590">
        <w:t xml:space="preserve"> </w:t>
      </w:r>
      <w:r w:rsidR="00AE6247">
        <w:t>p</w:t>
      </w:r>
      <w:r w:rsidR="007D72F6" w:rsidRPr="00DD6590">
        <w:t>ričom na zá</w:t>
      </w:r>
      <w:r w:rsidR="0063693E" w:rsidRPr="00DD6590">
        <w:t xml:space="preserve">klade príručky pre prijímateľa je táto povinnosť stanovená v súlade s usmernením CKO. </w:t>
      </w:r>
    </w:p>
    <w:p w14:paraId="31B5D329" w14:textId="77777777" w:rsidR="00A8060B" w:rsidRPr="00DD6590" w:rsidRDefault="00AE6247" w:rsidP="00A8060B">
      <w:r>
        <w:t>Č</w:t>
      </w:r>
      <w:r w:rsidR="0063693E" w:rsidRPr="00DD6590">
        <w:t>as</w:t>
      </w:r>
      <w:r>
        <w:t>ť</w:t>
      </w:r>
      <w:r w:rsidR="0063693E" w:rsidRPr="00DD6590">
        <w:t xml:space="preserve"> D2.1 Merateľné ukazovatele</w:t>
      </w:r>
      <w:r w:rsidR="0013283B" w:rsidRPr="00DD6590">
        <w:t xml:space="preserve"> </w:t>
      </w:r>
      <w:r w:rsidR="0063693E" w:rsidRPr="00DD6590">
        <w:t>Príručky pre žiadateľa</w:t>
      </w:r>
      <w:r>
        <w:t xml:space="preserve"> uvádza:</w:t>
      </w:r>
      <w:r w:rsidR="0063693E" w:rsidRPr="00DD6590">
        <w:t xml:space="preserve"> </w:t>
      </w:r>
      <w:r w:rsidR="00A8060B" w:rsidRPr="00DD6590">
        <w:t>„V prípade, ak pre potreby monitorovania na úrovni OP potrebuje SO štatistické údaje z jednotlivých projektov, ale zo strany žiadateľa nie je potrebné vopred stanovovať cieľovú hodnotu, resp. táto hodnota nebude pre žiadateľa záväzná, SO uvedené informácie získa prostredníctvom údajov vyžadovaných v rámci monitorovania projektu (ďalej len „iné údaje“). Tieto údaje nie sú získavané prostredníctvom merateľných ukazovateľov projektu, ale v priebehu implementácie projektu, na základe uzavretej zmluvy o NFP.“ V rámci monitorovacích správ neboli uvádzané takéto skutočnosti, preto je potrebné vypracovať metodiku stanovenia hodnoty ukazovateľov vrátane matice previazanosti projektových ukazovateľov a ukazovateľov na úrovni OPII.</w:t>
      </w:r>
    </w:p>
    <w:p w14:paraId="2772995F" w14:textId="77777777" w:rsidR="00845238" w:rsidRPr="00DD6590" w:rsidRDefault="00845238" w:rsidP="00320D28">
      <w:r w:rsidRPr="00DD6590">
        <w:t xml:space="preserve">Priemerná doba </w:t>
      </w:r>
      <w:r w:rsidR="00C048F6" w:rsidRPr="00DD6590">
        <w:t xml:space="preserve">riadneho </w:t>
      </w:r>
      <w:r w:rsidRPr="00DD6590">
        <w:t>ukončovania projektu (</w:t>
      </w:r>
      <w:r w:rsidR="00C048F6" w:rsidRPr="00DD6590">
        <w:t xml:space="preserve">obdobie od </w:t>
      </w:r>
      <w:r w:rsidRPr="00DD6590">
        <w:t>ukončeni</w:t>
      </w:r>
      <w:r w:rsidR="00C048F6" w:rsidRPr="00DD6590">
        <w:t>a</w:t>
      </w:r>
      <w:r w:rsidRPr="00DD6590">
        <w:t xml:space="preserve"> realizácie aktivít až </w:t>
      </w:r>
      <w:r w:rsidR="00C048F6" w:rsidRPr="00DD6590">
        <w:t xml:space="preserve">po </w:t>
      </w:r>
      <w:r w:rsidRPr="00DD6590">
        <w:t xml:space="preserve">riadne ukončenie projektu) je na SO OPII </w:t>
      </w:r>
      <w:r w:rsidRPr="00DD6590">
        <w:rPr>
          <w:b/>
        </w:rPr>
        <w:t>21 mesiacov</w:t>
      </w:r>
      <w:r w:rsidRPr="00DD6590">
        <w:t xml:space="preserve">. </w:t>
      </w:r>
      <w:r w:rsidR="00C048F6" w:rsidRPr="00DD6590">
        <w:t>Najkratšia</w:t>
      </w:r>
      <w:r w:rsidRPr="00DD6590">
        <w:t xml:space="preserve"> </w:t>
      </w:r>
      <w:r w:rsidR="00C048F6" w:rsidRPr="00DD6590">
        <w:t>doba bola pri</w:t>
      </w:r>
      <w:r w:rsidRPr="00DD6590">
        <w:t xml:space="preserve"> projekt</w:t>
      </w:r>
      <w:r w:rsidR="00C048F6" w:rsidRPr="00DD6590">
        <w:t>e</w:t>
      </w:r>
      <w:r w:rsidRPr="00DD6590">
        <w:t xml:space="preserve"> „Register úpadcov – 2. fáza“</w:t>
      </w:r>
      <w:r w:rsidR="00AE6247">
        <w:t>,</w:t>
      </w:r>
      <w:r w:rsidRPr="00DD6590">
        <w:t xml:space="preserve"> a to 4 mesiace. Najdlhšie trvalo ukončovanie projektu „Projekt budovania aplikačnej architektúry a bezpečnostnej infraštruktúry rezortu Ministerstva spravodlivosti SR – 2. fáza“</w:t>
      </w:r>
      <w:r w:rsidR="00AE6247">
        <w:t>,</w:t>
      </w:r>
      <w:r w:rsidRPr="00DD6590">
        <w:t xml:space="preserve"> a to až 31</w:t>
      </w:r>
      <w:r w:rsidR="00AE6247">
        <w:t> </w:t>
      </w:r>
      <w:r w:rsidRPr="00DD6590">
        <w:t>mesiacov.</w:t>
      </w:r>
    </w:p>
    <w:p w14:paraId="7272A44E" w14:textId="77777777" w:rsidR="0006696D" w:rsidRPr="00507D7D" w:rsidRDefault="00507D7D" w:rsidP="00C048F6">
      <w:r>
        <w:t xml:space="preserve">Obdobné zistenia boli uvedené aj v hodnotiacich správach z priebežného hodnotenia Operačného programu Informatizácia spoločnosti 2007 – 2013.  </w:t>
      </w:r>
    </w:p>
    <w:p w14:paraId="33163986" w14:textId="77777777" w:rsidR="00C048F6" w:rsidRPr="00DD6590" w:rsidRDefault="00C048F6" w:rsidP="00C048F6">
      <w:pPr>
        <w:rPr>
          <w:i/>
        </w:rPr>
      </w:pPr>
      <w:r w:rsidRPr="00DD6590">
        <w:rPr>
          <w:i/>
        </w:rPr>
        <w:t>Na základe zistených nedostatkov v ITMS2014+</w:t>
      </w:r>
      <w:r w:rsidR="00785725">
        <w:rPr>
          <w:i/>
        </w:rPr>
        <w:t xml:space="preserve"> uvedených vyššie</w:t>
      </w:r>
      <w:r w:rsidRPr="00DD6590">
        <w:rPr>
          <w:i/>
        </w:rPr>
        <w:t xml:space="preserve"> odporúčame vykonať kontrolu úloh vykonávaných sprostredkovateľským orgánom.</w:t>
      </w:r>
    </w:p>
    <w:p w14:paraId="76A9A6D0" w14:textId="77777777" w:rsidR="004E58F8" w:rsidRPr="00DD6590" w:rsidRDefault="00845238" w:rsidP="004E58F8">
      <w:r w:rsidRPr="00DD6590">
        <w:t xml:space="preserve">Priemerná doba implementácie projektov v PO7 je </w:t>
      </w:r>
      <w:r w:rsidR="00C048F6" w:rsidRPr="00DD6590">
        <w:rPr>
          <w:b/>
        </w:rPr>
        <w:t>31</w:t>
      </w:r>
      <w:r w:rsidRPr="00DD6590">
        <w:rPr>
          <w:b/>
        </w:rPr>
        <w:t xml:space="preserve"> mesiacov</w:t>
      </w:r>
      <w:r w:rsidRPr="00DD6590">
        <w:t xml:space="preserve">. </w:t>
      </w:r>
      <w:r w:rsidR="00C048F6" w:rsidRPr="00DD6590">
        <w:t xml:space="preserve">Projekt s najdlhšou dobou realizácie je „IS Identifikátora fyzických osôb – 2/fáza“, ktorý má plánovanú dobu na </w:t>
      </w:r>
      <w:r w:rsidR="004E58F8" w:rsidRPr="00DD6590">
        <w:t>56 mesiacov</w:t>
      </w:r>
      <w:r w:rsidR="004E58F8">
        <w:t xml:space="preserve"> (predlžovanie obdobia realizácie projektu z dôvodu zdĺhavého legislatívneho procesu)</w:t>
      </w:r>
      <w:r w:rsidR="00C048F6" w:rsidRPr="00DD6590">
        <w:t>. Najkratšiu dobu realizácie mal projekt „Projekt budovania aplikačnej architektúry a bezpečnostnej infraštruktúry rezortu Ministerstva spravodlivosti SR – 2/fáza“</w:t>
      </w:r>
      <w:r w:rsidR="00AE6247">
        <w:t>,</w:t>
      </w:r>
      <w:r w:rsidR="00C048F6" w:rsidRPr="00DD6590">
        <w:t xml:space="preserve"> a to 14 mesiacov, </w:t>
      </w:r>
      <w:r w:rsidR="00AE6247">
        <w:t xml:space="preserve">pričom </w:t>
      </w:r>
      <w:r w:rsidR="00C048F6" w:rsidRPr="00DD6590">
        <w:t xml:space="preserve">tento projekt bol fázovaný z predchádzajúceho programového obdobia. </w:t>
      </w:r>
      <w:r w:rsidR="004E58F8" w:rsidRPr="00DD6590">
        <w:t>Preto projekty, ktoré plánuje SO OPII schvaľovať v roku 2020 sú z pohľadu dĺžky realizácie projektov rizikové</w:t>
      </w:r>
      <w:r w:rsidR="004E58F8">
        <w:t>.</w:t>
      </w:r>
      <w:r w:rsidR="004E58F8" w:rsidRPr="00DD6590">
        <w:t xml:space="preserve"> </w:t>
      </w:r>
      <w:r w:rsidR="004E58F8">
        <w:t>T</w:t>
      </w:r>
      <w:r w:rsidR="004E58F8" w:rsidRPr="00DD6590">
        <w:t xml:space="preserve">ieto projekty sú v hodnote približne </w:t>
      </w:r>
      <w:r w:rsidR="004E58F8" w:rsidRPr="00DD6590">
        <w:rPr>
          <w:b/>
        </w:rPr>
        <w:t>188 mil. EUR.</w:t>
      </w:r>
      <w:r w:rsidR="004E58F8" w:rsidRPr="00DD6590">
        <w:t xml:space="preserve"> </w:t>
      </w:r>
    </w:p>
    <w:p w14:paraId="6571714C" w14:textId="77777777" w:rsidR="00261E3B" w:rsidRPr="00DD6590" w:rsidRDefault="00261E3B" w:rsidP="005C4CE4"/>
    <w:p w14:paraId="4C1454A3" w14:textId="77777777" w:rsidR="007D72F6" w:rsidRPr="00DD6590" w:rsidRDefault="007D72F6" w:rsidP="005C4CE4">
      <w:pPr>
        <w:sectPr w:rsidR="007D72F6" w:rsidRPr="00DD6590" w:rsidSect="00235284">
          <w:pgSz w:w="11906" w:h="16838" w:code="9"/>
          <w:pgMar w:top="1987" w:right="1138" w:bottom="1138" w:left="1411" w:header="677" w:footer="562" w:gutter="0"/>
          <w:cols w:space="9"/>
          <w:titlePg/>
          <w:docGrid w:linePitch="360"/>
        </w:sectPr>
      </w:pPr>
    </w:p>
    <w:p w14:paraId="42FFDDDC" w14:textId="77777777" w:rsidR="00725CA5" w:rsidRPr="00A63338" w:rsidRDefault="001142BC" w:rsidP="00A63338">
      <w:pPr>
        <w:pStyle w:val="Sectiontitle"/>
        <w:outlineLvl w:val="0"/>
      </w:pPr>
      <w:bookmarkStart w:id="47" w:name="_Toc1132684"/>
      <w:bookmarkStart w:id="48" w:name="_Toc10709718"/>
      <w:r w:rsidRPr="00A63338">
        <w:lastRenderedPageBreak/>
        <w:t>Závery a o</w:t>
      </w:r>
      <w:r w:rsidR="00725CA5" w:rsidRPr="00A63338">
        <w:t>dporúčania</w:t>
      </w:r>
      <w:bookmarkEnd w:id="47"/>
      <w:bookmarkEnd w:id="48"/>
      <w:r w:rsidR="00725CA5" w:rsidRPr="00A63338">
        <w:t xml:space="preserve"> </w:t>
      </w:r>
    </w:p>
    <w:p w14:paraId="6CEF294B" w14:textId="77777777" w:rsidR="00DC7AC4" w:rsidRPr="00DD6590" w:rsidRDefault="00DC7AC4" w:rsidP="00255B0C">
      <w:pPr>
        <w:pStyle w:val="Heading1"/>
      </w:pPr>
      <w:bookmarkStart w:id="49" w:name="_Toc10709719"/>
      <w:r w:rsidRPr="00DD6590">
        <w:t>Hodnotiaca otázka 1</w:t>
      </w:r>
      <w:bookmarkEnd w:id="49"/>
      <w:r w:rsidRPr="00DD6590">
        <w:t xml:space="preserve"> </w:t>
      </w:r>
    </w:p>
    <w:p w14:paraId="2E10236D" w14:textId="77777777" w:rsidR="00F41009" w:rsidRPr="00DD6590" w:rsidRDefault="00F41009" w:rsidP="00DC7AC4">
      <w:pPr>
        <w:rPr>
          <w:b/>
        </w:rPr>
      </w:pPr>
      <w:r w:rsidRPr="00DD6590">
        <w:rPr>
          <w:b/>
        </w:rPr>
        <w:t xml:space="preserve">Je potrebné zvýšiť výkonnosť a tempo kontrahácie </w:t>
      </w:r>
      <w:r w:rsidR="00B81843" w:rsidRPr="00DD6590">
        <w:rPr>
          <w:b/>
        </w:rPr>
        <w:t>a</w:t>
      </w:r>
      <w:r w:rsidR="00B81843">
        <w:rPr>
          <w:b/>
        </w:rPr>
        <w:t xml:space="preserve"> </w:t>
      </w:r>
      <w:r w:rsidRPr="00DD6590">
        <w:rPr>
          <w:b/>
        </w:rPr>
        <w:t>čerpania prostriedkov OPII s ohľadom na stanovené zámery a očakávané výsledky? Ak áno, aké opatrenia interného charakteru by mal prijať a aplikovať RO OPII/SO pri implementácii OPII, resp. iniciovať vo vzťahu k externým subjektom a prostrediu?</w:t>
      </w:r>
    </w:p>
    <w:p w14:paraId="3C2BC5C5" w14:textId="77777777" w:rsidR="00724194" w:rsidRPr="00DD6590" w:rsidRDefault="00E406E2" w:rsidP="00DC7AC4">
      <w:r w:rsidRPr="00DD6590">
        <w:t>V</w:t>
      </w:r>
      <w:r w:rsidR="00447916" w:rsidRPr="00DD6590">
        <w:t>o všetkých prioritných osiach OPII, okrem prioritnej osi 2</w:t>
      </w:r>
      <w:r w:rsidR="00AE6247">
        <w:t>,</w:t>
      </w:r>
      <w:r w:rsidR="00447916" w:rsidRPr="00DD6590">
        <w:t xml:space="preserve"> je potrebné</w:t>
      </w:r>
      <w:r w:rsidR="00A02087" w:rsidRPr="00DD6590">
        <w:t xml:space="preserve"> zvýšiť tempo kontrahovania, tzn.</w:t>
      </w:r>
      <w:r w:rsidR="00447916" w:rsidRPr="00DD6590">
        <w:t xml:space="preserve"> zakontrahovať </w:t>
      </w:r>
      <w:r w:rsidR="00796B77" w:rsidRPr="00DD6590">
        <w:t xml:space="preserve">ďalšie </w:t>
      </w:r>
      <w:r w:rsidR="00447916" w:rsidRPr="00DD6590">
        <w:t xml:space="preserve">projekty, ktoré prispejú k naplneniu </w:t>
      </w:r>
      <w:r w:rsidR="001B49AF" w:rsidRPr="00DD6590">
        <w:t>zámerov pre rok 2023</w:t>
      </w:r>
      <w:r w:rsidR="00447916" w:rsidRPr="00DD6590">
        <w:t>. Projekty, ktoré by mali byť v rámci jednotlivých PO podporené</w:t>
      </w:r>
      <w:r w:rsidR="00AE6247">
        <w:t>,</w:t>
      </w:r>
      <w:r w:rsidR="00447916" w:rsidRPr="00DD6590">
        <w:t xml:space="preserve"> by sa mali zameriavať najmä na napĺňanie ukazovateľov výkonnostného rámca.</w:t>
      </w:r>
      <w:r w:rsidR="00000334" w:rsidRPr="00DD6590">
        <w:t xml:space="preserve"> V opačnom prípade hrozí RO OPII zo strany EK uplatnenie finančných korekcií za nenaplnenie cieľových hodnôt ukazovateľov zaradených do výkonnostného rámca.</w:t>
      </w:r>
      <w:r w:rsidR="00B77EDB" w:rsidRPr="00DD6590">
        <w:t xml:space="preserve"> </w:t>
      </w:r>
      <w:r w:rsidR="00796B77" w:rsidRPr="00DD6590">
        <w:t xml:space="preserve">S ohľadom na výsledky analýzy odporúčame prehodnotiť vo všetkých </w:t>
      </w:r>
      <w:r w:rsidR="00A47263" w:rsidRPr="00DD6590">
        <w:t xml:space="preserve">relevantných </w:t>
      </w:r>
      <w:r w:rsidR="00796B77" w:rsidRPr="00DD6590">
        <w:t xml:space="preserve">prioritných osiach hodnoty </w:t>
      </w:r>
      <w:r w:rsidR="00B2534C" w:rsidRPr="00DD6590">
        <w:t xml:space="preserve">ukazovateľov týkajúcich sa úspory času, úspory emisií a počtu prepravených osôb. </w:t>
      </w:r>
      <w:r w:rsidR="00724194" w:rsidRPr="00DD6590">
        <w:t>Pre ukazovatele vyhodnocované na základe štatistík odporúčame vypracovať dopadové hodnotenie, ktoré by vyhodnotilo vplyv/prínos projektov OPII na daný ukazovateľ.</w:t>
      </w:r>
    </w:p>
    <w:p w14:paraId="764EE0BE" w14:textId="77777777" w:rsidR="00724194" w:rsidRPr="00DD6590" w:rsidRDefault="00BC0348" w:rsidP="00DC7AC4">
      <w:r w:rsidRPr="00DD6590">
        <w:t>Všetky projekty, ktoré ešte nemajú schválenú štúdiu uskutočniteľnosti</w:t>
      </w:r>
      <w:r w:rsidR="00AE6247">
        <w:t>,</w:t>
      </w:r>
      <w:r w:rsidRPr="00DD6590">
        <w:t xml:space="preserve"> majú podmienenú ďalšiu realizáciu vydaním pozitívneho stanoviska EK. V prípade negatívneho stanoviska k výsledkom štúdií realizovateľnosti realizácia výstavby predmetnej infraštruktúry nebude z OPII financovaná.</w:t>
      </w:r>
      <w:r w:rsidR="00000334" w:rsidRPr="00DD6590">
        <w:t xml:space="preserve"> Táto podmienka sa týka najmä projektov plánovaných </w:t>
      </w:r>
      <w:r w:rsidR="00AE6247">
        <w:t xml:space="preserve">v rámci </w:t>
      </w:r>
      <w:r w:rsidR="00000334" w:rsidRPr="00DD6590">
        <w:t>prioritnej osi 4, v ktorej je kontrahovanie na najnižšej úrovni</w:t>
      </w:r>
      <w:r w:rsidR="00AE6247">
        <w:t>,</w:t>
      </w:r>
      <w:r w:rsidR="00000334" w:rsidRPr="00DD6590">
        <w:t xml:space="preserve"> a tým má najvyšší predpoklad nenaplnenia výkonnostného rámca.</w:t>
      </w:r>
      <w:r w:rsidR="00724194" w:rsidRPr="00DD6590">
        <w:t xml:space="preserve"> </w:t>
      </w:r>
    </w:p>
    <w:p w14:paraId="4B10D27B" w14:textId="77777777" w:rsidR="00724194" w:rsidRPr="00DD6590" w:rsidRDefault="00166337" w:rsidP="00DC7AC4">
      <w:r w:rsidRPr="00DD6590">
        <w:t>Odporúčame RO OPII aktualizáciu dokumentu „Prehľad ukazovateľov OPII 2014 – 2020 vrátane popisu metodiky stanovenia hodnôt ukazovateľov“</w:t>
      </w:r>
      <w:r w:rsidR="00F02087">
        <w:t>,</w:t>
      </w:r>
      <w:r w:rsidRPr="00DD6590">
        <w:t xml:space="preserve"> a to najmä v nadväznosti na potrebu prehodnotenia ukazovateľov</w:t>
      </w:r>
      <w:r w:rsidR="00D92FCD" w:rsidRPr="00DD6590">
        <w:t xml:space="preserve"> PO</w:t>
      </w:r>
      <w:r w:rsidRPr="00DD6590">
        <w:t>, nastavenia metodiky výpočtu a agregácie pre PO7 a nastavenia nových ukazovateľov</w:t>
      </w:r>
      <w:r w:rsidR="00D92FCD" w:rsidRPr="00DD6590">
        <w:t xml:space="preserve"> PO5</w:t>
      </w:r>
      <w:r w:rsidRPr="00DD6590">
        <w:t xml:space="preserve">. </w:t>
      </w:r>
    </w:p>
    <w:p w14:paraId="5F67A374" w14:textId="1D08119F" w:rsidR="009D28E0" w:rsidRDefault="009D28E0" w:rsidP="00DC7AC4">
      <w:r w:rsidRPr="00DD6590">
        <w:t xml:space="preserve">Ďalším dokumentom, ktorý je vzhľadom k ukazovateľom PO7 potrebné upraviť je „Príručka pre žiadateľa OPII PO7 Informačná spoločnosť“ a to najmä textácia o povinnosti zadávania ukazovateľov v ITMS2014+. </w:t>
      </w:r>
      <w:r w:rsidR="00D92FCD" w:rsidRPr="00DD6590">
        <w:t>V nadväznosti na</w:t>
      </w:r>
      <w:r w:rsidR="00BC0E09" w:rsidRPr="00DD6590">
        <w:t xml:space="preserve"> závažn</w:t>
      </w:r>
      <w:r w:rsidR="00D92FCD" w:rsidRPr="00DD6590">
        <w:t>é zistenia</w:t>
      </w:r>
      <w:r w:rsidR="00BC0E09" w:rsidRPr="00DD6590">
        <w:t xml:space="preserve"> </w:t>
      </w:r>
      <w:r w:rsidR="00D92FCD" w:rsidRPr="00DD6590">
        <w:t xml:space="preserve">a </w:t>
      </w:r>
      <w:r w:rsidR="00BC0E09" w:rsidRPr="00DD6590">
        <w:t>nedostatk</w:t>
      </w:r>
      <w:r w:rsidR="00D92FCD" w:rsidRPr="00DD6590">
        <w:t>y</w:t>
      </w:r>
      <w:r w:rsidR="00BC0E09" w:rsidRPr="00DD6590">
        <w:t xml:space="preserve"> </w:t>
      </w:r>
      <w:r w:rsidR="00F02087">
        <w:t>v</w:t>
      </w:r>
      <w:r w:rsidR="00F02087" w:rsidRPr="00DD6590">
        <w:t xml:space="preserve"> </w:t>
      </w:r>
      <w:r w:rsidR="00BC0E09" w:rsidRPr="00DD6590">
        <w:t xml:space="preserve">riadení a kontrole projektov PO7 na strane SO OPII </w:t>
      </w:r>
      <w:r w:rsidRPr="00DD6590">
        <w:t>odporúčame vykonať kontrolu úloh vykonávaných sprostredkovateľským orgánom</w:t>
      </w:r>
      <w:r w:rsidR="00C6737C">
        <w:t xml:space="preserve">. </w:t>
      </w:r>
      <w:r w:rsidRPr="00DD6590">
        <w:t xml:space="preserve"> </w:t>
      </w:r>
      <w:r w:rsidR="00C6737C" w:rsidRPr="00C6737C">
        <w:t>Monitorovať progres plnenia opatrení, ktoré budú definované v akčnom pláne vypracovanom pre PO7 v rámci pravidelných stretnutí RO a SO OPII</w:t>
      </w:r>
      <w:r w:rsidR="00C6737C">
        <w:t>.</w:t>
      </w:r>
    </w:p>
    <w:p w14:paraId="25F69320" w14:textId="77777777" w:rsidR="00AA6542" w:rsidRPr="00DD6590" w:rsidRDefault="00B77EDB" w:rsidP="00DC7AC4">
      <w:r w:rsidRPr="00DD6590">
        <w:t xml:space="preserve">Vzhľadom </w:t>
      </w:r>
      <w:r w:rsidR="00F02087">
        <w:t>na</w:t>
      </w:r>
      <w:r w:rsidR="00F02087" w:rsidRPr="00DD6590">
        <w:t> </w:t>
      </w:r>
      <w:r w:rsidRPr="00DD6590">
        <w:t>to, že pripravenosť projektov</w:t>
      </w:r>
      <w:r w:rsidR="00F02087">
        <w:t xml:space="preserve"> a</w:t>
      </w:r>
      <w:r w:rsidR="005C6341" w:rsidRPr="00DD6590">
        <w:t xml:space="preserve"> stav implementácie, kontrahovania a čerpania </w:t>
      </w:r>
      <w:r w:rsidR="00F02087">
        <w:t>sú</w:t>
      </w:r>
      <w:r w:rsidR="00F02087" w:rsidRPr="00DD6590">
        <w:t xml:space="preserve"> </w:t>
      </w:r>
      <w:r w:rsidRPr="00DD6590">
        <w:t xml:space="preserve">v rámci jednotlivých prioritných osí </w:t>
      </w:r>
      <w:r w:rsidR="00F02087" w:rsidRPr="00DD6590">
        <w:t>rôzn</w:t>
      </w:r>
      <w:r w:rsidR="00F02087">
        <w:t>e</w:t>
      </w:r>
      <w:r w:rsidR="005C6341" w:rsidRPr="00DD6590">
        <w:t>,</w:t>
      </w:r>
      <w:r w:rsidR="009A5B1A" w:rsidRPr="00DD6590">
        <w:t xml:space="preserve"> sú odporúčania rozpracované </w:t>
      </w:r>
      <w:r w:rsidR="005C6341" w:rsidRPr="00DD6590">
        <w:t xml:space="preserve">samostatne </w:t>
      </w:r>
      <w:r w:rsidR="009A5B1A" w:rsidRPr="00DD6590">
        <w:t>pre jednotlivé PO</w:t>
      </w:r>
      <w:r w:rsidRPr="00DD6590">
        <w:t>.</w:t>
      </w:r>
      <w:r w:rsidR="009A5B1A" w:rsidRPr="00DD6590">
        <w:t xml:space="preserve"> </w:t>
      </w:r>
    </w:p>
    <w:tbl>
      <w:tblPr>
        <w:tblStyle w:val="ListTable3-Accent1"/>
        <w:tblW w:w="5002" w:type="pct"/>
        <w:tblBorders>
          <w:left w:val="none" w:sz="0" w:space="0" w:color="auto"/>
          <w:right w:val="none" w:sz="0" w:space="0" w:color="auto"/>
          <w:insideH w:val="single" w:sz="4" w:space="0" w:color="86BC25" w:themeColor="accent1"/>
        </w:tblBorders>
        <w:tblCellMar>
          <w:left w:w="28" w:type="dxa"/>
          <w:right w:w="28" w:type="dxa"/>
        </w:tblCellMar>
        <w:tblLook w:val="04A0" w:firstRow="1" w:lastRow="0" w:firstColumn="1" w:lastColumn="0" w:noHBand="0" w:noVBand="1"/>
      </w:tblPr>
      <w:tblGrid>
        <w:gridCol w:w="1476"/>
        <w:gridCol w:w="112"/>
        <w:gridCol w:w="1022"/>
        <w:gridCol w:w="71"/>
        <w:gridCol w:w="6680"/>
      </w:tblGrid>
      <w:tr w:rsidR="00F41009" w:rsidRPr="00DD6590" w14:paraId="4739D3A8" w14:textId="77777777" w:rsidTr="00195734">
        <w:trPr>
          <w:cnfStyle w:val="100000000000" w:firstRow="1" w:lastRow="0" w:firstColumn="0" w:lastColumn="0" w:oddVBand="0" w:evenVBand="0" w:oddHBand="0" w:evenHBand="0" w:firstRowFirstColumn="0" w:firstRowLastColumn="0" w:lastRowFirstColumn="0" w:lastRowLastColumn="0"/>
          <w:trHeight w:val="283"/>
        </w:trPr>
        <w:tc>
          <w:tcPr>
            <w:cnfStyle w:val="001000000100" w:firstRow="0" w:lastRow="0" w:firstColumn="1" w:lastColumn="0" w:oddVBand="0" w:evenVBand="0" w:oddHBand="0" w:evenHBand="0" w:firstRowFirstColumn="1" w:firstRowLastColumn="0" w:lastRowFirstColumn="0" w:lastRowLastColumn="0"/>
            <w:tcW w:w="848" w:type="pct"/>
            <w:gridSpan w:val="2"/>
            <w:vAlign w:val="center"/>
          </w:tcPr>
          <w:p w14:paraId="7F77015F" w14:textId="77777777" w:rsidR="00F41009" w:rsidRPr="00DD6590" w:rsidRDefault="00F41009" w:rsidP="00717D06">
            <w:pPr>
              <w:spacing w:before="60" w:after="0"/>
              <w:rPr>
                <w:rFonts w:asciiTheme="minorHAnsi" w:hAnsiTheme="minorHAnsi"/>
                <w:szCs w:val="18"/>
              </w:rPr>
            </w:pPr>
            <w:r w:rsidRPr="00DD6590">
              <w:rPr>
                <w:rFonts w:asciiTheme="minorHAnsi" w:hAnsiTheme="minorHAnsi"/>
                <w:szCs w:val="18"/>
              </w:rPr>
              <w:t>Prioritná os</w:t>
            </w:r>
          </w:p>
        </w:tc>
        <w:tc>
          <w:tcPr>
            <w:tcW w:w="546" w:type="pct"/>
            <w:vAlign w:val="center"/>
          </w:tcPr>
          <w:p w14:paraId="137C960C" w14:textId="77777777" w:rsidR="00F41009" w:rsidRPr="00DD6590" w:rsidRDefault="00D25E33" w:rsidP="00717D06">
            <w:pPr>
              <w:spacing w:before="6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Odpoveď na H</w:t>
            </w:r>
            <w:r w:rsidR="00F41009" w:rsidRPr="00DD6590">
              <w:rPr>
                <w:rFonts w:asciiTheme="minorHAnsi" w:hAnsiTheme="minorHAnsi"/>
                <w:szCs w:val="18"/>
              </w:rPr>
              <w:t>O</w:t>
            </w:r>
          </w:p>
        </w:tc>
        <w:tc>
          <w:tcPr>
            <w:tcW w:w="3606" w:type="pct"/>
            <w:gridSpan w:val="2"/>
            <w:vAlign w:val="center"/>
          </w:tcPr>
          <w:p w14:paraId="2D94F9A4" w14:textId="77777777" w:rsidR="00F41009" w:rsidRPr="00DD6590" w:rsidRDefault="0009411F" w:rsidP="00717D06">
            <w:pPr>
              <w:spacing w:before="60" w:after="0"/>
              <w:cnfStyle w:val="100000000000" w:firstRow="1"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Závery a n</w:t>
            </w:r>
            <w:r w:rsidR="00F41009" w:rsidRPr="00DD6590">
              <w:rPr>
                <w:rFonts w:asciiTheme="minorHAnsi" w:hAnsiTheme="minorHAnsi"/>
                <w:szCs w:val="18"/>
              </w:rPr>
              <w:t>avrhované opatrenia</w:t>
            </w:r>
          </w:p>
        </w:tc>
      </w:tr>
      <w:tr w:rsidR="00F41009" w:rsidRPr="00DD6590" w14:paraId="00A513D9" w14:textId="77777777" w:rsidTr="0019573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88" w:type="pct"/>
            <w:vAlign w:val="center"/>
          </w:tcPr>
          <w:p w14:paraId="1079AE06" w14:textId="77777777" w:rsidR="00F41009" w:rsidRPr="00DD6590" w:rsidRDefault="00F41009" w:rsidP="00F02087">
            <w:pPr>
              <w:spacing w:before="60" w:after="0"/>
              <w:rPr>
                <w:rFonts w:asciiTheme="minorHAnsi" w:hAnsiTheme="minorHAnsi"/>
                <w:b w:val="0"/>
                <w:szCs w:val="18"/>
              </w:rPr>
            </w:pPr>
            <w:r w:rsidRPr="00DD6590">
              <w:rPr>
                <w:rFonts w:asciiTheme="minorHAnsi" w:hAnsiTheme="minorHAnsi"/>
                <w:b w:val="0"/>
                <w:szCs w:val="18"/>
              </w:rPr>
              <w:t>PO1: Železničná infraštruktúra (TEN-T CORE) a</w:t>
            </w:r>
            <w:r w:rsidR="00F02087">
              <w:rPr>
                <w:rFonts w:asciiTheme="minorHAnsi" w:hAnsiTheme="minorHAnsi"/>
                <w:b w:val="0"/>
                <w:szCs w:val="18"/>
              </w:rPr>
              <w:t> </w:t>
            </w:r>
            <w:r w:rsidRPr="00DD6590">
              <w:rPr>
                <w:rFonts w:asciiTheme="minorHAnsi" w:hAnsiTheme="minorHAnsi"/>
                <w:b w:val="0"/>
                <w:szCs w:val="18"/>
              </w:rPr>
              <w:t>obnova mobilných prostriedkov</w:t>
            </w:r>
          </w:p>
        </w:tc>
        <w:tc>
          <w:tcPr>
            <w:tcW w:w="644" w:type="pct"/>
            <w:gridSpan w:val="3"/>
            <w:vAlign w:val="center"/>
          </w:tcPr>
          <w:p w14:paraId="2715D56D" w14:textId="77777777" w:rsidR="00F41009" w:rsidRPr="00DD6590" w:rsidRDefault="001142BC" w:rsidP="00717D06">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szCs w:val="18"/>
              </w:rPr>
            </w:pPr>
            <w:r w:rsidRPr="00DD6590">
              <w:rPr>
                <w:rFonts w:asciiTheme="minorHAnsi" w:hAnsiTheme="minorHAnsi"/>
                <w:b/>
                <w:bCs/>
                <w:szCs w:val="18"/>
              </w:rPr>
              <w:t>Áno</w:t>
            </w:r>
          </w:p>
        </w:tc>
        <w:tc>
          <w:tcPr>
            <w:tcW w:w="3568" w:type="pct"/>
            <w:vAlign w:val="center"/>
          </w:tcPr>
          <w:p w14:paraId="0BA987C0" w14:textId="77777777" w:rsidR="00F41009" w:rsidRPr="00DD6590" w:rsidRDefault="00366C89" w:rsidP="00717D06">
            <w:pPr>
              <w:spacing w:before="60" w:after="0"/>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Cs w:val="18"/>
              </w:rPr>
            </w:pPr>
            <w:r w:rsidRPr="00DD6590">
              <w:rPr>
                <w:rFonts w:asciiTheme="minorHAnsi" w:hAnsiTheme="minorHAnsi"/>
                <w:color w:val="000000"/>
                <w:szCs w:val="18"/>
              </w:rPr>
              <w:t>V rámci prioritnej osi</w:t>
            </w:r>
            <w:r w:rsidR="00A47263" w:rsidRPr="00DD6590">
              <w:rPr>
                <w:rFonts w:asciiTheme="minorHAnsi" w:hAnsiTheme="minorHAnsi"/>
                <w:color w:val="000000"/>
                <w:szCs w:val="18"/>
              </w:rPr>
              <w:t xml:space="preserve"> 1</w:t>
            </w:r>
            <w:r w:rsidRPr="00DD6590">
              <w:rPr>
                <w:rFonts w:asciiTheme="minorHAnsi" w:hAnsiTheme="minorHAnsi"/>
                <w:color w:val="000000"/>
                <w:szCs w:val="18"/>
              </w:rPr>
              <w:t xml:space="preserve"> je dostatočné množstvo plánovaných projektov</w:t>
            </w:r>
            <w:r w:rsidR="00FB1C50" w:rsidRPr="00DD6590">
              <w:rPr>
                <w:rFonts w:asciiTheme="minorHAnsi" w:hAnsiTheme="minorHAnsi"/>
                <w:color w:val="000000"/>
                <w:szCs w:val="18"/>
              </w:rPr>
              <w:t xml:space="preserve">, čím vzniká predpoklad naplnenia finančného ukazovateľa, </w:t>
            </w:r>
            <w:r w:rsidR="00F02087">
              <w:rPr>
                <w:rFonts w:asciiTheme="minorHAnsi" w:hAnsiTheme="minorHAnsi"/>
                <w:color w:val="000000"/>
                <w:szCs w:val="18"/>
              </w:rPr>
              <w:t>ale</w:t>
            </w:r>
            <w:r w:rsidR="00F02087" w:rsidRPr="00DD6590">
              <w:rPr>
                <w:rFonts w:asciiTheme="minorHAnsi" w:hAnsiTheme="minorHAnsi"/>
                <w:color w:val="000000"/>
                <w:szCs w:val="18"/>
              </w:rPr>
              <w:t xml:space="preserve"> </w:t>
            </w:r>
            <w:r w:rsidR="00FB1C50" w:rsidRPr="00DD6590">
              <w:rPr>
                <w:rFonts w:asciiTheme="minorHAnsi" w:hAnsiTheme="minorHAnsi"/>
                <w:color w:val="000000"/>
                <w:szCs w:val="18"/>
              </w:rPr>
              <w:t xml:space="preserve">vzhľadom </w:t>
            </w:r>
            <w:r w:rsidR="00F02087">
              <w:rPr>
                <w:rFonts w:asciiTheme="minorHAnsi" w:hAnsiTheme="minorHAnsi"/>
                <w:color w:val="000000"/>
                <w:szCs w:val="18"/>
              </w:rPr>
              <w:t>na</w:t>
            </w:r>
            <w:r w:rsidR="00FB1C50" w:rsidRPr="00DD6590">
              <w:rPr>
                <w:rFonts w:asciiTheme="minorHAnsi" w:hAnsiTheme="minorHAnsi"/>
                <w:color w:val="000000"/>
                <w:szCs w:val="18"/>
              </w:rPr>
              <w:t> nedostatočn</w:t>
            </w:r>
            <w:r w:rsidR="00F02087">
              <w:rPr>
                <w:rFonts w:asciiTheme="minorHAnsi" w:hAnsiTheme="minorHAnsi"/>
                <w:color w:val="000000"/>
                <w:szCs w:val="18"/>
              </w:rPr>
              <w:t>ú</w:t>
            </w:r>
            <w:r w:rsidR="00FB1C50" w:rsidRPr="00DD6590">
              <w:rPr>
                <w:rFonts w:asciiTheme="minorHAnsi" w:hAnsiTheme="minorHAnsi"/>
                <w:color w:val="000000"/>
                <w:szCs w:val="18"/>
              </w:rPr>
              <w:t xml:space="preserve"> pripravenos</w:t>
            </w:r>
            <w:r w:rsidR="00F02087">
              <w:rPr>
                <w:rFonts w:asciiTheme="minorHAnsi" w:hAnsiTheme="minorHAnsi"/>
                <w:color w:val="000000"/>
                <w:szCs w:val="18"/>
              </w:rPr>
              <w:t>ť</w:t>
            </w:r>
            <w:r w:rsidR="00FB1C50" w:rsidRPr="00DD6590">
              <w:rPr>
                <w:rFonts w:asciiTheme="minorHAnsi" w:hAnsiTheme="minorHAnsi"/>
                <w:color w:val="000000"/>
                <w:szCs w:val="18"/>
              </w:rPr>
              <w:t xml:space="preserve"> projektov </w:t>
            </w:r>
            <w:r w:rsidR="005C6341" w:rsidRPr="00DD6590">
              <w:rPr>
                <w:rFonts w:asciiTheme="minorHAnsi" w:hAnsiTheme="minorHAnsi"/>
                <w:color w:val="000000"/>
                <w:szCs w:val="18"/>
              </w:rPr>
              <w:t>je potrebné vypracovať databázu projektov</w:t>
            </w:r>
            <w:r w:rsidR="00FB1C50" w:rsidRPr="00DD6590">
              <w:rPr>
                <w:rFonts w:asciiTheme="minorHAnsi" w:hAnsiTheme="minorHAnsi"/>
                <w:color w:val="000000"/>
                <w:szCs w:val="18"/>
              </w:rPr>
              <w:t>, v ktorej by prijímatelia pravidelne hlásili pokrok v príprave a postupe prác</w:t>
            </w:r>
            <w:r w:rsidR="00F02087">
              <w:rPr>
                <w:rFonts w:asciiTheme="minorHAnsi" w:hAnsiTheme="minorHAnsi"/>
                <w:color w:val="000000"/>
                <w:szCs w:val="18"/>
              </w:rPr>
              <w:t>.</w:t>
            </w:r>
            <w:r w:rsidR="00AA6542" w:rsidRPr="00DD6590">
              <w:rPr>
                <w:rFonts w:asciiTheme="minorHAnsi" w:hAnsiTheme="minorHAnsi"/>
                <w:color w:val="000000"/>
                <w:szCs w:val="18"/>
              </w:rPr>
              <w:t xml:space="preserve"> </w:t>
            </w:r>
            <w:r w:rsidR="00F02087">
              <w:rPr>
                <w:rFonts w:asciiTheme="minorHAnsi" w:hAnsiTheme="minorHAnsi"/>
                <w:color w:val="000000"/>
                <w:szCs w:val="18"/>
              </w:rPr>
              <w:t>Tým</w:t>
            </w:r>
            <w:r w:rsidR="00AA6542" w:rsidRPr="00DD6590">
              <w:rPr>
                <w:rFonts w:asciiTheme="minorHAnsi" w:hAnsiTheme="minorHAnsi"/>
                <w:color w:val="000000"/>
                <w:szCs w:val="18"/>
              </w:rPr>
              <w:t xml:space="preserve"> sa zabezpečí dôsledný monitoring a v prípade potreby </w:t>
            </w:r>
            <w:r w:rsidR="00F02087" w:rsidRPr="00DD6590">
              <w:rPr>
                <w:rFonts w:asciiTheme="minorHAnsi" w:hAnsiTheme="minorHAnsi"/>
                <w:color w:val="000000"/>
                <w:szCs w:val="18"/>
              </w:rPr>
              <w:t xml:space="preserve">je možné </w:t>
            </w:r>
            <w:r w:rsidR="00365C40" w:rsidRPr="00DD6590">
              <w:rPr>
                <w:rFonts w:asciiTheme="minorHAnsi" w:hAnsiTheme="minorHAnsi"/>
                <w:color w:val="000000"/>
                <w:szCs w:val="18"/>
              </w:rPr>
              <w:t>na základe tejto databázy n</w:t>
            </w:r>
            <w:r w:rsidR="00AA6542" w:rsidRPr="00DD6590">
              <w:rPr>
                <w:rFonts w:asciiTheme="minorHAnsi" w:hAnsiTheme="minorHAnsi"/>
                <w:color w:val="000000"/>
                <w:szCs w:val="18"/>
              </w:rPr>
              <w:t>astavenie systému riadenia rizík</w:t>
            </w:r>
            <w:r w:rsidR="00B30DD4" w:rsidRPr="00DD6590">
              <w:rPr>
                <w:rFonts w:asciiTheme="minorHAnsi" w:hAnsiTheme="minorHAnsi"/>
                <w:color w:val="000000"/>
                <w:szCs w:val="18"/>
              </w:rPr>
              <w:t>.</w:t>
            </w:r>
            <w:r w:rsidR="00D92FCD" w:rsidRPr="00DD6590">
              <w:rPr>
                <w:rFonts w:asciiTheme="minorHAnsi" w:hAnsiTheme="minorHAnsi"/>
                <w:color w:val="000000"/>
                <w:szCs w:val="18"/>
              </w:rPr>
              <w:t xml:space="preserve"> Na základe tejto databázy bude možné vypracovať aj analýzu pripravenosti projektov, ktorá taktiež môže slúžiť ako nástroj eliminácie rizík implementácie PO1. </w:t>
            </w:r>
          </w:p>
          <w:p w14:paraId="01C9795E" w14:textId="39BDD1B7" w:rsidR="00FB1C50" w:rsidRPr="00DD6590" w:rsidRDefault="00FB1C50" w:rsidP="00717D06">
            <w:pPr>
              <w:spacing w:before="60" w:after="0"/>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Cs w:val="18"/>
              </w:rPr>
            </w:pPr>
            <w:r w:rsidRPr="00DD6590">
              <w:rPr>
                <w:rFonts w:asciiTheme="minorHAnsi" w:hAnsiTheme="minorHAnsi"/>
                <w:color w:val="000000"/>
                <w:szCs w:val="18"/>
              </w:rPr>
              <w:lastRenderedPageBreak/>
              <w:t xml:space="preserve">S cieľom </w:t>
            </w:r>
            <w:r w:rsidR="00F02087" w:rsidRPr="00DD6590">
              <w:rPr>
                <w:rFonts w:asciiTheme="minorHAnsi" w:hAnsiTheme="minorHAnsi"/>
                <w:color w:val="000000"/>
                <w:szCs w:val="18"/>
              </w:rPr>
              <w:t>dosiahnu</w:t>
            </w:r>
            <w:r w:rsidR="00F02087">
              <w:rPr>
                <w:rFonts w:asciiTheme="minorHAnsi" w:hAnsiTheme="minorHAnsi"/>
                <w:color w:val="000000"/>
                <w:szCs w:val="18"/>
              </w:rPr>
              <w:t>ť</w:t>
            </w:r>
            <w:r w:rsidR="00F02087" w:rsidRPr="00DD6590">
              <w:rPr>
                <w:rFonts w:asciiTheme="minorHAnsi" w:hAnsiTheme="minorHAnsi"/>
                <w:color w:val="000000"/>
                <w:szCs w:val="18"/>
              </w:rPr>
              <w:t xml:space="preserve"> nastaven</w:t>
            </w:r>
            <w:r w:rsidR="00F02087">
              <w:rPr>
                <w:rFonts w:asciiTheme="minorHAnsi" w:hAnsiTheme="minorHAnsi"/>
                <w:color w:val="000000"/>
                <w:szCs w:val="18"/>
              </w:rPr>
              <w:t>é</w:t>
            </w:r>
            <w:r w:rsidR="00F02087" w:rsidRPr="00DD6590">
              <w:rPr>
                <w:rFonts w:asciiTheme="minorHAnsi" w:hAnsiTheme="minorHAnsi"/>
                <w:color w:val="000000"/>
                <w:szCs w:val="18"/>
              </w:rPr>
              <w:t xml:space="preserve"> ukazovate</w:t>
            </w:r>
            <w:r w:rsidR="00F02087">
              <w:rPr>
                <w:rFonts w:asciiTheme="minorHAnsi" w:hAnsiTheme="minorHAnsi"/>
                <w:color w:val="000000"/>
                <w:szCs w:val="18"/>
              </w:rPr>
              <w:t>le</w:t>
            </w:r>
            <w:r w:rsidR="00F02087" w:rsidRPr="00DD6590">
              <w:rPr>
                <w:rFonts w:asciiTheme="minorHAnsi" w:hAnsiTheme="minorHAnsi"/>
                <w:color w:val="000000"/>
                <w:szCs w:val="18"/>
              </w:rPr>
              <w:t xml:space="preserve"> </w:t>
            </w:r>
            <w:r w:rsidRPr="00DD6590">
              <w:rPr>
                <w:rFonts w:asciiTheme="minorHAnsi" w:hAnsiTheme="minorHAnsi"/>
                <w:color w:val="000000"/>
                <w:szCs w:val="18"/>
              </w:rPr>
              <w:t>je potrebné zamerať sa najmä na projekty, ktoré budú napĺňať štyri rizikové ukazovatele</w:t>
            </w:r>
            <w:r w:rsidR="004A4506" w:rsidRPr="00DD6590">
              <w:rPr>
                <w:rFonts w:asciiTheme="minorHAnsi" w:hAnsiTheme="minorHAnsi"/>
                <w:color w:val="000000"/>
                <w:szCs w:val="18"/>
              </w:rPr>
              <w:t xml:space="preserve"> uvedené v kapitole </w:t>
            </w:r>
            <w:r w:rsidR="004A4506" w:rsidRPr="00DD6590">
              <w:rPr>
                <w:color w:val="000000"/>
                <w:szCs w:val="18"/>
                <w:u w:val="single"/>
              </w:rPr>
              <w:fldChar w:fldCharType="begin"/>
            </w:r>
            <w:r w:rsidR="004A4506" w:rsidRPr="00DD6590">
              <w:rPr>
                <w:rFonts w:asciiTheme="minorHAnsi" w:hAnsiTheme="minorHAnsi"/>
                <w:color w:val="000000"/>
                <w:szCs w:val="18"/>
                <w:u w:val="single"/>
              </w:rPr>
              <w:instrText xml:space="preserve"> REF _Ref6314170 \h </w:instrText>
            </w:r>
            <w:r w:rsidR="00DD6590">
              <w:rPr>
                <w:color w:val="000000"/>
                <w:szCs w:val="18"/>
                <w:u w:val="single"/>
              </w:rPr>
              <w:instrText xml:space="preserve"> \* MERGEFORMAT </w:instrText>
            </w:r>
            <w:r w:rsidR="004A4506" w:rsidRPr="00DD6590">
              <w:rPr>
                <w:color w:val="000000"/>
                <w:szCs w:val="18"/>
                <w:u w:val="single"/>
              </w:rPr>
            </w:r>
            <w:r w:rsidR="004A4506" w:rsidRPr="00DD6590">
              <w:rPr>
                <w:color w:val="000000"/>
                <w:szCs w:val="18"/>
                <w:u w:val="single"/>
              </w:rPr>
              <w:fldChar w:fldCharType="separate"/>
            </w:r>
            <w:r w:rsidR="00DC3C97" w:rsidRPr="00DD6590">
              <w:t>Hlavné zistenia analýzy Prioritnej osi 1 – Železničná infraštruktúra (TEN-T CORE) a obnova mobilných prostriedkov</w:t>
            </w:r>
            <w:r w:rsidR="004A4506" w:rsidRPr="00DD6590">
              <w:rPr>
                <w:color w:val="000000"/>
                <w:szCs w:val="18"/>
                <w:u w:val="single"/>
              </w:rPr>
              <w:fldChar w:fldCharType="end"/>
            </w:r>
            <w:r w:rsidR="00D23F08" w:rsidRPr="00DD6590">
              <w:rPr>
                <w:rFonts w:asciiTheme="minorHAnsi" w:hAnsiTheme="minorHAnsi"/>
                <w:color w:val="000000"/>
                <w:szCs w:val="18"/>
              </w:rPr>
              <w:t xml:space="preserve">. </w:t>
            </w:r>
          </w:p>
          <w:p w14:paraId="2941A97F" w14:textId="5998B369" w:rsidR="00FB1C50" w:rsidRPr="00DD6590" w:rsidRDefault="006D1F76" w:rsidP="00717D06">
            <w:pPr>
              <w:spacing w:before="60" w:after="0"/>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Cs w:val="18"/>
              </w:rPr>
            </w:pPr>
            <w:r w:rsidRPr="00DD6590">
              <w:rPr>
                <w:rFonts w:asciiTheme="minorHAnsi" w:hAnsiTheme="minorHAnsi"/>
                <w:color w:val="000000"/>
                <w:szCs w:val="18"/>
              </w:rPr>
              <w:t>N</w:t>
            </w:r>
            <w:r w:rsidR="00AA6542" w:rsidRPr="00DD6590">
              <w:rPr>
                <w:rFonts w:asciiTheme="minorHAnsi" w:hAnsiTheme="minorHAnsi"/>
                <w:color w:val="000000"/>
                <w:szCs w:val="18"/>
              </w:rPr>
              <w:t>a u</w:t>
            </w:r>
            <w:r w:rsidR="00043BD3" w:rsidRPr="00DD6590">
              <w:rPr>
                <w:rFonts w:asciiTheme="minorHAnsi" w:hAnsiTheme="minorHAnsi"/>
                <w:color w:val="000000"/>
                <w:szCs w:val="18"/>
              </w:rPr>
              <w:t>kazovatele vyhodnocované na základe štatistík (</w:t>
            </w:r>
            <w:r w:rsidR="005C2D89" w:rsidRPr="00DD6590">
              <w:rPr>
                <w:rFonts w:asciiTheme="minorHAnsi" w:hAnsiTheme="minorHAnsi"/>
                <w:szCs w:val="18"/>
              </w:rPr>
              <w:t>Celkový objem medzinárodnej prepravy na koridore TEN-T Orient/východné Stredomorie (úsek št. hr. ČR/SR - Kúty – Bratislava)</w:t>
            </w:r>
            <w:r w:rsidR="00043BD3" w:rsidRPr="00DD6590">
              <w:rPr>
                <w:szCs w:val="18"/>
              </w:rPr>
              <w:t xml:space="preserve"> a </w:t>
            </w:r>
            <w:r w:rsidR="005C2D89" w:rsidRPr="00DD6590">
              <w:rPr>
                <w:szCs w:val="18"/>
              </w:rPr>
              <w:t>Počet prepravených cestujúcich vo verejnej železničnej osobnej doprave</w:t>
            </w:r>
            <w:r w:rsidR="00043BD3" w:rsidRPr="00DD6590">
              <w:rPr>
                <w:szCs w:val="18"/>
              </w:rPr>
              <w:t>)</w:t>
            </w:r>
            <w:r w:rsidR="00AA6542" w:rsidRPr="00DD6590">
              <w:rPr>
                <w:szCs w:val="18"/>
              </w:rPr>
              <w:t xml:space="preserve"> má vplyv aj externé prostredie</w:t>
            </w:r>
            <w:r w:rsidR="00F02087">
              <w:rPr>
                <w:szCs w:val="18"/>
              </w:rPr>
              <w:t xml:space="preserve"> a</w:t>
            </w:r>
            <w:r w:rsidR="00E52F5C">
              <w:rPr>
                <w:szCs w:val="18"/>
              </w:rPr>
              <w:t xml:space="preserve"> tak </w:t>
            </w:r>
            <w:r w:rsidR="00FB1C50" w:rsidRPr="00DD6590">
              <w:rPr>
                <w:rFonts w:asciiTheme="minorHAnsi" w:hAnsiTheme="minorHAnsi"/>
                <w:color w:val="000000"/>
                <w:szCs w:val="18"/>
              </w:rPr>
              <w:t>nie je možné vyhodnotiť prínos</w:t>
            </w:r>
            <w:r w:rsidR="00C60217" w:rsidRPr="00DD6590">
              <w:rPr>
                <w:rFonts w:asciiTheme="minorHAnsi" w:hAnsiTheme="minorHAnsi"/>
                <w:color w:val="000000"/>
                <w:szCs w:val="18"/>
              </w:rPr>
              <w:t xml:space="preserve"> </w:t>
            </w:r>
            <w:r w:rsidR="00E70D8F" w:rsidRPr="00DD6590">
              <w:rPr>
                <w:rFonts w:asciiTheme="minorHAnsi" w:hAnsiTheme="minorHAnsi"/>
                <w:color w:val="000000"/>
                <w:szCs w:val="18"/>
              </w:rPr>
              <w:t xml:space="preserve">realizácie </w:t>
            </w:r>
            <w:r w:rsidR="00C60217" w:rsidRPr="00DD6590">
              <w:rPr>
                <w:rFonts w:asciiTheme="minorHAnsi" w:hAnsiTheme="minorHAnsi"/>
                <w:color w:val="000000"/>
                <w:szCs w:val="18"/>
              </w:rPr>
              <w:t>projektov k relevantn</w:t>
            </w:r>
            <w:r w:rsidR="007F0AFF" w:rsidRPr="00DD6590">
              <w:rPr>
                <w:rFonts w:asciiTheme="minorHAnsi" w:hAnsiTheme="minorHAnsi"/>
                <w:color w:val="000000"/>
                <w:szCs w:val="18"/>
              </w:rPr>
              <w:t>ým</w:t>
            </w:r>
            <w:r w:rsidR="00C60217" w:rsidRPr="00DD6590">
              <w:rPr>
                <w:rFonts w:asciiTheme="minorHAnsi" w:hAnsiTheme="minorHAnsi"/>
                <w:color w:val="000000"/>
                <w:szCs w:val="18"/>
              </w:rPr>
              <w:t xml:space="preserve"> ukazovateľ</w:t>
            </w:r>
            <w:r w:rsidR="007F0AFF" w:rsidRPr="00DD6590">
              <w:rPr>
                <w:rFonts w:asciiTheme="minorHAnsi" w:hAnsiTheme="minorHAnsi"/>
                <w:color w:val="000000"/>
                <w:szCs w:val="18"/>
              </w:rPr>
              <w:t>om</w:t>
            </w:r>
            <w:r w:rsidR="00AA6542" w:rsidRPr="00DD6590">
              <w:rPr>
                <w:rFonts w:asciiTheme="minorHAnsi" w:hAnsiTheme="minorHAnsi"/>
                <w:color w:val="000000"/>
                <w:szCs w:val="18"/>
              </w:rPr>
              <w:t xml:space="preserve"> stanoven</w:t>
            </w:r>
            <w:r w:rsidR="007F0AFF" w:rsidRPr="00DD6590">
              <w:rPr>
                <w:rFonts w:asciiTheme="minorHAnsi" w:hAnsiTheme="minorHAnsi"/>
                <w:color w:val="000000"/>
                <w:szCs w:val="18"/>
              </w:rPr>
              <w:t>ý</w:t>
            </w:r>
            <w:r w:rsidR="00AA6542" w:rsidRPr="00DD6590">
              <w:rPr>
                <w:rFonts w:asciiTheme="minorHAnsi" w:hAnsiTheme="minorHAnsi"/>
                <w:color w:val="000000"/>
                <w:szCs w:val="18"/>
              </w:rPr>
              <w:t>m pre OPII</w:t>
            </w:r>
            <w:r w:rsidR="00C60217" w:rsidRPr="00DD6590">
              <w:rPr>
                <w:rFonts w:asciiTheme="minorHAnsi" w:hAnsiTheme="minorHAnsi"/>
                <w:color w:val="000000"/>
                <w:szCs w:val="18"/>
              </w:rPr>
              <w:t xml:space="preserve">. </w:t>
            </w:r>
            <w:r w:rsidR="00E70D8F" w:rsidRPr="00DD6590">
              <w:rPr>
                <w:rFonts w:asciiTheme="minorHAnsi" w:hAnsiTheme="minorHAnsi"/>
                <w:color w:val="000000"/>
                <w:szCs w:val="18"/>
              </w:rPr>
              <w:t xml:space="preserve">Tieto ukazovatele sú napĺňané aj bez realizácie projektov financovaných z EÚ fondov. </w:t>
            </w:r>
            <w:r w:rsidR="00DC2522" w:rsidRPr="00DD6590">
              <w:rPr>
                <w:rFonts w:asciiTheme="minorHAnsi" w:hAnsiTheme="minorHAnsi"/>
                <w:color w:val="000000"/>
                <w:szCs w:val="18"/>
              </w:rPr>
              <w:t xml:space="preserve">Preto je potrebné vykonať hodnotenie </w:t>
            </w:r>
            <w:r w:rsidR="005C6341" w:rsidRPr="00DD6590">
              <w:rPr>
                <w:rFonts w:asciiTheme="minorHAnsi" w:hAnsiTheme="minorHAnsi"/>
                <w:color w:val="000000"/>
                <w:szCs w:val="18"/>
              </w:rPr>
              <w:t xml:space="preserve">dopadu projektov realizovaných v rámci OPII. </w:t>
            </w:r>
          </w:p>
          <w:p w14:paraId="57103645" w14:textId="77777777" w:rsidR="00B92DE1" w:rsidRPr="00DD6590" w:rsidRDefault="00B92DE1" w:rsidP="00717D06">
            <w:pPr>
              <w:spacing w:before="60" w:after="0"/>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V rámci kontrahovania odporúčame zamerať sa najmä na projekty, </w:t>
            </w:r>
            <w:r w:rsidRPr="00DD6590">
              <w:rPr>
                <w:szCs w:val="18"/>
              </w:rPr>
              <w:t>ktoré prispejú k naplneniu oboch nenaplnených ukazovateľov výkonnostného rámca, ako napr.</w:t>
            </w:r>
            <w:r w:rsidRPr="00DD6590">
              <w:rPr>
                <w:rFonts w:asciiTheme="minorHAnsi" w:hAnsiTheme="minorHAnsi"/>
                <w:szCs w:val="18"/>
              </w:rPr>
              <w:t>:</w:t>
            </w:r>
          </w:p>
          <w:p w14:paraId="23FECA56" w14:textId="77777777" w:rsidR="00447916" w:rsidRPr="00DD6590" w:rsidRDefault="00447916" w:rsidP="003E761D">
            <w:pPr>
              <w:pStyle w:val="ListParagraph"/>
              <w:numPr>
                <w:ilvl w:val="0"/>
                <w:numId w:val="36"/>
              </w:numPr>
              <w:spacing w:before="60" w:after="0"/>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color w:val="000000"/>
                <w:szCs w:val="18"/>
                <w:lang w:eastAsia="cs-CZ"/>
              </w:rPr>
            </w:pPr>
            <w:r w:rsidRPr="00DD6590">
              <w:rPr>
                <w:rFonts w:asciiTheme="minorHAnsi" w:eastAsia="Verdana" w:hAnsiTheme="minorHAnsi"/>
                <w:color w:val="000000"/>
                <w:szCs w:val="18"/>
                <w:lang w:eastAsia="cs-CZ"/>
              </w:rPr>
              <w:t>ŽSR, dostavba zriaďovacej stanice Žilina Teplička a nadväzujúcej železničnej infraštruktúry v uzle Žilina – realizácia</w:t>
            </w:r>
            <w:r w:rsidR="00B92DE1" w:rsidRPr="00DD6590">
              <w:rPr>
                <w:rFonts w:asciiTheme="minorHAnsi" w:eastAsia="Verdana" w:hAnsiTheme="minorHAnsi"/>
                <w:color w:val="000000"/>
                <w:szCs w:val="18"/>
                <w:lang w:eastAsia="cs-CZ"/>
              </w:rPr>
              <w:t>.</w:t>
            </w:r>
          </w:p>
        </w:tc>
      </w:tr>
      <w:tr w:rsidR="00F41009" w:rsidRPr="00DD6590" w14:paraId="1B3DBCB5" w14:textId="77777777" w:rsidTr="00195734">
        <w:trPr>
          <w:trHeight w:val="283"/>
        </w:trPr>
        <w:tc>
          <w:tcPr>
            <w:cnfStyle w:val="001000000000" w:firstRow="0" w:lastRow="0" w:firstColumn="1" w:lastColumn="0" w:oddVBand="0" w:evenVBand="0" w:oddHBand="0" w:evenHBand="0" w:firstRowFirstColumn="0" w:firstRowLastColumn="0" w:lastRowFirstColumn="0" w:lastRowLastColumn="0"/>
            <w:tcW w:w="788" w:type="pct"/>
            <w:vAlign w:val="center"/>
          </w:tcPr>
          <w:p w14:paraId="57F70DB3" w14:textId="77777777" w:rsidR="00F41009" w:rsidRPr="00DD6590" w:rsidRDefault="00F41009" w:rsidP="00717D06">
            <w:pPr>
              <w:spacing w:before="60" w:after="0"/>
              <w:rPr>
                <w:rFonts w:asciiTheme="minorHAnsi" w:hAnsiTheme="minorHAnsi"/>
                <w:b w:val="0"/>
                <w:szCs w:val="18"/>
              </w:rPr>
            </w:pPr>
            <w:r w:rsidRPr="00DD6590">
              <w:rPr>
                <w:rFonts w:asciiTheme="minorHAnsi" w:hAnsiTheme="minorHAnsi"/>
                <w:b w:val="0"/>
                <w:szCs w:val="18"/>
              </w:rPr>
              <w:lastRenderedPageBreak/>
              <w:t>PO2: Cestná infraštruktúra (TEN-T)</w:t>
            </w:r>
          </w:p>
        </w:tc>
        <w:tc>
          <w:tcPr>
            <w:tcW w:w="644" w:type="pct"/>
            <w:gridSpan w:val="3"/>
            <w:vAlign w:val="center"/>
          </w:tcPr>
          <w:p w14:paraId="3BD569C4" w14:textId="77777777" w:rsidR="00F41009" w:rsidRPr="00DD6590" w:rsidRDefault="00DF3B35" w:rsidP="00717D06">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Nie</w:t>
            </w:r>
          </w:p>
        </w:tc>
        <w:tc>
          <w:tcPr>
            <w:tcW w:w="3568" w:type="pct"/>
            <w:vAlign w:val="center"/>
          </w:tcPr>
          <w:p w14:paraId="05474C10" w14:textId="77777777" w:rsidR="00BE3C9C" w:rsidRPr="00DD6590" w:rsidRDefault="0037019A" w:rsidP="00E52F5C">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Tempo </w:t>
            </w:r>
            <w:r w:rsidR="00E52F5C">
              <w:rPr>
                <w:rFonts w:asciiTheme="minorHAnsi" w:hAnsiTheme="minorHAnsi"/>
                <w:szCs w:val="18"/>
              </w:rPr>
              <w:t>kontrahovania</w:t>
            </w:r>
            <w:r w:rsidR="00E52F5C" w:rsidRPr="00DD6590">
              <w:rPr>
                <w:rFonts w:asciiTheme="minorHAnsi" w:hAnsiTheme="minorHAnsi"/>
                <w:szCs w:val="18"/>
              </w:rPr>
              <w:t xml:space="preserve"> </w:t>
            </w:r>
            <w:r w:rsidRPr="00DD6590">
              <w:rPr>
                <w:rFonts w:asciiTheme="minorHAnsi" w:hAnsiTheme="minorHAnsi"/>
                <w:szCs w:val="18"/>
              </w:rPr>
              <w:t xml:space="preserve">a čerpania je dostatočné. </w:t>
            </w:r>
            <w:r w:rsidR="0035442D" w:rsidRPr="00DD6590">
              <w:rPr>
                <w:rFonts w:asciiTheme="minorHAnsi" w:hAnsiTheme="minorHAnsi"/>
                <w:szCs w:val="18"/>
              </w:rPr>
              <w:t xml:space="preserve">Projekty v rámci prioritnej osi sú zakontrahované na </w:t>
            </w:r>
            <w:r w:rsidR="0017585F" w:rsidRPr="00DD6590">
              <w:rPr>
                <w:rFonts w:asciiTheme="minorHAnsi" w:hAnsiTheme="minorHAnsi"/>
                <w:szCs w:val="18"/>
              </w:rPr>
              <w:t>115,10</w:t>
            </w:r>
            <w:r w:rsidR="00F02087">
              <w:rPr>
                <w:rFonts w:asciiTheme="minorHAnsi" w:hAnsiTheme="minorHAnsi"/>
                <w:szCs w:val="18"/>
              </w:rPr>
              <w:t xml:space="preserve"> </w:t>
            </w:r>
            <w:r w:rsidR="0035442D" w:rsidRPr="00DD6590">
              <w:rPr>
                <w:rFonts w:asciiTheme="minorHAnsi" w:hAnsiTheme="minorHAnsi"/>
                <w:szCs w:val="18"/>
              </w:rPr>
              <w:t>%. Preto je potrebné len dohliadnuť na dodržanie termínov v rámci projektov</w:t>
            </w:r>
            <w:r w:rsidR="00BE3C9C" w:rsidRPr="00DD6590">
              <w:rPr>
                <w:rFonts w:asciiTheme="minorHAnsi" w:hAnsiTheme="minorHAnsi"/>
                <w:szCs w:val="18"/>
              </w:rPr>
              <w:t xml:space="preserve"> a naplnenie </w:t>
            </w:r>
            <w:r w:rsidR="005C2D89" w:rsidRPr="00DD6590">
              <w:rPr>
                <w:rFonts w:asciiTheme="minorHAnsi" w:hAnsiTheme="minorHAnsi"/>
                <w:szCs w:val="18"/>
              </w:rPr>
              <w:t xml:space="preserve">cieľových hodnôt </w:t>
            </w:r>
            <w:r w:rsidR="00BE3C9C" w:rsidRPr="00DD6590">
              <w:rPr>
                <w:rFonts w:asciiTheme="minorHAnsi" w:hAnsiTheme="minorHAnsi"/>
                <w:szCs w:val="18"/>
              </w:rPr>
              <w:t>ukazovateľov</w:t>
            </w:r>
            <w:r w:rsidR="0035442D" w:rsidRPr="00DD6590">
              <w:rPr>
                <w:rFonts w:asciiTheme="minorHAnsi" w:hAnsiTheme="minorHAnsi"/>
                <w:szCs w:val="18"/>
              </w:rPr>
              <w:t xml:space="preserve"> </w:t>
            </w:r>
            <w:r w:rsidR="00B30DD4" w:rsidRPr="00DD6590">
              <w:rPr>
                <w:rFonts w:asciiTheme="minorHAnsi" w:hAnsiTheme="minorHAnsi"/>
                <w:szCs w:val="18"/>
              </w:rPr>
              <w:t>a</w:t>
            </w:r>
            <w:r w:rsidR="00A9425C" w:rsidRPr="00DD6590">
              <w:rPr>
                <w:rFonts w:asciiTheme="minorHAnsi" w:hAnsiTheme="minorHAnsi"/>
                <w:szCs w:val="18"/>
              </w:rPr>
              <w:t xml:space="preserve"> taktiež</w:t>
            </w:r>
            <w:r w:rsidR="001945F9" w:rsidRPr="00DD6590">
              <w:rPr>
                <w:rFonts w:asciiTheme="minorHAnsi" w:hAnsiTheme="minorHAnsi"/>
                <w:szCs w:val="18"/>
              </w:rPr>
              <w:t> zakontrahovať projekt, ktorý naplní</w:t>
            </w:r>
            <w:r w:rsidR="00A02087" w:rsidRPr="00DD6590">
              <w:rPr>
                <w:rFonts w:asciiTheme="minorHAnsi" w:hAnsiTheme="minorHAnsi"/>
                <w:szCs w:val="18"/>
              </w:rPr>
              <w:t xml:space="preserve"> výstupový ukazovateľ</w:t>
            </w:r>
            <w:r w:rsidR="001945F9" w:rsidRPr="00DD6590">
              <w:rPr>
                <w:rFonts w:asciiTheme="minorHAnsi" w:hAnsiTheme="minorHAnsi"/>
                <w:szCs w:val="18"/>
              </w:rPr>
              <w:t xml:space="preserve"> výkonnostn</w:t>
            </w:r>
            <w:r w:rsidR="00A02087" w:rsidRPr="00DD6590">
              <w:rPr>
                <w:rFonts w:asciiTheme="minorHAnsi" w:hAnsiTheme="minorHAnsi"/>
                <w:szCs w:val="18"/>
              </w:rPr>
              <w:t>ého</w:t>
            </w:r>
            <w:r w:rsidR="001945F9" w:rsidRPr="00DD6590">
              <w:rPr>
                <w:rFonts w:asciiTheme="minorHAnsi" w:hAnsiTheme="minorHAnsi"/>
                <w:szCs w:val="18"/>
              </w:rPr>
              <w:t xml:space="preserve"> rám</w:t>
            </w:r>
            <w:r w:rsidR="00A02087" w:rsidRPr="00DD6590">
              <w:rPr>
                <w:rFonts w:asciiTheme="minorHAnsi" w:hAnsiTheme="minorHAnsi"/>
                <w:szCs w:val="18"/>
              </w:rPr>
              <w:t>ca</w:t>
            </w:r>
            <w:r w:rsidR="001945F9" w:rsidRPr="00DD6590">
              <w:rPr>
                <w:rFonts w:asciiTheme="minorHAnsi" w:hAnsiTheme="minorHAnsi"/>
                <w:szCs w:val="18"/>
              </w:rPr>
              <w:t xml:space="preserve"> na 100</w:t>
            </w:r>
            <w:r w:rsidR="00F02087">
              <w:rPr>
                <w:rFonts w:asciiTheme="minorHAnsi" w:hAnsiTheme="minorHAnsi"/>
                <w:szCs w:val="18"/>
              </w:rPr>
              <w:t xml:space="preserve"> </w:t>
            </w:r>
            <w:r w:rsidR="001945F9" w:rsidRPr="00DD6590">
              <w:rPr>
                <w:rFonts w:asciiTheme="minorHAnsi" w:hAnsiTheme="minorHAnsi"/>
                <w:szCs w:val="18"/>
              </w:rPr>
              <w:t>%</w:t>
            </w:r>
            <w:r w:rsidR="00F02087">
              <w:rPr>
                <w:rFonts w:asciiTheme="minorHAnsi" w:hAnsiTheme="minorHAnsi"/>
                <w:szCs w:val="18"/>
              </w:rPr>
              <w:t xml:space="preserve">, </w:t>
            </w:r>
            <w:r w:rsidR="001945F9" w:rsidRPr="00DD6590">
              <w:rPr>
                <w:rFonts w:asciiTheme="minorHAnsi" w:hAnsiTheme="minorHAnsi"/>
                <w:szCs w:val="18"/>
              </w:rPr>
              <w:t xml:space="preserve"> </w:t>
            </w:r>
            <w:r w:rsidR="00A02087" w:rsidRPr="00DD6590">
              <w:rPr>
                <w:rFonts w:asciiTheme="minorHAnsi" w:hAnsiTheme="minorHAnsi"/>
                <w:szCs w:val="18"/>
              </w:rPr>
              <w:t>a</w:t>
            </w:r>
            <w:r w:rsidR="005C6341" w:rsidRPr="00DD6590">
              <w:rPr>
                <w:rFonts w:asciiTheme="minorHAnsi" w:hAnsiTheme="minorHAnsi"/>
                <w:szCs w:val="18"/>
              </w:rPr>
              <w:t> </w:t>
            </w:r>
            <w:r w:rsidR="00A02087" w:rsidRPr="00DD6590">
              <w:rPr>
                <w:rFonts w:asciiTheme="minorHAnsi" w:hAnsiTheme="minorHAnsi"/>
                <w:szCs w:val="18"/>
              </w:rPr>
              <w:t>to</w:t>
            </w:r>
            <w:r w:rsidR="005C6341" w:rsidRPr="00DD6590">
              <w:rPr>
                <w:rFonts w:asciiTheme="minorHAnsi" w:hAnsiTheme="minorHAnsi"/>
                <w:szCs w:val="18"/>
              </w:rPr>
              <w:t xml:space="preserve"> projekt</w:t>
            </w:r>
            <w:r w:rsidR="001945F9" w:rsidRPr="00DD6590">
              <w:rPr>
                <w:rFonts w:asciiTheme="minorHAnsi" w:hAnsiTheme="minorHAnsi"/>
                <w:szCs w:val="18"/>
              </w:rPr>
              <w:t xml:space="preserve"> </w:t>
            </w:r>
            <w:r w:rsidR="00A02087" w:rsidRPr="00DD6590">
              <w:rPr>
                <w:rFonts w:asciiTheme="minorHAnsi" w:hAnsiTheme="minorHAnsi"/>
                <w:szCs w:val="18"/>
              </w:rPr>
              <w:t>„</w:t>
            </w:r>
            <w:r w:rsidR="001945F9" w:rsidRPr="00DD6590">
              <w:rPr>
                <w:rFonts w:asciiTheme="minorHAnsi" w:hAnsiTheme="minorHAnsi"/>
                <w:szCs w:val="18"/>
              </w:rPr>
              <w:t>D1 Hubová – Ivachnová (2. fáza)</w:t>
            </w:r>
            <w:r w:rsidR="00A02087" w:rsidRPr="00DD6590">
              <w:rPr>
                <w:rFonts w:asciiTheme="minorHAnsi" w:hAnsiTheme="minorHAnsi"/>
                <w:szCs w:val="18"/>
              </w:rPr>
              <w:t>“</w:t>
            </w:r>
            <w:r w:rsidR="001945F9" w:rsidRPr="00DD6590">
              <w:rPr>
                <w:rFonts w:asciiTheme="minorHAnsi" w:hAnsiTheme="minorHAnsi"/>
                <w:szCs w:val="18"/>
              </w:rPr>
              <w:t xml:space="preserve">. </w:t>
            </w:r>
          </w:p>
        </w:tc>
      </w:tr>
      <w:tr w:rsidR="00F41009" w:rsidRPr="00DD6590" w14:paraId="0B823E6A" w14:textId="77777777" w:rsidTr="0019573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88" w:type="pct"/>
            <w:vAlign w:val="center"/>
          </w:tcPr>
          <w:p w14:paraId="2A7D3CC1" w14:textId="77777777" w:rsidR="00F41009" w:rsidRPr="00DD6590" w:rsidRDefault="00F41009" w:rsidP="00717D06">
            <w:pPr>
              <w:spacing w:before="60" w:after="0"/>
              <w:rPr>
                <w:rFonts w:asciiTheme="minorHAnsi" w:hAnsiTheme="minorHAnsi"/>
                <w:b w:val="0"/>
                <w:szCs w:val="18"/>
              </w:rPr>
            </w:pPr>
            <w:r w:rsidRPr="00DD6590">
              <w:rPr>
                <w:rFonts w:asciiTheme="minorHAnsi" w:hAnsiTheme="minorHAnsi"/>
                <w:b w:val="0"/>
                <w:szCs w:val="18"/>
              </w:rPr>
              <w:t>PO3: Verejná osobná doprava</w:t>
            </w:r>
          </w:p>
        </w:tc>
        <w:tc>
          <w:tcPr>
            <w:tcW w:w="644" w:type="pct"/>
            <w:gridSpan w:val="3"/>
            <w:vAlign w:val="center"/>
          </w:tcPr>
          <w:p w14:paraId="21907927" w14:textId="77777777" w:rsidR="00F41009" w:rsidRPr="00DD6590" w:rsidRDefault="001142BC" w:rsidP="00717D06">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szCs w:val="18"/>
              </w:rPr>
            </w:pPr>
            <w:r w:rsidRPr="00DD6590">
              <w:rPr>
                <w:rFonts w:asciiTheme="minorHAnsi" w:hAnsiTheme="minorHAnsi"/>
                <w:b/>
                <w:bCs/>
                <w:szCs w:val="18"/>
              </w:rPr>
              <w:t>Áno</w:t>
            </w:r>
          </w:p>
        </w:tc>
        <w:tc>
          <w:tcPr>
            <w:tcW w:w="3568" w:type="pct"/>
            <w:vAlign w:val="center"/>
          </w:tcPr>
          <w:p w14:paraId="3E849A1F" w14:textId="77777777" w:rsidR="00F41009" w:rsidRPr="00DD6590" w:rsidRDefault="00896925" w:rsidP="00717D06">
            <w:pPr>
              <w:spacing w:before="60" w:after="0"/>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V rámci prioritnej osi 3 je dostatočný počet plánovaných projektov, čím je predpoklad naplnenia finančného ukazovateľa výkonnostného rámca</w:t>
            </w:r>
            <w:r w:rsidR="00F02087">
              <w:rPr>
                <w:rFonts w:asciiTheme="minorHAnsi" w:hAnsiTheme="minorHAnsi"/>
                <w:szCs w:val="18"/>
              </w:rPr>
              <w:t>.</w:t>
            </w:r>
            <w:r w:rsidRPr="00DD6590">
              <w:rPr>
                <w:rFonts w:asciiTheme="minorHAnsi" w:hAnsiTheme="minorHAnsi"/>
                <w:szCs w:val="18"/>
              </w:rPr>
              <w:t xml:space="preserve"> </w:t>
            </w:r>
            <w:r w:rsidR="00F02087">
              <w:rPr>
                <w:rFonts w:asciiTheme="minorHAnsi" w:hAnsiTheme="minorHAnsi"/>
                <w:szCs w:val="18"/>
              </w:rPr>
              <w:t>P</w:t>
            </w:r>
            <w:r w:rsidRPr="00DD6590">
              <w:rPr>
                <w:rFonts w:asciiTheme="minorHAnsi" w:hAnsiTheme="minorHAnsi"/>
                <w:szCs w:val="18"/>
              </w:rPr>
              <w:t xml:space="preserve">ri kontrahovaní projektov je </w:t>
            </w:r>
            <w:r w:rsidR="00F02087">
              <w:rPr>
                <w:rFonts w:asciiTheme="minorHAnsi" w:hAnsiTheme="minorHAnsi"/>
                <w:szCs w:val="18"/>
              </w:rPr>
              <w:t xml:space="preserve">však </w:t>
            </w:r>
            <w:r w:rsidRPr="00DD6590">
              <w:rPr>
                <w:rFonts w:asciiTheme="minorHAnsi" w:hAnsiTheme="minorHAnsi"/>
                <w:szCs w:val="18"/>
              </w:rPr>
              <w:t>potrebné zamerať sa najmä na projekty, ktoré prispejú aj k naplneniu výstupového ukazovateľa výkonnostného rámca – Celková dĺžka nových alebo zmodernizovaných tratí pre električky alebo metro.</w:t>
            </w:r>
          </w:p>
          <w:p w14:paraId="00195FA6" w14:textId="77777777" w:rsidR="00896925" w:rsidRPr="00DD6590" w:rsidRDefault="00E52F5C" w:rsidP="00717D06">
            <w:pPr>
              <w:spacing w:before="60" w:after="0"/>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t xml:space="preserve">Naplnenie cieľovej hodnoty si vyžaduje, aby boli realizované tieto plánované </w:t>
            </w:r>
            <w:r w:rsidRPr="00DD6590">
              <w:rPr>
                <w:rFonts w:asciiTheme="minorHAnsi" w:hAnsiTheme="minorHAnsi"/>
                <w:szCs w:val="18"/>
              </w:rPr>
              <w:t>projekty</w:t>
            </w:r>
            <w:r>
              <w:rPr>
                <w:rFonts w:asciiTheme="minorHAnsi" w:hAnsiTheme="minorHAnsi"/>
                <w:szCs w:val="18"/>
              </w:rPr>
              <w:t>:</w:t>
            </w:r>
          </w:p>
          <w:p w14:paraId="6877023F" w14:textId="77777777" w:rsidR="00896925" w:rsidRPr="00DD6590" w:rsidRDefault="00896925" w:rsidP="003E761D">
            <w:pPr>
              <w:pStyle w:val="ListParagraph"/>
              <w:numPr>
                <w:ilvl w:val="0"/>
                <w:numId w:val="36"/>
              </w:numPr>
              <w:spacing w:before="60" w:after="0"/>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szCs w:val="18"/>
                <w:lang w:eastAsia="cs-CZ"/>
              </w:rPr>
            </w:pPr>
            <w:r w:rsidRPr="00DD6590">
              <w:rPr>
                <w:rFonts w:asciiTheme="minorHAnsi" w:eastAsia="Verdana" w:hAnsiTheme="minorHAnsi"/>
                <w:szCs w:val="18"/>
                <w:lang w:eastAsia="cs-CZ"/>
              </w:rPr>
              <w:t>Modernizácia električkových tratí – Dúbravsko-Karloveská radiála</w:t>
            </w:r>
            <w:r w:rsidR="00487999">
              <w:rPr>
                <w:rFonts w:asciiTheme="minorHAnsi" w:eastAsia="Verdana" w:hAnsiTheme="minorHAnsi"/>
                <w:szCs w:val="18"/>
                <w:lang w:eastAsia="cs-CZ"/>
              </w:rPr>
              <w:t>,</w:t>
            </w:r>
          </w:p>
          <w:p w14:paraId="389E2BC4" w14:textId="77777777" w:rsidR="00252514" w:rsidRPr="00DD6590" w:rsidRDefault="00CE1517" w:rsidP="003E761D">
            <w:pPr>
              <w:pStyle w:val="ListParagraph"/>
              <w:numPr>
                <w:ilvl w:val="0"/>
                <w:numId w:val="36"/>
              </w:numPr>
              <w:spacing w:before="60" w:after="0"/>
              <w:cnfStyle w:val="000000100000" w:firstRow="0" w:lastRow="0" w:firstColumn="0" w:lastColumn="0" w:oddVBand="0" w:evenVBand="0" w:oddHBand="1" w:evenHBand="0" w:firstRowFirstColumn="0" w:firstRowLastColumn="0" w:lastRowFirstColumn="0" w:lastRowLastColumn="0"/>
              <w:rPr>
                <w:rFonts w:eastAsia="Verdana"/>
                <w:szCs w:val="18"/>
                <w:lang w:eastAsia="cs-CZ"/>
              </w:rPr>
            </w:pPr>
            <w:r w:rsidRPr="00DD6590">
              <w:rPr>
                <w:rFonts w:asciiTheme="minorHAnsi" w:eastAsia="Verdana" w:hAnsiTheme="minorHAnsi"/>
                <w:szCs w:val="18"/>
                <w:lang w:eastAsia="cs-CZ"/>
              </w:rPr>
              <w:t>Koľajové prepojenie mestskej časti Petržalka s centrom mesta, NS MHD 1. etapa Hlavná stanica – Janíkov dvor, prevádzkový úsek Bosákova ulica – Janíkov dvor, 2. časť Bosákova – Janíkov dvor</w:t>
            </w:r>
            <w:r w:rsidR="00252514" w:rsidRPr="00DD6590">
              <w:rPr>
                <w:rFonts w:asciiTheme="minorHAnsi" w:eastAsia="Verdana" w:hAnsiTheme="minorHAnsi"/>
                <w:szCs w:val="18"/>
                <w:lang w:eastAsia="cs-CZ"/>
              </w:rPr>
              <w:t>.</w:t>
            </w:r>
          </w:p>
          <w:p w14:paraId="2701CF81" w14:textId="5227BB41" w:rsidR="00B91C47" w:rsidRPr="00DD6590" w:rsidRDefault="005676F0" w:rsidP="00E52F5C">
            <w:pPr>
              <w:spacing w:before="60" w:after="0"/>
              <w:cnfStyle w:val="000000100000" w:firstRow="0" w:lastRow="0" w:firstColumn="0" w:lastColumn="0" w:oddVBand="0" w:evenVBand="0" w:oddHBand="1" w:evenHBand="0" w:firstRowFirstColumn="0" w:firstRowLastColumn="0" w:lastRowFirstColumn="0" w:lastRowLastColumn="0"/>
            </w:pPr>
            <w:r w:rsidRPr="00DD6590">
              <w:rPr>
                <w:szCs w:val="18"/>
              </w:rPr>
              <w:t xml:space="preserve">Odporúčame vypracovať </w:t>
            </w:r>
            <w:r w:rsidR="00295586" w:rsidRPr="00DD6590">
              <w:rPr>
                <w:szCs w:val="18"/>
              </w:rPr>
              <w:t>dopadové hodnotenie</w:t>
            </w:r>
            <w:r w:rsidRPr="00DD6590">
              <w:rPr>
                <w:szCs w:val="18"/>
              </w:rPr>
              <w:t xml:space="preserve"> realizovaných </w:t>
            </w:r>
            <w:r w:rsidR="00295586" w:rsidRPr="00DD6590">
              <w:rPr>
                <w:szCs w:val="18"/>
              </w:rPr>
              <w:t xml:space="preserve">projektov </w:t>
            </w:r>
            <w:r w:rsidRPr="00DD6590">
              <w:rPr>
                <w:szCs w:val="18"/>
              </w:rPr>
              <w:t>z OPII na ukazovate</w:t>
            </w:r>
            <w:r w:rsidR="00DC2522" w:rsidRPr="00DD6590">
              <w:rPr>
                <w:szCs w:val="18"/>
              </w:rPr>
              <w:t>le PO3 a najmä na ukazovateľ</w:t>
            </w:r>
            <w:r w:rsidRPr="00DD6590">
              <w:rPr>
                <w:szCs w:val="18"/>
              </w:rPr>
              <w:t xml:space="preserve"> </w:t>
            </w:r>
            <w:r w:rsidRPr="00DD6590">
              <w:t xml:space="preserve">Počet cestujúcich prepravených dráhovou MHD v mestách Bratislava, Košice, Žilina, Prešov a Banská </w:t>
            </w:r>
            <w:r w:rsidR="00E52F5C" w:rsidRPr="00DD6590">
              <w:t>Bystrica“.</w:t>
            </w:r>
          </w:p>
        </w:tc>
      </w:tr>
      <w:tr w:rsidR="00F41009" w:rsidRPr="00DD6590" w14:paraId="4B249585" w14:textId="77777777" w:rsidTr="00195734">
        <w:trPr>
          <w:trHeight w:val="283"/>
        </w:trPr>
        <w:tc>
          <w:tcPr>
            <w:cnfStyle w:val="001000000000" w:firstRow="0" w:lastRow="0" w:firstColumn="1" w:lastColumn="0" w:oddVBand="0" w:evenVBand="0" w:oddHBand="0" w:evenHBand="0" w:firstRowFirstColumn="0" w:firstRowLastColumn="0" w:lastRowFirstColumn="0" w:lastRowLastColumn="0"/>
            <w:tcW w:w="788" w:type="pct"/>
            <w:vAlign w:val="center"/>
          </w:tcPr>
          <w:p w14:paraId="1EA124FA" w14:textId="77777777" w:rsidR="00F41009" w:rsidRPr="00DD6590" w:rsidRDefault="00F41009" w:rsidP="00717D06">
            <w:pPr>
              <w:spacing w:before="60" w:after="0"/>
              <w:rPr>
                <w:rFonts w:asciiTheme="minorHAnsi" w:hAnsiTheme="minorHAnsi"/>
                <w:b w:val="0"/>
                <w:szCs w:val="18"/>
              </w:rPr>
            </w:pPr>
            <w:r w:rsidRPr="00DD6590">
              <w:rPr>
                <w:rFonts w:asciiTheme="minorHAnsi" w:hAnsiTheme="minorHAnsi"/>
                <w:b w:val="0"/>
                <w:szCs w:val="18"/>
              </w:rPr>
              <w:t>PO4: Infraštruktúra vodnej dopravy (TEN-T CORE)</w:t>
            </w:r>
          </w:p>
        </w:tc>
        <w:tc>
          <w:tcPr>
            <w:tcW w:w="644" w:type="pct"/>
            <w:gridSpan w:val="3"/>
            <w:vAlign w:val="center"/>
          </w:tcPr>
          <w:p w14:paraId="271454B4" w14:textId="77777777" w:rsidR="00F41009" w:rsidRPr="00DD6590" w:rsidRDefault="001142BC" w:rsidP="00717D06">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Áno</w:t>
            </w:r>
          </w:p>
          <w:p w14:paraId="5202349D" w14:textId="77777777" w:rsidR="0099461B" w:rsidRPr="00DD6590" w:rsidRDefault="0099461B" w:rsidP="00717D06">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b/>
                <w:szCs w:val="18"/>
              </w:rPr>
            </w:pPr>
          </w:p>
        </w:tc>
        <w:tc>
          <w:tcPr>
            <w:tcW w:w="3568" w:type="pct"/>
            <w:vAlign w:val="center"/>
          </w:tcPr>
          <w:p w14:paraId="39A93FDB" w14:textId="77777777" w:rsidR="00612222" w:rsidRPr="00DD6590" w:rsidRDefault="00612222" w:rsidP="00612222">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V rámci prioritnej osi 4 bolo deklarovaných </w:t>
            </w:r>
            <w:r w:rsidR="005C6341" w:rsidRPr="00DD6590">
              <w:rPr>
                <w:rFonts w:asciiTheme="minorHAnsi" w:hAnsiTheme="minorHAnsi"/>
                <w:szCs w:val="18"/>
              </w:rPr>
              <w:t xml:space="preserve">trinásť </w:t>
            </w:r>
            <w:r w:rsidRPr="00DD6590">
              <w:rPr>
                <w:rFonts w:asciiTheme="minorHAnsi" w:hAnsiTheme="minorHAnsi"/>
                <w:szCs w:val="18"/>
              </w:rPr>
              <w:t xml:space="preserve">plánovaných projektov, ale len šesť </w:t>
            </w:r>
            <w:r w:rsidR="00487999">
              <w:rPr>
                <w:rFonts w:asciiTheme="minorHAnsi" w:hAnsiTheme="minorHAnsi"/>
                <w:szCs w:val="18"/>
              </w:rPr>
              <w:t>z nich</w:t>
            </w:r>
            <w:r w:rsidRPr="00DD6590">
              <w:rPr>
                <w:rFonts w:asciiTheme="minorHAnsi" w:hAnsiTheme="minorHAnsi"/>
                <w:szCs w:val="18"/>
              </w:rPr>
              <w:t xml:space="preserve"> </w:t>
            </w:r>
            <w:r w:rsidR="00DC2522" w:rsidRPr="00DD6590">
              <w:rPr>
                <w:rFonts w:asciiTheme="minorHAnsi" w:hAnsiTheme="minorHAnsi"/>
                <w:szCs w:val="18"/>
              </w:rPr>
              <w:t>má</w:t>
            </w:r>
            <w:r w:rsidRPr="00DD6590">
              <w:rPr>
                <w:rFonts w:asciiTheme="minorHAnsi" w:hAnsiTheme="minorHAnsi"/>
                <w:szCs w:val="18"/>
              </w:rPr>
              <w:t xml:space="preserve"> určený </w:t>
            </w:r>
            <w:r w:rsidR="00E52F5C" w:rsidRPr="00DD6590">
              <w:rPr>
                <w:rFonts w:asciiTheme="minorHAnsi" w:hAnsiTheme="minorHAnsi"/>
                <w:szCs w:val="18"/>
              </w:rPr>
              <w:t>približn</w:t>
            </w:r>
            <w:r w:rsidR="00E52F5C">
              <w:rPr>
                <w:rFonts w:asciiTheme="minorHAnsi" w:hAnsiTheme="minorHAnsi"/>
                <w:szCs w:val="18"/>
              </w:rPr>
              <w:t>é</w:t>
            </w:r>
            <w:r w:rsidR="00E52F5C" w:rsidRPr="00DD6590">
              <w:rPr>
                <w:rFonts w:asciiTheme="minorHAnsi" w:hAnsiTheme="minorHAnsi"/>
                <w:szCs w:val="18"/>
              </w:rPr>
              <w:t xml:space="preserve"> </w:t>
            </w:r>
            <w:r w:rsidR="00E52F5C">
              <w:rPr>
                <w:rFonts w:asciiTheme="minorHAnsi" w:hAnsiTheme="minorHAnsi"/>
                <w:szCs w:val="18"/>
              </w:rPr>
              <w:t>obdobie</w:t>
            </w:r>
            <w:r w:rsidR="00E52F5C" w:rsidRPr="00DD6590">
              <w:rPr>
                <w:rFonts w:asciiTheme="minorHAnsi" w:hAnsiTheme="minorHAnsi"/>
                <w:szCs w:val="18"/>
              </w:rPr>
              <w:t xml:space="preserve"> realizácie</w:t>
            </w:r>
            <w:r w:rsidRPr="00DD6590">
              <w:rPr>
                <w:rFonts w:asciiTheme="minorHAnsi" w:hAnsiTheme="minorHAnsi"/>
                <w:szCs w:val="18"/>
              </w:rPr>
              <w:t xml:space="preserve">. </w:t>
            </w:r>
            <w:r w:rsidR="005C6341" w:rsidRPr="00DD6590">
              <w:rPr>
                <w:rFonts w:asciiTheme="minorHAnsi" w:hAnsiTheme="minorHAnsi"/>
                <w:szCs w:val="18"/>
              </w:rPr>
              <w:t>P</w:t>
            </w:r>
            <w:r w:rsidRPr="00DD6590">
              <w:rPr>
                <w:rFonts w:asciiTheme="minorHAnsi" w:hAnsiTheme="minorHAnsi"/>
                <w:szCs w:val="18"/>
              </w:rPr>
              <w:t>rojekty</w:t>
            </w:r>
            <w:r w:rsidR="005C6341" w:rsidRPr="00DD6590">
              <w:rPr>
                <w:rFonts w:asciiTheme="minorHAnsi" w:hAnsiTheme="minorHAnsi"/>
                <w:szCs w:val="18"/>
              </w:rPr>
              <w:t>, ktoré majú približný termín realizácie</w:t>
            </w:r>
            <w:r w:rsidR="00487999">
              <w:rPr>
                <w:rFonts w:asciiTheme="minorHAnsi" w:hAnsiTheme="minorHAnsi"/>
                <w:szCs w:val="18"/>
              </w:rPr>
              <w:t>,</w:t>
            </w:r>
            <w:r w:rsidRPr="00DD6590">
              <w:rPr>
                <w:rFonts w:asciiTheme="minorHAnsi" w:hAnsiTheme="minorHAnsi"/>
                <w:szCs w:val="18"/>
              </w:rPr>
              <w:t xml:space="preserve"> naplnia úroveň kontrahovania </w:t>
            </w:r>
            <w:r w:rsidR="005C6341" w:rsidRPr="00DD6590">
              <w:rPr>
                <w:rFonts w:asciiTheme="minorHAnsi" w:hAnsiTheme="minorHAnsi"/>
                <w:szCs w:val="18"/>
              </w:rPr>
              <w:t xml:space="preserve">len </w:t>
            </w:r>
            <w:r w:rsidRPr="00DD6590">
              <w:rPr>
                <w:rFonts w:asciiTheme="minorHAnsi" w:hAnsiTheme="minorHAnsi"/>
                <w:szCs w:val="18"/>
              </w:rPr>
              <w:t xml:space="preserve">na </w:t>
            </w:r>
            <w:r w:rsidR="00106067" w:rsidRPr="00DD6590">
              <w:rPr>
                <w:rFonts w:asciiTheme="minorHAnsi" w:hAnsiTheme="minorHAnsi"/>
                <w:szCs w:val="18"/>
              </w:rPr>
              <w:t>76</w:t>
            </w:r>
            <w:r w:rsidRPr="00DD6590">
              <w:rPr>
                <w:rFonts w:asciiTheme="minorHAnsi" w:hAnsiTheme="minorHAnsi"/>
                <w:szCs w:val="18"/>
              </w:rPr>
              <w:t>,</w:t>
            </w:r>
            <w:r w:rsidR="00106067" w:rsidRPr="00DD6590">
              <w:rPr>
                <w:rFonts w:asciiTheme="minorHAnsi" w:hAnsiTheme="minorHAnsi"/>
                <w:szCs w:val="18"/>
              </w:rPr>
              <w:t>29</w:t>
            </w:r>
            <w:r w:rsidR="00487999">
              <w:rPr>
                <w:rFonts w:asciiTheme="minorHAnsi" w:hAnsiTheme="minorHAnsi"/>
                <w:szCs w:val="18"/>
              </w:rPr>
              <w:t xml:space="preserve"> </w:t>
            </w:r>
            <w:r w:rsidRPr="00DD6590">
              <w:rPr>
                <w:rFonts w:asciiTheme="minorHAnsi" w:hAnsiTheme="minorHAnsi"/>
                <w:szCs w:val="18"/>
              </w:rPr>
              <w:t xml:space="preserve">%. Celkovo je hodnota plánovaných projektov </w:t>
            </w:r>
            <w:r w:rsidR="00DF41FD" w:rsidRPr="00DD6590">
              <w:rPr>
                <w:rFonts w:asciiTheme="minorHAnsi" w:hAnsiTheme="minorHAnsi"/>
                <w:szCs w:val="18"/>
              </w:rPr>
              <w:t xml:space="preserve">149 </w:t>
            </w:r>
            <w:r w:rsidRPr="00DD6590">
              <w:rPr>
                <w:rFonts w:asciiTheme="minorHAnsi" w:hAnsiTheme="minorHAnsi"/>
                <w:szCs w:val="18"/>
              </w:rPr>
              <w:t xml:space="preserve">mil. EUR. </w:t>
            </w:r>
          </w:p>
          <w:p w14:paraId="2D037FB7" w14:textId="77777777" w:rsidR="00612222" w:rsidRPr="00DD6590" w:rsidRDefault="00612222" w:rsidP="00612222">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Do konca roka 2018 bola úroveň kontrahovania v rámci prioritnej osi 4 na úrovni 0,</w:t>
            </w:r>
            <w:r w:rsidR="00402CBB" w:rsidRPr="00DD6590">
              <w:rPr>
                <w:rFonts w:asciiTheme="minorHAnsi" w:hAnsiTheme="minorHAnsi"/>
                <w:szCs w:val="18"/>
              </w:rPr>
              <w:t>35</w:t>
            </w:r>
            <w:r w:rsidR="00487999">
              <w:rPr>
                <w:rFonts w:asciiTheme="minorHAnsi" w:hAnsiTheme="minorHAnsi"/>
                <w:szCs w:val="18"/>
              </w:rPr>
              <w:t xml:space="preserve"> </w:t>
            </w:r>
            <w:r w:rsidR="005C6341" w:rsidRPr="00DD6590">
              <w:rPr>
                <w:rFonts w:asciiTheme="minorHAnsi" w:hAnsiTheme="minorHAnsi"/>
                <w:szCs w:val="18"/>
              </w:rPr>
              <w:t>% a úroveň čerpania 0,06</w:t>
            </w:r>
            <w:r w:rsidR="00487999">
              <w:rPr>
                <w:rFonts w:asciiTheme="minorHAnsi" w:hAnsiTheme="minorHAnsi"/>
                <w:szCs w:val="18"/>
              </w:rPr>
              <w:t xml:space="preserve"> </w:t>
            </w:r>
            <w:r w:rsidRPr="00DD6590">
              <w:rPr>
                <w:rFonts w:asciiTheme="minorHAnsi" w:hAnsiTheme="minorHAnsi"/>
                <w:szCs w:val="18"/>
              </w:rPr>
              <w:t>%</w:t>
            </w:r>
            <w:r w:rsidR="00487999">
              <w:rPr>
                <w:rFonts w:asciiTheme="minorHAnsi" w:hAnsiTheme="minorHAnsi"/>
                <w:szCs w:val="18"/>
              </w:rPr>
              <w:t>.</w:t>
            </w:r>
            <w:r w:rsidRPr="00DD6590">
              <w:rPr>
                <w:rFonts w:asciiTheme="minorHAnsi" w:hAnsiTheme="minorHAnsi"/>
                <w:szCs w:val="18"/>
              </w:rPr>
              <w:t xml:space="preserve"> RO OPII zrušil projekty z dôvodu zmeny právnej formy prijímateľa a potreby schválenia výnimky štátnej pomoci GBER</w:t>
            </w:r>
            <w:r w:rsidR="00487999">
              <w:rPr>
                <w:rFonts w:asciiTheme="minorHAnsi" w:hAnsiTheme="minorHAnsi"/>
                <w:szCs w:val="18"/>
              </w:rPr>
              <w:t>.</w:t>
            </w:r>
            <w:r w:rsidRPr="00DD6590">
              <w:rPr>
                <w:rFonts w:asciiTheme="minorHAnsi" w:hAnsiTheme="minorHAnsi"/>
                <w:szCs w:val="18"/>
              </w:rPr>
              <w:t xml:space="preserve"> </w:t>
            </w:r>
            <w:r w:rsidR="00487999">
              <w:rPr>
                <w:rFonts w:asciiTheme="minorHAnsi" w:hAnsiTheme="minorHAnsi"/>
                <w:szCs w:val="18"/>
              </w:rPr>
              <w:t>K</w:t>
            </w:r>
            <w:r w:rsidRPr="00DD6590">
              <w:rPr>
                <w:rFonts w:asciiTheme="minorHAnsi" w:hAnsiTheme="minorHAnsi"/>
                <w:szCs w:val="18"/>
              </w:rPr>
              <w:t>eďže sú tieto projekty pripravené a</w:t>
            </w:r>
            <w:r w:rsidR="00487999">
              <w:rPr>
                <w:rFonts w:asciiTheme="minorHAnsi" w:hAnsiTheme="minorHAnsi"/>
                <w:szCs w:val="18"/>
              </w:rPr>
              <w:t> </w:t>
            </w:r>
            <w:r w:rsidRPr="00DD6590">
              <w:rPr>
                <w:rFonts w:asciiTheme="minorHAnsi" w:hAnsiTheme="minorHAnsi"/>
                <w:szCs w:val="18"/>
              </w:rPr>
              <w:t>podmienky</w:t>
            </w:r>
            <w:r w:rsidR="00487999">
              <w:rPr>
                <w:rFonts w:asciiTheme="minorHAnsi" w:hAnsiTheme="minorHAnsi"/>
                <w:szCs w:val="18"/>
              </w:rPr>
              <w:t>,</w:t>
            </w:r>
            <w:r w:rsidRPr="00DD6590">
              <w:rPr>
                <w:rFonts w:asciiTheme="minorHAnsi" w:hAnsiTheme="minorHAnsi"/>
                <w:szCs w:val="18"/>
              </w:rPr>
              <w:t xml:space="preserve"> </w:t>
            </w:r>
            <w:r w:rsidRPr="00DD6590">
              <w:rPr>
                <w:rFonts w:asciiTheme="minorHAnsi" w:hAnsiTheme="minorHAnsi"/>
                <w:szCs w:val="18"/>
              </w:rPr>
              <w:lastRenderedPageBreak/>
              <w:t>prečo boli zrušené</w:t>
            </w:r>
            <w:r w:rsidR="00487999">
              <w:rPr>
                <w:rFonts w:asciiTheme="minorHAnsi" w:hAnsiTheme="minorHAnsi"/>
                <w:szCs w:val="18"/>
              </w:rPr>
              <w:t>,</w:t>
            </w:r>
            <w:r w:rsidRPr="00DD6590">
              <w:rPr>
                <w:rFonts w:asciiTheme="minorHAnsi" w:hAnsiTheme="minorHAnsi"/>
                <w:szCs w:val="18"/>
              </w:rPr>
              <w:t xml:space="preserve"> už pominuli</w:t>
            </w:r>
            <w:r w:rsidR="00487999">
              <w:rPr>
                <w:rFonts w:asciiTheme="minorHAnsi" w:hAnsiTheme="minorHAnsi"/>
                <w:szCs w:val="18"/>
              </w:rPr>
              <w:t>,</w:t>
            </w:r>
            <w:r w:rsidRPr="00DD6590">
              <w:rPr>
                <w:rFonts w:asciiTheme="minorHAnsi" w:hAnsiTheme="minorHAnsi"/>
                <w:szCs w:val="18"/>
              </w:rPr>
              <w:t xml:space="preserve"> odporúčame ich čo najskoršie schválenie</w:t>
            </w:r>
            <w:r w:rsidR="00487999">
              <w:rPr>
                <w:rFonts w:asciiTheme="minorHAnsi" w:hAnsiTheme="minorHAnsi"/>
                <w:szCs w:val="18"/>
              </w:rPr>
              <w:t>.</w:t>
            </w:r>
            <w:r w:rsidRPr="00DD6590">
              <w:rPr>
                <w:rFonts w:asciiTheme="minorHAnsi" w:hAnsiTheme="minorHAnsi"/>
                <w:szCs w:val="18"/>
              </w:rPr>
              <w:t xml:space="preserve"> </w:t>
            </w:r>
            <w:r w:rsidR="00487999">
              <w:rPr>
                <w:rFonts w:asciiTheme="minorHAnsi" w:hAnsiTheme="minorHAnsi"/>
                <w:szCs w:val="18"/>
              </w:rPr>
              <w:t>Ide o tieto</w:t>
            </w:r>
            <w:r w:rsidRPr="00DD6590">
              <w:rPr>
                <w:rFonts w:asciiTheme="minorHAnsi" w:hAnsiTheme="minorHAnsi"/>
                <w:szCs w:val="18"/>
              </w:rPr>
              <w:t xml:space="preserve"> projekty:</w:t>
            </w:r>
          </w:p>
          <w:p w14:paraId="7A474A12" w14:textId="77777777" w:rsidR="00612222" w:rsidRPr="00DD6590" w:rsidRDefault="00612222" w:rsidP="003E761D">
            <w:pPr>
              <w:pStyle w:val="ListParagraph"/>
              <w:numPr>
                <w:ilvl w:val="0"/>
                <w:numId w:val="41"/>
              </w:numPr>
              <w:spacing w:before="60" w:after="0"/>
              <w:cnfStyle w:val="000000000000" w:firstRow="0" w:lastRow="0" w:firstColumn="0" w:lastColumn="0" w:oddVBand="0" w:evenVBand="0" w:oddHBand="0" w:evenHBand="0" w:firstRowFirstColumn="0" w:firstRowLastColumn="0" w:lastRowFirstColumn="0" w:lastRowLastColumn="0"/>
              <w:rPr>
                <w:rFonts w:eastAsia="Verdana"/>
                <w:szCs w:val="18"/>
                <w:lang w:eastAsia="cs-CZ"/>
              </w:rPr>
            </w:pPr>
            <w:r w:rsidRPr="00DD6590">
              <w:rPr>
                <w:rFonts w:eastAsia="Verdana"/>
                <w:szCs w:val="18"/>
                <w:lang w:eastAsia="cs-CZ"/>
              </w:rPr>
              <w:t>Štúdia realizovateľnosti, I. fáza: Technické opatrenia pre zabezpečenie požadovaných parametrov plavebnej dráhy vodnej cesty Dunaj v r. km 1880,26 – r. km 1708,20</w:t>
            </w:r>
            <w:r w:rsidR="00487999">
              <w:rPr>
                <w:rFonts w:eastAsia="Verdana"/>
                <w:szCs w:val="18"/>
                <w:lang w:eastAsia="cs-CZ"/>
              </w:rPr>
              <w:t>,</w:t>
            </w:r>
          </w:p>
          <w:p w14:paraId="1BF19664" w14:textId="77777777" w:rsidR="00612222" w:rsidRPr="00DD6590" w:rsidRDefault="00612222" w:rsidP="003E761D">
            <w:pPr>
              <w:pStyle w:val="ListParagraph"/>
              <w:numPr>
                <w:ilvl w:val="0"/>
                <w:numId w:val="41"/>
              </w:numPr>
              <w:spacing w:before="60" w:after="0"/>
              <w:cnfStyle w:val="000000000000" w:firstRow="0" w:lastRow="0" w:firstColumn="0" w:lastColumn="0" w:oddVBand="0" w:evenVBand="0" w:oddHBand="0" w:evenHBand="0" w:firstRowFirstColumn="0" w:firstRowLastColumn="0" w:lastRowFirstColumn="0" w:lastRowLastColumn="0"/>
              <w:rPr>
                <w:rFonts w:eastAsia="Verdana"/>
                <w:szCs w:val="18"/>
                <w:lang w:eastAsia="cs-CZ"/>
              </w:rPr>
            </w:pPr>
            <w:r w:rsidRPr="00DD6590">
              <w:rPr>
                <w:rFonts w:eastAsia="Verdana"/>
                <w:szCs w:val="18"/>
                <w:lang w:eastAsia="cs-CZ"/>
              </w:rPr>
              <w:t>Vybudovanie terminálu LNG vo verejnom prístave Bratislava – predprojektová príprava.</w:t>
            </w:r>
          </w:p>
          <w:p w14:paraId="1E234BED" w14:textId="77777777" w:rsidR="001E450C" w:rsidRPr="00DD6590" w:rsidRDefault="001E450C" w:rsidP="003B76EC">
            <w:pPr>
              <w:spacing w:before="60" w:after="0"/>
              <w:cnfStyle w:val="000000000000" w:firstRow="0" w:lastRow="0" w:firstColumn="0" w:lastColumn="0" w:oddVBand="0" w:evenVBand="0" w:oddHBand="0" w:evenHBand="0" w:firstRowFirstColumn="0" w:firstRowLastColumn="0" w:lastRowFirstColumn="0" w:lastRowLastColumn="0"/>
              <w:rPr>
                <w:szCs w:val="18"/>
              </w:rPr>
            </w:pPr>
            <w:r w:rsidRPr="00DD6590">
              <w:rPr>
                <w:szCs w:val="18"/>
              </w:rPr>
              <w:t>Odporúčame vypracovať akčný plán, ktorý povedie k posunu implementácie kľúčových projektov smerujúcich k naplneniu cieľov OPII. V</w:t>
            </w:r>
            <w:r w:rsidR="00487999">
              <w:rPr>
                <w:szCs w:val="18"/>
              </w:rPr>
              <w:t> </w:t>
            </w:r>
            <w:r w:rsidRPr="00DD6590">
              <w:rPr>
                <w:szCs w:val="18"/>
              </w:rPr>
              <w:t>prípade</w:t>
            </w:r>
            <w:r w:rsidR="00487999">
              <w:rPr>
                <w:szCs w:val="18"/>
              </w:rPr>
              <w:t>,</w:t>
            </w:r>
            <w:r w:rsidRPr="00DD6590">
              <w:rPr>
                <w:szCs w:val="18"/>
              </w:rPr>
              <w:t xml:space="preserve"> ak nebudú ciele stanovené akčným plánom </w:t>
            </w:r>
            <w:r w:rsidR="003B76EC" w:rsidRPr="00DD6590">
              <w:rPr>
                <w:szCs w:val="18"/>
              </w:rPr>
              <w:t xml:space="preserve">splnené </w:t>
            </w:r>
            <w:r w:rsidRPr="00DD6590">
              <w:rPr>
                <w:szCs w:val="18"/>
              </w:rPr>
              <w:t xml:space="preserve">v stanovenom termíne, bude potrebné iniciovať presun voľných finančných prostriedkov z PO4 do </w:t>
            </w:r>
            <w:r w:rsidR="006C37CF" w:rsidRPr="00DD6590">
              <w:rPr>
                <w:szCs w:val="18"/>
              </w:rPr>
              <w:t>PO2, resp.</w:t>
            </w:r>
            <w:r w:rsidR="00FC205C" w:rsidRPr="00DD6590">
              <w:rPr>
                <w:szCs w:val="18"/>
              </w:rPr>
              <w:t xml:space="preserve"> </w:t>
            </w:r>
            <w:r w:rsidRPr="00DD6590">
              <w:rPr>
                <w:szCs w:val="18"/>
              </w:rPr>
              <w:t>PO3</w:t>
            </w:r>
            <w:r w:rsidR="006C37CF" w:rsidRPr="00DD6590">
              <w:rPr>
                <w:szCs w:val="18"/>
              </w:rPr>
              <w:t>, z dôvodu  dostatočnej absor</w:t>
            </w:r>
            <w:r w:rsidR="00507D7D">
              <w:rPr>
                <w:szCs w:val="18"/>
              </w:rPr>
              <w:t>p</w:t>
            </w:r>
            <w:r w:rsidR="006C37CF" w:rsidRPr="00DD6590">
              <w:rPr>
                <w:szCs w:val="18"/>
              </w:rPr>
              <w:t xml:space="preserve">čnej kapacity. </w:t>
            </w:r>
            <w:r w:rsidR="00FC205C" w:rsidRPr="00DD6590">
              <w:rPr>
                <w:szCs w:val="18"/>
              </w:rPr>
              <w:t>O</w:t>
            </w:r>
            <w:r w:rsidR="006C37CF" w:rsidRPr="00DD6590">
              <w:rPr>
                <w:szCs w:val="18"/>
              </w:rPr>
              <w:t>dporúčame zamera</w:t>
            </w:r>
            <w:r w:rsidR="001B73AD" w:rsidRPr="00DD6590">
              <w:rPr>
                <w:szCs w:val="18"/>
              </w:rPr>
              <w:t>ť</w:t>
            </w:r>
            <w:r w:rsidR="006C37CF" w:rsidRPr="00DD6590">
              <w:rPr>
                <w:szCs w:val="18"/>
              </w:rPr>
              <w:t xml:space="preserve"> sa na ekologickú dopravu a prioritizovať PO3</w:t>
            </w:r>
            <w:r w:rsidRPr="00DD6590">
              <w:rPr>
                <w:szCs w:val="18"/>
              </w:rPr>
              <w:t xml:space="preserve">. </w:t>
            </w:r>
          </w:p>
        </w:tc>
      </w:tr>
      <w:tr w:rsidR="00F41009" w:rsidRPr="00DD6590" w14:paraId="707DA3EB" w14:textId="77777777" w:rsidTr="0019573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88" w:type="pct"/>
            <w:vAlign w:val="center"/>
          </w:tcPr>
          <w:p w14:paraId="5588E1A9" w14:textId="77777777" w:rsidR="00F41009" w:rsidRPr="00DD6590" w:rsidRDefault="00F41009" w:rsidP="00717D06">
            <w:pPr>
              <w:spacing w:before="60" w:after="0"/>
              <w:rPr>
                <w:rFonts w:asciiTheme="minorHAnsi" w:hAnsiTheme="minorHAnsi"/>
                <w:b w:val="0"/>
                <w:szCs w:val="18"/>
              </w:rPr>
            </w:pPr>
            <w:r w:rsidRPr="00DD6590">
              <w:rPr>
                <w:rFonts w:asciiTheme="minorHAnsi" w:hAnsiTheme="minorHAnsi"/>
                <w:b w:val="0"/>
                <w:szCs w:val="18"/>
              </w:rPr>
              <w:lastRenderedPageBreak/>
              <w:t>PO5: Železničná infraštruktúra</w:t>
            </w:r>
          </w:p>
        </w:tc>
        <w:tc>
          <w:tcPr>
            <w:tcW w:w="644" w:type="pct"/>
            <w:gridSpan w:val="3"/>
            <w:vAlign w:val="center"/>
          </w:tcPr>
          <w:p w14:paraId="7F460222" w14:textId="77777777" w:rsidR="00F41009" w:rsidRPr="00DD6590" w:rsidRDefault="001142BC" w:rsidP="00717D06">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szCs w:val="18"/>
              </w:rPr>
            </w:pPr>
            <w:r w:rsidRPr="00DD6590">
              <w:rPr>
                <w:rFonts w:asciiTheme="minorHAnsi" w:hAnsiTheme="minorHAnsi"/>
                <w:b/>
                <w:bCs/>
                <w:szCs w:val="18"/>
              </w:rPr>
              <w:t>Áno</w:t>
            </w:r>
          </w:p>
        </w:tc>
        <w:tc>
          <w:tcPr>
            <w:tcW w:w="3568" w:type="pct"/>
            <w:vAlign w:val="center"/>
          </w:tcPr>
          <w:p w14:paraId="3BCCC837" w14:textId="77777777" w:rsidR="004677F8" w:rsidRPr="00DD6590" w:rsidRDefault="0035442D" w:rsidP="00717D06">
            <w:pPr>
              <w:spacing w:before="60" w:after="0"/>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V rámci tejto prioritnej osi je zazmluvnený len jeden projekt, ktorý nenapĺňa </w:t>
            </w:r>
            <w:r w:rsidR="00BE3C9C" w:rsidRPr="00DD6590">
              <w:rPr>
                <w:rFonts w:asciiTheme="minorHAnsi" w:hAnsiTheme="minorHAnsi"/>
                <w:szCs w:val="18"/>
              </w:rPr>
              <w:t>ukazovatele stanovené v</w:t>
            </w:r>
            <w:r w:rsidR="005C6341" w:rsidRPr="00DD6590">
              <w:rPr>
                <w:rFonts w:asciiTheme="minorHAnsi" w:hAnsiTheme="minorHAnsi"/>
                <w:szCs w:val="18"/>
              </w:rPr>
              <w:t> </w:t>
            </w:r>
            <w:r w:rsidR="00BE3C9C" w:rsidRPr="00DD6590">
              <w:rPr>
                <w:rFonts w:asciiTheme="minorHAnsi" w:hAnsiTheme="minorHAnsi"/>
                <w:szCs w:val="18"/>
              </w:rPr>
              <w:t>OPII</w:t>
            </w:r>
            <w:r w:rsidR="005C6341" w:rsidRPr="00DD6590">
              <w:rPr>
                <w:rFonts w:asciiTheme="minorHAnsi" w:hAnsiTheme="minorHAnsi"/>
                <w:szCs w:val="18"/>
              </w:rPr>
              <w:t xml:space="preserve"> (na programovej úrovni),</w:t>
            </w:r>
            <w:r w:rsidR="00487999">
              <w:rPr>
                <w:rFonts w:asciiTheme="minorHAnsi" w:hAnsiTheme="minorHAnsi"/>
                <w:szCs w:val="18"/>
              </w:rPr>
              <w:t xml:space="preserve"> ale</w:t>
            </w:r>
            <w:r w:rsidR="005C6341" w:rsidRPr="00DD6590">
              <w:rPr>
                <w:rFonts w:asciiTheme="minorHAnsi" w:hAnsiTheme="minorHAnsi"/>
                <w:szCs w:val="18"/>
              </w:rPr>
              <w:t xml:space="preserve"> prispieva len k plneniu príslušného projektového ukazovateľa</w:t>
            </w:r>
            <w:r w:rsidR="00BE3C9C" w:rsidRPr="00DD6590">
              <w:rPr>
                <w:rFonts w:asciiTheme="minorHAnsi" w:hAnsiTheme="minorHAnsi"/>
                <w:szCs w:val="18"/>
              </w:rPr>
              <w:t xml:space="preserve">. </w:t>
            </w:r>
          </w:p>
          <w:p w14:paraId="3A29B52E" w14:textId="77777777" w:rsidR="00B66C5A" w:rsidRPr="00DD6590" w:rsidRDefault="00B53183" w:rsidP="00717D06">
            <w:pPr>
              <w:spacing w:before="60" w:after="0"/>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Plánované projekty prijímateľov presahujú voľnú alokáciu, ale vzhľadom na zdĺhavú prípravu a potrebné schvaľovacie </w:t>
            </w:r>
            <w:r w:rsidR="005308BE" w:rsidRPr="00DD6590">
              <w:rPr>
                <w:rFonts w:asciiTheme="minorHAnsi" w:hAnsiTheme="minorHAnsi"/>
                <w:szCs w:val="18"/>
              </w:rPr>
              <w:t>úkony</w:t>
            </w:r>
            <w:r w:rsidR="00102A6C" w:rsidRPr="00DD6590">
              <w:rPr>
                <w:rFonts w:asciiTheme="minorHAnsi" w:hAnsiTheme="minorHAnsi"/>
                <w:szCs w:val="18"/>
              </w:rPr>
              <w:t xml:space="preserve"> odporúčame</w:t>
            </w:r>
            <w:r w:rsidR="005308BE" w:rsidRPr="00DD6590">
              <w:rPr>
                <w:rFonts w:asciiTheme="minorHAnsi" w:hAnsiTheme="minorHAnsi"/>
                <w:szCs w:val="18"/>
              </w:rPr>
              <w:t xml:space="preserve"> vypracovať, </w:t>
            </w:r>
            <w:r w:rsidR="00487999">
              <w:rPr>
                <w:rFonts w:asciiTheme="minorHAnsi" w:hAnsiTheme="minorHAnsi"/>
                <w:szCs w:val="18"/>
              </w:rPr>
              <w:t>podobne</w:t>
            </w:r>
            <w:r w:rsidR="00487999" w:rsidRPr="00DD6590">
              <w:rPr>
                <w:rFonts w:asciiTheme="minorHAnsi" w:hAnsiTheme="minorHAnsi"/>
                <w:szCs w:val="18"/>
              </w:rPr>
              <w:t xml:space="preserve"> </w:t>
            </w:r>
            <w:r w:rsidR="005308BE" w:rsidRPr="00DD6590">
              <w:rPr>
                <w:rFonts w:asciiTheme="minorHAnsi" w:hAnsiTheme="minorHAnsi"/>
                <w:szCs w:val="18"/>
              </w:rPr>
              <w:t xml:space="preserve">ako pri prioritnej osi </w:t>
            </w:r>
            <w:r w:rsidR="00487999">
              <w:rPr>
                <w:rFonts w:asciiTheme="minorHAnsi" w:hAnsiTheme="minorHAnsi"/>
                <w:szCs w:val="18"/>
              </w:rPr>
              <w:t>1,</w:t>
            </w:r>
            <w:r w:rsidR="005308BE" w:rsidRPr="00DD6590">
              <w:rPr>
                <w:rFonts w:asciiTheme="minorHAnsi" w:hAnsiTheme="minorHAnsi"/>
                <w:szCs w:val="18"/>
              </w:rPr>
              <w:t xml:space="preserve"> databázu projektov, ktorá bude monitorovať priebeh prípravy projektu a zabezpečovať riadenie a elimináciu rizík pri implementácii prioritnej osi. </w:t>
            </w:r>
            <w:r w:rsidR="00DC2522" w:rsidRPr="00DD6590">
              <w:rPr>
                <w:rFonts w:asciiTheme="minorHAnsi" w:hAnsiTheme="minorHAnsi"/>
                <w:color w:val="000000"/>
                <w:szCs w:val="18"/>
              </w:rPr>
              <w:t>Na základe tejto databázy bude možné vypracovať aj analýzu pripravenosti projektov, ktorá môže</w:t>
            </w:r>
            <w:r w:rsidR="001267CA">
              <w:rPr>
                <w:rFonts w:asciiTheme="minorHAnsi" w:hAnsiTheme="minorHAnsi"/>
                <w:color w:val="000000"/>
                <w:szCs w:val="18"/>
              </w:rPr>
              <w:t xml:space="preserve"> tiež</w:t>
            </w:r>
            <w:r w:rsidR="00DC2522" w:rsidRPr="00DD6590">
              <w:rPr>
                <w:rFonts w:asciiTheme="minorHAnsi" w:hAnsiTheme="minorHAnsi"/>
                <w:color w:val="000000"/>
                <w:szCs w:val="18"/>
              </w:rPr>
              <w:t xml:space="preserve"> slúžiť ako nástroj</w:t>
            </w:r>
            <w:r w:rsidR="001267CA">
              <w:rPr>
                <w:rFonts w:asciiTheme="minorHAnsi" w:hAnsiTheme="minorHAnsi"/>
                <w:color w:val="000000"/>
                <w:szCs w:val="18"/>
              </w:rPr>
              <w:t xml:space="preserve"> na</w:t>
            </w:r>
            <w:r w:rsidR="00DC2522" w:rsidRPr="00DD6590">
              <w:rPr>
                <w:rFonts w:asciiTheme="minorHAnsi" w:hAnsiTheme="minorHAnsi"/>
                <w:color w:val="000000"/>
                <w:szCs w:val="18"/>
              </w:rPr>
              <w:t xml:space="preserve"> elimináci</w:t>
            </w:r>
            <w:r w:rsidR="001267CA">
              <w:rPr>
                <w:rFonts w:asciiTheme="minorHAnsi" w:hAnsiTheme="minorHAnsi"/>
                <w:color w:val="000000"/>
                <w:szCs w:val="18"/>
              </w:rPr>
              <w:t>u</w:t>
            </w:r>
            <w:r w:rsidR="00DC2522" w:rsidRPr="00DD6590">
              <w:rPr>
                <w:rFonts w:asciiTheme="minorHAnsi" w:hAnsiTheme="minorHAnsi"/>
                <w:color w:val="000000"/>
                <w:szCs w:val="18"/>
              </w:rPr>
              <w:t xml:space="preserve"> rizík implementácie PO5. </w:t>
            </w:r>
            <w:r w:rsidR="005C2D89" w:rsidRPr="00DD6590">
              <w:rPr>
                <w:rFonts w:asciiTheme="minorHAnsi" w:hAnsiTheme="minorHAnsi"/>
                <w:szCs w:val="18"/>
              </w:rPr>
              <w:t>Plánované projekty úplne nereflektujú ukazovatele stanovené pre PO5</w:t>
            </w:r>
            <w:r w:rsidR="00102A6C" w:rsidRPr="00DD6590">
              <w:rPr>
                <w:rFonts w:asciiTheme="minorHAnsi" w:hAnsiTheme="minorHAnsi"/>
                <w:szCs w:val="18"/>
              </w:rPr>
              <w:t xml:space="preserve">. </w:t>
            </w:r>
          </w:p>
          <w:p w14:paraId="6D187F53" w14:textId="77777777" w:rsidR="00E70D8F" w:rsidRPr="00DD6590" w:rsidRDefault="00D23F08" w:rsidP="00717D06">
            <w:pPr>
              <w:spacing w:before="60" w:after="0"/>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Cs w:val="18"/>
              </w:rPr>
            </w:pPr>
            <w:r w:rsidRPr="00DD6590">
              <w:rPr>
                <w:rFonts w:asciiTheme="minorHAnsi" w:hAnsiTheme="minorHAnsi"/>
                <w:szCs w:val="18"/>
              </w:rPr>
              <w:t xml:space="preserve">Vzhľadom </w:t>
            </w:r>
            <w:r w:rsidR="001267CA">
              <w:rPr>
                <w:rFonts w:asciiTheme="minorHAnsi" w:hAnsiTheme="minorHAnsi"/>
                <w:szCs w:val="18"/>
              </w:rPr>
              <w:t>na</w:t>
            </w:r>
            <w:r w:rsidR="001267CA" w:rsidRPr="00DD6590">
              <w:rPr>
                <w:rFonts w:asciiTheme="minorHAnsi" w:hAnsiTheme="minorHAnsi"/>
                <w:szCs w:val="18"/>
              </w:rPr>
              <w:t> </w:t>
            </w:r>
            <w:r w:rsidRPr="00DD6590">
              <w:rPr>
                <w:rFonts w:asciiTheme="minorHAnsi" w:hAnsiTheme="minorHAnsi"/>
                <w:szCs w:val="18"/>
              </w:rPr>
              <w:t>to, že</w:t>
            </w:r>
            <w:r w:rsidR="00E70D8F" w:rsidRPr="00DD6590">
              <w:rPr>
                <w:rFonts w:asciiTheme="minorHAnsi" w:hAnsiTheme="minorHAnsi"/>
                <w:szCs w:val="18"/>
              </w:rPr>
              <w:t xml:space="preserve"> na ukazovateľ vyhodnocovaný na základe štatistík (</w:t>
            </w:r>
            <w:r w:rsidR="00C82674" w:rsidRPr="00DD6590">
              <w:rPr>
                <w:szCs w:val="18"/>
              </w:rPr>
              <w:t>Celkový objem medzinárodnej prepravy na koridore TEN-T (úsek Bratislava – Nové Zámky –  Štúrovo/Komárno – št. hr. SR/MR)</w:t>
            </w:r>
            <w:r w:rsidR="00E70D8F" w:rsidRPr="00DD6590">
              <w:rPr>
                <w:rFonts w:asciiTheme="minorHAnsi" w:hAnsiTheme="minorHAnsi"/>
                <w:szCs w:val="18"/>
              </w:rPr>
              <w:t xml:space="preserve"> má vplyv aj externé prostredie</w:t>
            </w:r>
            <w:r w:rsidR="001267CA">
              <w:rPr>
                <w:rFonts w:asciiTheme="minorHAnsi" w:hAnsiTheme="minorHAnsi"/>
                <w:szCs w:val="18"/>
              </w:rPr>
              <w:t>,</w:t>
            </w:r>
            <w:r w:rsidR="00E70D8F" w:rsidRPr="00DD6590">
              <w:rPr>
                <w:rFonts w:asciiTheme="minorHAnsi" w:hAnsiTheme="minorHAnsi"/>
                <w:szCs w:val="18"/>
              </w:rPr>
              <w:t xml:space="preserve"> nie je možné vyhodnotiť prínos realizácie projektov k relevantnému ukazovateľu stanovenému pre OPII. Tento ukazovateľ je napĺňaný aj bez realizácie projektov financovaných z EÚ </w:t>
            </w:r>
            <w:r w:rsidR="00E52F5C" w:rsidRPr="00DD6590">
              <w:rPr>
                <w:rFonts w:asciiTheme="minorHAnsi" w:hAnsiTheme="minorHAnsi"/>
                <w:szCs w:val="18"/>
              </w:rPr>
              <w:t>fondov</w:t>
            </w:r>
            <w:r w:rsidR="001267CA">
              <w:rPr>
                <w:rFonts w:asciiTheme="minorHAnsi" w:hAnsiTheme="minorHAnsi"/>
                <w:szCs w:val="18"/>
              </w:rPr>
              <w:t>,</w:t>
            </w:r>
            <w:r w:rsidR="001267CA" w:rsidRPr="00DD6590">
              <w:rPr>
                <w:rFonts w:asciiTheme="minorHAnsi" w:hAnsiTheme="minorHAnsi"/>
                <w:color w:val="000000"/>
                <w:szCs w:val="18"/>
              </w:rPr>
              <w:t xml:space="preserve"> </w:t>
            </w:r>
            <w:r w:rsidR="001267CA">
              <w:rPr>
                <w:rFonts w:asciiTheme="minorHAnsi" w:hAnsiTheme="minorHAnsi"/>
                <w:color w:val="000000"/>
                <w:szCs w:val="18"/>
              </w:rPr>
              <w:t>p</w:t>
            </w:r>
            <w:r w:rsidR="00DC2522" w:rsidRPr="00DD6590">
              <w:rPr>
                <w:rFonts w:asciiTheme="minorHAnsi" w:hAnsiTheme="minorHAnsi"/>
                <w:color w:val="000000"/>
                <w:szCs w:val="18"/>
              </w:rPr>
              <w:t xml:space="preserve">reto je potrebné vykonať hodnotenie dopadu projektov realizovaných v rámci OPII. </w:t>
            </w:r>
          </w:p>
          <w:p w14:paraId="5FD97648" w14:textId="77777777" w:rsidR="008C469B" w:rsidRPr="00DD6590" w:rsidRDefault="008C469B" w:rsidP="00717D06">
            <w:pPr>
              <w:spacing w:before="60" w:after="0"/>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V rámci kontrahovania odporúčame zamerať sa najmä na projekty</w:t>
            </w:r>
            <w:r w:rsidR="00B92DE1" w:rsidRPr="00DD6590">
              <w:rPr>
                <w:rFonts w:asciiTheme="minorHAnsi" w:hAnsiTheme="minorHAnsi"/>
                <w:szCs w:val="18"/>
              </w:rPr>
              <w:t xml:space="preserve">, </w:t>
            </w:r>
            <w:r w:rsidR="00B92DE1" w:rsidRPr="00DD6590">
              <w:rPr>
                <w:szCs w:val="18"/>
              </w:rPr>
              <w:t>ktoré prispejú k naplneniu oboch nenaplnených ukazovateľov výkonnostného rámca, ako napr.</w:t>
            </w:r>
            <w:r w:rsidRPr="00DD6590">
              <w:rPr>
                <w:rFonts w:asciiTheme="minorHAnsi" w:hAnsiTheme="minorHAnsi"/>
                <w:szCs w:val="18"/>
              </w:rPr>
              <w:t>:</w:t>
            </w:r>
          </w:p>
          <w:p w14:paraId="349B8DFC" w14:textId="77777777" w:rsidR="008C469B" w:rsidRPr="00DD6590" w:rsidRDefault="008C469B" w:rsidP="003E761D">
            <w:pPr>
              <w:pStyle w:val="ListParagraph"/>
              <w:numPr>
                <w:ilvl w:val="0"/>
                <w:numId w:val="36"/>
              </w:numPr>
              <w:spacing w:before="60" w:after="0"/>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szCs w:val="18"/>
                <w:lang w:eastAsia="cs-CZ"/>
              </w:rPr>
            </w:pPr>
            <w:r w:rsidRPr="00DD6590">
              <w:rPr>
                <w:rFonts w:asciiTheme="minorHAnsi" w:eastAsia="Verdana" w:hAnsiTheme="minorHAnsi"/>
                <w:szCs w:val="18"/>
                <w:lang w:eastAsia="cs-CZ"/>
              </w:rPr>
              <w:t xml:space="preserve">Elektrifikácia trate Haniska pri Košiciach </w:t>
            </w:r>
            <w:r w:rsidR="001267CA" w:rsidRPr="00DD6590">
              <w:t>–</w:t>
            </w:r>
            <w:r w:rsidRPr="00DD6590">
              <w:rPr>
                <w:rFonts w:asciiTheme="minorHAnsi" w:eastAsia="Verdana" w:hAnsiTheme="minorHAnsi"/>
                <w:szCs w:val="18"/>
                <w:lang w:eastAsia="cs-CZ"/>
              </w:rPr>
              <w:t xml:space="preserve"> Moldava nad Bodvou, realizácia,</w:t>
            </w:r>
          </w:p>
          <w:p w14:paraId="4EA2D09E" w14:textId="77777777" w:rsidR="008C469B" w:rsidRPr="00DD6590" w:rsidRDefault="008C469B" w:rsidP="003E761D">
            <w:pPr>
              <w:pStyle w:val="ListParagraph"/>
              <w:numPr>
                <w:ilvl w:val="0"/>
                <w:numId w:val="36"/>
              </w:numPr>
              <w:spacing w:before="60" w:after="0"/>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szCs w:val="18"/>
                <w:lang w:eastAsia="cs-CZ"/>
              </w:rPr>
            </w:pPr>
            <w:r w:rsidRPr="00DD6590">
              <w:rPr>
                <w:rFonts w:asciiTheme="minorHAnsi" w:eastAsia="Verdana" w:hAnsiTheme="minorHAnsi"/>
                <w:szCs w:val="18"/>
                <w:lang w:eastAsia="cs-CZ"/>
              </w:rPr>
              <w:t>Modernizácia koridoru št. hranica ČR/SR – Čadca – Krásno nad Kysucou, úsek štátna hranica ČR/SR - Čadca (mimo)</w:t>
            </w:r>
          </w:p>
          <w:p w14:paraId="572A0F98" w14:textId="77777777" w:rsidR="004E6992" w:rsidRPr="00DD6590" w:rsidRDefault="008C469B" w:rsidP="003E761D">
            <w:pPr>
              <w:pStyle w:val="ListParagraph"/>
              <w:numPr>
                <w:ilvl w:val="0"/>
                <w:numId w:val="36"/>
              </w:numPr>
              <w:spacing w:before="60" w:after="0"/>
              <w:cnfStyle w:val="000000100000" w:firstRow="0" w:lastRow="0" w:firstColumn="0" w:lastColumn="0" w:oddVBand="0" w:evenVBand="0" w:oddHBand="1" w:evenHBand="0" w:firstRowFirstColumn="0" w:firstRowLastColumn="0" w:lastRowFirstColumn="0" w:lastRowLastColumn="0"/>
              <w:rPr>
                <w:rFonts w:eastAsia="Verdana"/>
                <w:szCs w:val="18"/>
                <w:lang w:eastAsia="cs-CZ"/>
              </w:rPr>
            </w:pPr>
            <w:r w:rsidRPr="00DD6590">
              <w:rPr>
                <w:rFonts w:asciiTheme="minorHAnsi" w:eastAsia="Verdana" w:hAnsiTheme="minorHAnsi"/>
                <w:szCs w:val="18"/>
                <w:lang w:eastAsia="cs-CZ"/>
              </w:rPr>
              <w:t xml:space="preserve">ŽSR, Elektrifikácia trate Bánovce nad Ondavou </w:t>
            </w:r>
            <w:r w:rsidR="001267CA" w:rsidRPr="00DD6590">
              <w:t>–</w:t>
            </w:r>
            <w:r w:rsidRPr="00DD6590">
              <w:rPr>
                <w:rFonts w:asciiTheme="minorHAnsi" w:eastAsia="Verdana" w:hAnsiTheme="minorHAnsi"/>
                <w:szCs w:val="18"/>
                <w:lang w:eastAsia="cs-CZ"/>
              </w:rPr>
              <w:t xml:space="preserve"> Humenné, realizácia</w:t>
            </w:r>
            <w:r w:rsidR="00B92DE1" w:rsidRPr="00DD6590">
              <w:rPr>
                <w:rFonts w:asciiTheme="minorHAnsi" w:eastAsia="Verdana" w:hAnsiTheme="minorHAnsi"/>
                <w:szCs w:val="18"/>
                <w:lang w:eastAsia="cs-CZ"/>
              </w:rPr>
              <w:t>.</w:t>
            </w:r>
          </w:p>
          <w:p w14:paraId="03A51E07" w14:textId="77777777" w:rsidR="000F71BD" w:rsidRPr="00DD6590" w:rsidRDefault="000F71BD" w:rsidP="000F71BD">
            <w:pPr>
              <w:spacing w:before="60" w:after="0"/>
              <w:cnfStyle w:val="000000100000" w:firstRow="0" w:lastRow="0" w:firstColumn="0" w:lastColumn="0" w:oddVBand="0" w:evenVBand="0" w:oddHBand="1" w:evenHBand="0" w:firstRowFirstColumn="0" w:firstRowLastColumn="0" w:lastRowFirstColumn="0" w:lastRowLastColumn="0"/>
              <w:rPr>
                <w:szCs w:val="18"/>
              </w:rPr>
            </w:pPr>
            <w:r w:rsidRPr="00DD6590">
              <w:rPr>
                <w:szCs w:val="18"/>
              </w:rPr>
              <w:t>Odporúčame vypracovať akčný plán, ktorý povedie k posunu implementácie kľúčových projektov smerujúcich k naplneniu cieľov OPII.</w:t>
            </w:r>
          </w:p>
        </w:tc>
      </w:tr>
      <w:tr w:rsidR="00F41009" w:rsidRPr="00DD6590" w14:paraId="7F69A2A8" w14:textId="77777777" w:rsidTr="00195734">
        <w:trPr>
          <w:trHeight w:val="283"/>
        </w:trPr>
        <w:tc>
          <w:tcPr>
            <w:cnfStyle w:val="001000000000" w:firstRow="0" w:lastRow="0" w:firstColumn="1" w:lastColumn="0" w:oddVBand="0" w:evenVBand="0" w:oddHBand="0" w:evenHBand="0" w:firstRowFirstColumn="0" w:firstRowLastColumn="0" w:lastRowFirstColumn="0" w:lastRowLastColumn="0"/>
            <w:tcW w:w="788" w:type="pct"/>
            <w:vAlign w:val="center"/>
          </w:tcPr>
          <w:p w14:paraId="1F06631D" w14:textId="77777777" w:rsidR="00F41009" w:rsidRPr="00DD6590" w:rsidRDefault="00F41009" w:rsidP="00717D06">
            <w:pPr>
              <w:spacing w:before="60" w:after="0"/>
              <w:rPr>
                <w:rFonts w:asciiTheme="minorHAnsi" w:hAnsiTheme="minorHAnsi"/>
                <w:b w:val="0"/>
                <w:szCs w:val="18"/>
              </w:rPr>
            </w:pPr>
            <w:r w:rsidRPr="00DD6590">
              <w:rPr>
                <w:rFonts w:asciiTheme="minorHAnsi" w:hAnsiTheme="minorHAnsi"/>
                <w:b w:val="0"/>
                <w:szCs w:val="18"/>
              </w:rPr>
              <w:t>PO6: Cestná infraštruktúra (mimo TEN-T CORE)</w:t>
            </w:r>
          </w:p>
        </w:tc>
        <w:tc>
          <w:tcPr>
            <w:tcW w:w="644" w:type="pct"/>
            <w:gridSpan w:val="3"/>
            <w:vAlign w:val="center"/>
          </w:tcPr>
          <w:p w14:paraId="53150303" w14:textId="77777777" w:rsidR="00F41009" w:rsidRPr="00DD6590" w:rsidRDefault="001142BC" w:rsidP="00717D06">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Áno</w:t>
            </w:r>
          </w:p>
        </w:tc>
        <w:tc>
          <w:tcPr>
            <w:tcW w:w="3568" w:type="pct"/>
            <w:vAlign w:val="center"/>
          </w:tcPr>
          <w:p w14:paraId="68215BC2" w14:textId="77777777" w:rsidR="00E6082C" w:rsidRPr="00DD6590" w:rsidRDefault="00FC42B6" w:rsidP="00FC205C">
            <w:pPr>
              <w:spacing w:before="60" w:after="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Cs w:val="18"/>
              </w:rPr>
            </w:pPr>
            <w:r w:rsidRPr="00DD6590">
              <w:rPr>
                <w:rFonts w:asciiTheme="minorHAnsi" w:hAnsiTheme="minorHAnsi"/>
                <w:color w:val="000000"/>
                <w:szCs w:val="18"/>
              </w:rPr>
              <w:t>V rámci prioritnej osi 6 sú plánované projekty v celkovej hodnote 1</w:t>
            </w:r>
            <w:r w:rsidR="001267CA">
              <w:rPr>
                <w:rFonts w:asciiTheme="minorHAnsi" w:hAnsiTheme="minorHAnsi"/>
                <w:color w:val="000000"/>
                <w:szCs w:val="18"/>
              </w:rPr>
              <w:t> </w:t>
            </w:r>
            <w:r w:rsidR="00FC205C" w:rsidRPr="00DD6590">
              <w:rPr>
                <w:rFonts w:asciiTheme="minorHAnsi" w:hAnsiTheme="minorHAnsi"/>
                <w:color w:val="000000"/>
                <w:szCs w:val="18"/>
              </w:rPr>
              <w:t>626</w:t>
            </w:r>
            <w:r w:rsidR="001267CA">
              <w:rPr>
                <w:rFonts w:asciiTheme="minorHAnsi" w:hAnsiTheme="minorHAnsi"/>
                <w:color w:val="000000"/>
                <w:szCs w:val="18"/>
              </w:rPr>
              <w:t> </w:t>
            </w:r>
            <w:r w:rsidR="00522423" w:rsidRPr="00DD6590">
              <w:rPr>
                <w:rFonts w:asciiTheme="minorHAnsi" w:hAnsiTheme="minorHAnsi"/>
                <w:color w:val="000000"/>
                <w:szCs w:val="18"/>
              </w:rPr>
              <w:t>mil. EUR</w:t>
            </w:r>
            <w:r w:rsidRPr="00DD6590">
              <w:rPr>
                <w:rFonts w:asciiTheme="minorHAnsi" w:hAnsiTheme="minorHAnsi"/>
                <w:color w:val="000000"/>
                <w:szCs w:val="18"/>
              </w:rPr>
              <w:t xml:space="preserve">, čím </w:t>
            </w:r>
            <w:r w:rsidR="00522423" w:rsidRPr="00DD6590">
              <w:rPr>
                <w:rFonts w:asciiTheme="minorHAnsi" w:hAnsiTheme="minorHAnsi"/>
                <w:color w:val="000000"/>
                <w:szCs w:val="18"/>
              </w:rPr>
              <w:t>vzniká pre</w:t>
            </w:r>
            <w:r w:rsidR="00F5299F" w:rsidRPr="00DD6590">
              <w:rPr>
                <w:rFonts w:asciiTheme="minorHAnsi" w:hAnsiTheme="minorHAnsi"/>
                <w:color w:val="000000"/>
                <w:szCs w:val="18"/>
              </w:rPr>
              <w:t xml:space="preserve">dpoklad pre navýšenie alokácie a </w:t>
            </w:r>
            <w:r w:rsidR="001267CA" w:rsidRPr="00DD6590">
              <w:rPr>
                <w:rFonts w:asciiTheme="minorHAnsi" w:hAnsiTheme="minorHAnsi"/>
                <w:color w:val="000000"/>
                <w:szCs w:val="18"/>
              </w:rPr>
              <w:t>kontrahovani</w:t>
            </w:r>
            <w:r w:rsidR="001267CA">
              <w:rPr>
                <w:rFonts w:asciiTheme="minorHAnsi" w:hAnsiTheme="minorHAnsi"/>
                <w:color w:val="000000"/>
                <w:szCs w:val="18"/>
              </w:rPr>
              <w:t>e</w:t>
            </w:r>
            <w:r w:rsidR="001267CA" w:rsidRPr="00DD6590">
              <w:rPr>
                <w:rFonts w:asciiTheme="minorHAnsi" w:hAnsiTheme="minorHAnsi"/>
                <w:color w:val="000000"/>
                <w:szCs w:val="18"/>
              </w:rPr>
              <w:t xml:space="preserve"> </w:t>
            </w:r>
            <w:r w:rsidR="004D3B8A" w:rsidRPr="00DD6590">
              <w:rPr>
                <w:rFonts w:asciiTheme="minorHAnsi" w:hAnsiTheme="minorHAnsi"/>
                <w:color w:val="000000"/>
                <w:szCs w:val="18"/>
              </w:rPr>
              <w:t xml:space="preserve">aj rezervných projektov. </w:t>
            </w:r>
            <w:r w:rsidR="001267CA">
              <w:rPr>
                <w:rFonts w:asciiTheme="minorHAnsi" w:hAnsiTheme="minorHAnsi"/>
                <w:color w:val="000000"/>
                <w:szCs w:val="18"/>
              </w:rPr>
              <w:t>J</w:t>
            </w:r>
            <w:r w:rsidR="004D3B8A" w:rsidRPr="00DD6590">
              <w:rPr>
                <w:rFonts w:asciiTheme="minorHAnsi" w:hAnsiTheme="minorHAnsi"/>
                <w:color w:val="000000"/>
                <w:szCs w:val="18"/>
              </w:rPr>
              <w:t xml:space="preserve">e </w:t>
            </w:r>
            <w:r w:rsidR="001267CA">
              <w:rPr>
                <w:rFonts w:asciiTheme="minorHAnsi" w:hAnsiTheme="minorHAnsi"/>
                <w:color w:val="000000"/>
                <w:szCs w:val="18"/>
              </w:rPr>
              <w:t>však</w:t>
            </w:r>
            <w:r w:rsidR="001267CA" w:rsidRPr="00DD6590">
              <w:rPr>
                <w:rFonts w:asciiTheme="minorHAnsi" w:hAnsiTheme="minorHAnsi"/>
                <w:color w:val="000000"/>
                <w:szCs w:val="18"/>
              </w:rPr>
              <w:t xml:space="preserve"> </w:t>
            </w:r>
            <w:r w:rsidR="004D3B8A" w:rsidRPr="00DD6590">
              <w:rPr>
                <w:rFonts w:asciiTheme="minorHAnsi" w:hAnsiTheme="minorHAnsi"/>
                <w:color w:val="000000"/>
                <w:szCs w:val="18"/>
              </w:rPr>
              <w:t xml:space="preserve">potrebné </w:t>
            </w:r>
            <w:r w:rsidR="00F5299F" w:rsidRPr="00DD6590">
              <w:rPr>
                <w:rFonts w:asciiTheme="minorHAnsi" w:hAnsiTheme="minorHAnsi"/>
                <w:color w:val="000000"/>
                <w:szCs w:val="18"/>
              </w:rPr>
              <w:t>zabezpečiť</w:t>
            </w:r>
            <w:r w:rsidR="004D3B8A" w:rsidRPr="00DD6590">
              <w:rPr>
                <w:rFonts w:asciiTheme="minorHAnsi" w:hAnsiTheme="minorHAnsi"/>
                <w:color w:val="000000"/>
                <w:szCs w:val="18"/>
              </w:rPr>
              <w:t>, aby projekty boli</w:t>
            </w:r>
            <w:r w:rsidR="00F5299F" w:rsidRPr="00DD6590">
              <w:rPr>
                <w:rFonts w:asciiTheme="minorHAnsi" w:hAnsiTheme="minorHAnsi"/>
                <w:color w:val="000000"/>
                <w:szCs w:val="18"/>
              </w:rPr>
              <w:t xml:space="preserve"> včas pripravené na predloženie</w:t>
            </w:r>
            <w:r w:rsidR="00220492" w:rsidRPr="00DD6590">
              <w:rPr>
                <w:rFonts w:asciiTheme="minorHAnsi" w:hAnsiTheme="minorHAnsi"/>
                <w:color w:val="000000"/>
                <w:szCs w:val="18"/>
              </w:rPr>
              <w:t xml:space="preserve"> ŽoNFP</w:t>
            </w:r>
            <w:r w:rsidR="00F5299F" w:rsidRPr="00DD6590">
              <w:rPr>
                <w:rFonts w:asciiTheme="minorHAnsi" w:hAnsiTheme="minorHAnsi"/>
                <w:color w:val="000000"/>
                <w:szCs w:val="18"/>
              </w:rPr>
              <w:t xml:space="preserve"> a</w:t>
            </w:r>
            <w:r w:rsidR="004D3B8A" w:rsidRPr="00DD6590">
              <w:rPr>
                <w:rFonts w:asciiTheme="minorHAnsi" w:hAnsiTheme="minorHAnsi"/>
                <w:color w:val="000000"/>
                <w:szCs w:val="18"/>
              </w:rPr>
              <w:t xml:space="preserve"> zrealizované v tomto </w:t>
            </w:r>
            <w:r w:rsidR="004D3B8A" w:rsidRPr="00DD6590">
              <w:rPr>
                <w:rFonts w:asciiTheme="minorHAnsi" w:hAnsiTheme="minorHAnsi"/>
                <w:szCs w:val="18"/>
              </w:rPr>
              <w:t xml:space="preserve">programovom období. </w:t>
            </w:r>
            <w:r w:rsidR="00C82674" w:rsidRPr="00DD6590">
              <w:rPr>
                <w:rFonts w:asciiTheme="minorHAnsi" w:hAnsiTheme="minorHAnsi"/>
                <w:szCs w:val="18"/>
              </w:rPr>
              <w:t xml:space="preserve">Odporúčame </w:t>
            </w:r>
            <w:r w:rsidR="00713E1F" w:rsidRPr="00DD6590">
              <w:rPr>
                <w:rFonts w:asciiTheme="minorHAnsi" w:hAnsiTheme="minorHAnsi"/>
                <w:szCs w:val="18"/>
              </w:rPr>
              <w:t xml:space="preserve">vytvoriť pracovnú skupinu, </w:t>
            </w:r>
            <w:r w:rsidR="00713E1F" w:rsidRPr="00DD6590">
              <w:rPr>
                <w:rFonts w:asciiTheme="minorHAnsi" w:hAnsiTheme="minorHAnsi"/>
                <w:szCs w:val="18"/>
              </w:rPr>
              <w:lastRenderedPageBreak/>
              <w:t>ktorá by dohliada</w:t>
            </w:r>
            <w:r w:rsidR="005E65DB" w:rsidRPr="00DD6590">
              <w:rPr>
                <w:rFonts w:asciiTheme="minorHAnsi" w:hAnsiTheme="minorHAnsi"/>
                <w:szCs w:val="18"/>
              </w:rPr>
              <w:t>la</w:t>
            </w:r>
            <w:r w:rsidR="00713E1F" w:rsidRPr="00DD6590">
              <w:rPr>
                <w:rFonts w:asciiTheme="minorHAnsi" w:hAnsiTheme="minorHAnsi"/>
                <w:szCs w:val="18"/>
              </w:rPr>
              <w:t xml:space="preserve"> na dodržiavanie </w:t>
            </w:r>
            <w:r w:rsidR="005E65DB" w:rsidRPr="00DD6590">
              <w:rPr>
                <w:rFonts w:asciiTheme="minorHAnsi" w:hAnsiTheme="minorHAnsi"/>
                <w:szCs w:val="18"/>
              </w:rPr>
              <w:t>termínov</w:t>
            </w:r>
            <w:r w:rsidR="005E65DB" w:rsidRPr="00DD6590">
              <w:rPr>
                <w:rFonts w:asciiTheme="minorHAnsi" w:hAnsiTheme="minorHAnsi"/>
                <w:color w:val="000000"/>
                <w:szCs w:val="18"/>
              </w:rPr>
              <w:t xml:space="preserve"> </w:t>
            </w:r>
            <w:r w:rsidR="001267CA">
              <w:rPr>
                <w:rFonts w:asciiTheme="minorHAnsi" w:hAnsiTheme="minorHAnsi"/>
                <w:color w:val="000000"/>
                <w:szCs w:val="18"/>
              </w:rPr>
              <w:t>v</w:t>
            </w:r>
            <w:r w:rsidR="001267CA" w:rsidRPr="00DD6590">
              <w:rPr>
                <w:rFonts w:asciiTheme="minorHAnsi" w:hAnsiTheme="minorHAnsi"/>
                <w:color w:val="000000"/>
                <w:szCs w:val="18"/>
              </w:rPr>
              <w:t xml:space="preserve"> </w:t>
            </w:r>
            <w:r w:rsidR="000810F6" w:rsidRPr="00DD6590">
              <w:rPr>
                <w:rFonts w:asciiTheme="minorHAnsi" w:hAnsiTheme="minorHAnsi"/>
                <w:color w:val="000000"/>
                <w:szCs w:val="18"/>
              </w:rPr>
              <w:t>príprave projektov</w:t>
            </w:r>
            <w:r w:rsidR="00713E1F" w:rsidRPr="00DD6590">
              <w:rPr>
                <w:rFonts w:asciiTheme="minorHAnsi" w:hAnsiTheme="minorHAnsi"/>
                <w:color w:val="000000"/>
                <w:szCs w:val="18"/>
              </w:rPr>
              <w:t xml:space="preserve"> a v prípade potreby</w:t>
            </w:r>
            <w:r w:rsidR="000810F6" w:rsidRPr="00DD6590">
              <w:rPr>
                <w:rFonts w:asciiTheme="minorHAnsi" w:hAnsiTheme="minorHAnsi"/>
                <w:color w:val="000000"/>
                <w:szCs w:val="18"/>
              </w:rPr>
              <w:t xml:space="preserve"> aj </w:t>
            </w:r>
            <w:r w:rsidR="001267CA">
              <w:rPr>
                <w:rFonts w:asciiTheme="minorHAnsi" w:hAnsiTheme="minorHAnsi"/>
                <w:color w:val="000000"/>
                <w:szCs w:val="18"/>
              </w:rPr>
              <w:t xml:space="preserve">na </w:t>
            </w:r>
            <w:r w:rsidR="000810F6" w:rsidRPr="00DD6590">
              <w:rPr>
                <w:rFonts w:asciiTheme="minorHAnsi" w:hAnsiTheme="minorHAnsi"/>
                <w:color w:val="000000"/>
                <w:szCs w:val="18"/>
              </w:rPr>
              <w:t xml:space="preserve">krízové </w:t>
            </w:r>
            <w:r w:rsidR="00322F91" w:rsidRPr="00DD6590">
              <w:rPr>
                <w:rFonts w:asciiTheme="minorHAnsi" w:hAnsiTheme="minorHAnsi"/>
                <w:color w:val="000000"/>
                <w:szCs w:val="18"/>
              </w:rPr>
              <w:t xml:space="preserve">riadenie. </w:t>
            </w:r>
          </w:p>
          <w:p w14:paraId="62CA213A" w14:textId="77777777" w:rsidR="001E450C" w:rsidRPr="00DD6590" w:rsidRDefault="001E450C" w:rsidP="00195734">
            <w:pPr>
              <w:spacing w:before="60" w:after="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color w:val="000000"/>
                <w:szCs w:val="18"/>
              </w:rPr>
              <w:t xml:space="preserve">Na základe navýšenia alokácie a počtu projektov bude potrebné posilniť administratívne kapacity </w:t>
            </w:r>
            <w:r w:rsidR="00586F3E" w:rsidRPr="00DD6590">
              <w:rPr>
                <w:rFonts w:asciiTheme="minorHAnsi" w:hAnsiTheme="minorHAnsi"/>
                <w:color w:val="000000"/>
                <w:szCs w:val="18"/>
              </w:rPr>
              <w:t xml:space="preserve">prijímateľa a RO OPII </w:t>
            </w:r>
            <w:r w:rsidRPr="00DD6590">
              <w:rPr>
                <w:rFonts w:asciiTheme="minorHAnsi" w:hAnsiTheme="minorHAnsi"/>
                <w:color w:val="000000"/>
                <w:szCs w:val="18"/>
              </w:rPr>
              <w:t>a v súvislosti s tým aj presunúť finančné prostriedky z technickej pomoci z operačných programov, ktorým bol</w:t>
            </w:r>
            <w:r w:rsidR="00195734" w:rsidRPr="00DD6590">
              <w:rPr>
                <w:rFonts w:asciiTheme="minorHAnsi" w:hAnsiTheme="minorHAnsi"/>
                <w:color w:val="000000"/>
                <w:szCs w:val="18"/>
              </w:rPr>
              <w:t>a</w:t>
            </w:r>
            <w:r w:rsidRPr="00DD6590">
              <w:rPr>
                <w:rFonts w:asciiTheme="minorHAnsi" w:hAnsiTheme="minorHAnsi"/>
                <w:color w:val="000000"/>
                <w:szCs w:val="18"/>
              </w:rPr>
              <w:t xml:space="preserve"> odobrat</w:t>
            </w:r>
            <w:r w:rsidR="00195734" w:rsidRPr="00DD6590">
              <w:rPr>
                <w:rFonts w:asciiTheme="minorHAnsi" w:hAnsiTheme="minorHAnsi"/>
                <w:color w:val="000000"/>
                <w:szCs w:val="18"/>
              </w:rPr>
              <w:t>á</w:t>
            </w:r>
            <w:r w:rsidRPr="00DD6590">
              <w:rPr>
                <w:rFonts w:asciiTheme="minorHAnsi" w:hAnsiTheme="minorHAnsi"/>
                <w:color w:val="000000"/>
                <w:szCs w:val="18"/>
              </w:rPr>
              <w:t xml:space="preserve"> výkonnostná rezerva</w:t>
            </w:r>
            <w:r w:rsidR="00322F91" w:rsidRPr="00DD6590">
              <w:rPr>
                <w:rFonts w:asciiTheme="minorHAnsi" w:hAnsiTheme="minorHAnsi"/>
                <w:color w:val="000000"/>
                <w:szCs w:val="18"/>
              </w:rPr>
              <w:t>.</w:t>
            </w:r>
          </w:p>
        </w:tc>
      </w:tr>
      <w:tr w:rsidR="00F41009" w:rsidRPr="00DD6590" w14:paraId="5DFE3408" w14:textId="77777777" w:rsidTr="0019573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88" w:type="pct"/>
            <w:vAlign w:val="center"/>
          </w:tcPr>
          <w:p w14:paraId="1291F926" w14:textId="77777777" w:rsidR="00F41009" w:rsidRPr="00DD6590" w:rsidRDefault="00F41009" w:rsidP="00717D06">
            <w:pPr>
              <w:spacing w:before="60" w:after="0"/>
              <w:rPr>
                <w:rFonts w:asciiTheme="minorHAnsi" w:hAnsiTheme="minorHAnsi"/>
                <w:b w:val="0"/>
                <w:szCs w:val="18"/>
              </w:rPr>
            </w:pPr>
            <w:r w:rsidRPr="00DD6590">
              <w:rPr>
                <w:rFonts w:asciiTheme="minorHAnsi" w:hAnsiTheme="minorHAnsi"/>
                <w:b w:val="0"/>
                <w:szCs w:val="18"/>
              </w:rPr>
              <w:lastRenderedPageBreak/>
              <w:t xml:space="preserve">PO7: Informačná spoločnosť </w:t>
            </w:r>
          </w:p>
        </w:tc>
        <w:tc>
          <w:tcPr>
            <w:tcW w:w="606" w:type="pct"/>
            <w:gridSpan w:val="2"/>
            <w:vAlign w:val="center"/>
          </w:tcPr>
          <w:p w14:paraId="050FF2DC" w14:textId="77777777" w:rsidR="00F41009" w:rsidRPr="00DD6590" w:rsidRDefault="001142BC" w:rsidP="00717D06">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Áno</w:t>
            </w:r>
          </w:p>
        </w:tc>
        <w:tc>
          <w:tcPr>
            <w:tcW w:w="3606" w:type="pct"/>
            <w:gridSpan w:val="2"/>
            <w:vAlign w:val="center"/>
          </w:tcPr>
          <w:p w14:paraId="4FE4A369" w14:textId="77777777" w:rsidR="00263DAE" w:rsidRPr="00DD6590" w:rsidRDefault="00263DAE" w:rsidP="00717D06">
            <w:pPr>
              <w:spacing w:before="60" w:after="0"/>
              <w:cnfStyle w:val="000000100000" w:firstRow="0" w:lastRow="0" w:firstColumn="0" w:lastColumn="0" w:oddVBand="0" w:evenVBand="0" w:oddHBand="1" w:evenHBand="0" w:firstRowFirstColumn="0" w:firstRowLastColumn="0" w:lastRowFirstColumn="0" w:lastRowLastColumn="0"/>
            </w:pPr>
            <w:r w:rsidRPr="00DD6590">
              <w:t xml:space="preserve">V rámci prioritnej osi 7 je </w:t>
            </w:r>
            <w:r w:rsidR="0061057F" w:rsidRPr="00DD6590">
              <w:t xml:space="preserve">dostatočný </w:t>
            </w:r>
            <w:r w:rsidRPr="00DD6590">
              <w:t xml:space="preserve">počet plánovaných projektov, pričom plánované projekty prijímateľov presahujú voľnú alokáciu, ale vzhľadom </w:t>
            </w:r>
            <w:r w:rsidR="0061057F" w:rsidRPr="00DD6590">
              <w:t>na pr</w:t>
            </w:r>
            <w:r w:rsidR="009108CC" w:rsidRPr="00DD6590">
              <w:t>oblematické verejné obstarávanie</w:t>
            </w:r>
            <w:r w:rsidR="005C4CE4" w:rsidRPr="00DD6590">
              <w:t xml:space="preserve"> a pripravenosť projektov</w:t>
            </w:r>
            <w:r w:rsidR="0061057F" w:rsidRPr="00DD6590">
              <w:t xml:space="preserve"> </w:t>
            </w:r>
            <w:r w:rsidR="00322F91" w:rsidRPr="00DD6590">
              <w:t xml:space="preserve">odporúčame </w:t>
            </w:r>
            <w:r w:rsidR="009D28E0" w:rsidRPr="00DD6590">
              <w:t xml:space="preserve">podmieniť podpis ŽoNFP kompletnými súťažnými podmienkami, ktoré budú schválené RO OPII a ÚVO. </w:t>
            </w:r>
          </w:p>
          <w:p w14:paraId="115DC38C" w14:textId="77777777" w:rsidR="007F0629" w:rsidRDefault="00263DAE" w:rsidP="00321AE1">
            <w:pPr>
              <w:spacing w:before="60" w:after="0"/>
              <w:cnfStyle w:val="000000100000" w:firstRow="0" w:lastRow="0" w:firstColumn="0" w:lastColumn="0" w:oddVBand="0" w:evenVBand="0" w:oddHBand="1" w:evenHBand="0" w:firstRowFirstColumn="0" w:firstRowLastColumn="0" w:lastRowFirstColumn="0" w:lastRowLastColumn="0"/>
            </w:pPr>
            <w:r w:rsidRPr="00DD6590">
              <w:t xml:space="preserve">Vzhľadom </w:t>
            </w:r>
            <w:r w:rsidR="001267CA">
              <w:t>na</w:t>
            </w:r>
            <w:r w:rsidR="001267CA" w:rsidRPr="00DD6590">
              <w:t xml:space="preserve"> </w:t>
            </w:r>
            <w:r w:rsidRPr="00DD6590">
              <w:t xml:space="preserve">to, že ukazovatele vyhodnocované na základe štatistík </w:t>
            </w:r>
            <w:r w:rsidR="00BB393D" w:rsidRPr="00DD6590">
              <w:t>nie sú prepojené s </w:t>
            </w:r>
            <w:r w:rsidR="00E52F5C" w:rsidRPr="00DD6590">
              <w:t>projekt</w:t>
            </w:r>
            <w:r w:rsidR="00E52F5C">
              <w:t>ovými</w:t>
            </w:r>
            <w:r w:rsidR="00E52F5C" w:rsidRPr="00DD6590">
              <w:t xml:space="preserve"> </w:t>
            </w:r>
            <w:r w:rsidR="00BB393D" w:rsidRPr="00DD6590">
              <w:t xml:space="preserve">ukazovateľmi a všeobecne ukazovatele takmer vôbec nereflektujú ukazovatele stanovené pre PO7 </w:t>
            </w:r>
            <w:r w:rsidR="00321AE1" w:rsidRPr="00DD6590">
              <w:t>v OPII. O</w:t>
            </w:r>
            <w:r w:rsidR="00586F3E" w:rsidRPr="00DD6590">
              <w:t>dporúčame</w:t>
            </w:r>
            <w:r w:rsidR="007F0629">
              <w:t>:</w:t>
            </w:r>
            <w:r w:rsidR="00586F3E" w:rsidRPr="00DD6590">
              <w:t xml:space="preserve"> </w:t>
            </w:r>
          </w:p>
          <w:p w14:paraId="55238183" w14:textId="77777777" w:rsidR="007F0629" w:rsidRDefault="00586F3E" w:rsidP="007F0629">
            <w:pPr>
              <w:pStyle w:val="ListParagraph"/>
              <w:numPr>
                <w:ilvl w:val="0"/>
                <w:numId w:val="36"/>
              </w:numPr>
              <w:spacing w:before="60" w:after="0"/>
              <w:cnfStyle w:val="000000100000" w:firstRow="0" w:lastRow="0" w:firstColumn="0" w:lastColumn="0" w:oddVBand="0" w:evenVBand="0" w:oddHBand="1" w:evenHBand="0" w:firstRowFirstColumn="0" w:firstRowLastColumn="0" w:lastRowFirstColumn="0" w:lastRowLastColumn="0"/>
              <w:rPr>
                <w:rFonts w:eastAsia="Verdana"/>
                <w:szCs w:val="20"/>
                <w:lang w:eastAsia="cs-CZ"/>
              </w:rPr>
            </w:pPr>
            <w:r w:rsidRPr="007F0629">
              <w:rPr>
                <w:rFonts w:eastAsia="Verdana"/>
                <w:szCs w:val="20"/>
                <w:lang w:eastAsia="cs-CZ"/>
              </w:rPr>
              <w:t>prepojiť tieto ukazovatele</w:t>
            </w:r>
            <w:r w:rsidR="00321AE1" w:rsidRPr="007F0629">
              <w:rPr>
                <w:rFonts w:eastAsia="Verdana"/>
                <w:szCs w:val="20"/>
                <w:lang w:eastAsia="cs-CZ"/>
              </w:rPr>
              <w:t>,</w:t>
            </w:r>
          </w:p>
          <w:p w14:paraId="4E2C6C82" w14:textId="77777777" w:rsidR="007F0629" w:rsidRDefault="009D28E0" w:rsidP="007F0629">
            <w:pPr>
              <w:pStyle w:val="ListParagraph"/>
              <w:numPr>
                <w:ilvl w:val="0"/>
                <w:numId w:val="36"/>
              </w:numPr>
              <w:spacing w:before="60" w:after="0"/>
              <w:cnfStyle w:val="000000100000" w:firstRow="0" w:lastRow="0" w:firstColumn="0" w:lastColumn="0" w:oddVBand="0" w:evenVBand="0" w:oddHBand="1" w:evenHBand="0" w:firstRowFirstColumn="0" w:firstRowLastColumn="0" w:lastRowFirstColumn="0" w:lastRowLastColumn="0"/>
              <w:rPr>
                <w:rFonts w:eastAsia="Verdana"/>
                <w:szCs w:val="20"/>
                <w:lang w:eastAsia="cs-CZ"/>
              </w:rPr>
            </w:pPr>
            <w:r w:rsidRPr="007F0629">
              <w:rPr>
                <w:rFonts w:eastAsia="Verdana"/>
                <w:szCs w:val="20"/>
                <w:lang w:eastAsia="cs-CZ"/>
              </w:rPr>
              <w:t>stanoviť povinnosť zadávať ukazovatele do projektov vypracovať</w:t>
            </w:r>
          </w:p>
          <w:p w14:paraId="194BA2FA" w14:textId="77777777" w:rsidR="007F0629" w:rsidRDefault="009D28E0" w:rsidP="007F0629">
            <w:pPr>
              <w:pStyle w:val="ListParagraph"/>
              <w:numPr>
                <w:ilvl w:val="0"/>
                <w:numId w:val="36"/>
              </w:numPr>
              <w:spacing w:before="60" w:after="0"/>
              <w:cnfStyle w:val="000000100000" w:firstRow="0" w:lastRow="0" w:firstColumn="0" w:lastColumn="0" w:oddVBand="0" w:evenVBand="0" w:oddHBand="1" w:evenHBand="0" w:firstRowFirstColumn="0" w:firstRowLastColumn="0" w:lastRowFirstColumn="0" w:lastRowLastColumn="0"/>
              <w:rPr>
                <w:rFonts w:eastAsia="Verdana"/>
                <w:szCs w:val="20"/>
                <w:lang w:eastAsia="cs-CZ"/>
              </w:rPr>
            </w:pPr>
            <w:r w:rsidRPr="007F0629">
              <w:rPr>
                <w:rFonts w:eastAsia="Verdana"/>
                <w:szCs w:val="20"/>
                <w:lang w:eastAsia="cs-CZ"/>
              </w:rPr>
              <w:t>metodiku prepočtu projektových ukazovateľov na ukazovatele stanovené pre OPII a </w:t>
            </w:r>
          </w:p>
          <w:p w14:paraId="05B80BF1" w14:textId="77777777" w:rsidR="007F0629" w:rsidRDefault="009D28E0" w:rsidP="007F0629">
            <w:pPr>
              <w:pStyle w:val="ListParagraph"/>
              <w:numPr>
                <w:ilvl w:val="0"/>
                <w:numId w:val="36"/>
              </w:numPr>
              <w:spacing w:before="60" w:after="0"/>
              <w:cnfStyle w:val="000000100000" w:firstRow="0" w:lastRow="0" w:firstColumn="0" w:lastColumn="0" w:oddVBand="0" w:evenVBand="0" w:oddHBand="1" w:evenHBand="0" w:firstRowFirstColumn="0" w:firstRowLastColumn="0" w:lastRowFirstColumn="0" w:lastRowLastColumn="0"/>
              <w:rPr>
                <w:rFonts w:eastAsia="Verdana"/>
                <w:szCs w:val="20"/>
                <w:lang w:eastAsia="cs-CZ"/>
              </w:rPr>
            </w:pPr>
            <w:r w:rsidRPr="007F0629">
              <w:rPr>
                <w:rFonts w:eastAsia="Verdana"/>
                <w:szCs w:val="20"/>
                <w:lang w:eastAsia="cs-CZ"/>
              </w:rPr>
              <w:t>následne vypracovať nový číselník merateľných ukazovateľov.</w:t>
            </w:r>
          </w:p>
          <w:p w14:paraId="00AEDC18" w14:textId="59478CF8" w:rsidR="00263DAE" w:rsidRPr="007F0629" w:rsidRDefault="009D28E0" w:rsidP="007F0629">
            <w:pPr>
              <w:spacing w:before="60" w:after="0"/>
              <w:cnfStyle w:val="000000100000" w:firstRow="0" w:lastRow="0" w:firstColumn="0" w:lastColumn="0" w:oddVBand="0" w:evenVBand="0" w:oddHBand="1" w:evenHBand="0" w:firstRowFirstColumn="0" w:firstRowLastColumn="0" w:lastRowFirstColumn="0" w:lastRowLastColumn="0"/>
            </w:pPr>
            <w:r w:rsidRPr="007F0629">
              <w:t xml:space="preserve"> </w:t>
            </w:r>
            <w:r w:rsidR="004E0A2C" w:rsidRPr="007F0629">
              <w:t xml:space="preserve">Ukazovatele PO7 je potrebné nastaviť tak, aby jasným spôsobom reflektovali jednotlivé aktivity v projekte a jasne prispievali k tvorbe ukazovateľov na úrovni </w:t>
            </w:r>
            <w:r w:rsidR="008476FF" w:rsidRPr="007F0629">
              <w:t>programu.</w:t>
            </w:r>
            <w:r w:rsidR="004E0A2C" w:rsidRPr="007F0629">
              <w:t xml:space="preserve"> V rámci metodiky odporúčame vypracovať </w:t>
            </w:r>
            <w:r w:rsidR="00321AE1" w:rsidRPr="007F0629">
              <w:t xml:space="preserve">aj </w:t>
            </w:r>
            <w:r w:rsidR="004E0A2C" w:rsidRPr="007F0629">
              <w:t>maticu prepojenia a definície jednotlivých ukazovateľov na úrovni projektu a programu.</w:t>
            </w:r>
          </w:p>
          <w:p w14:paraId="4F3E3965" w14:textId="77777777" w:rsidR="00F41009" w:rsidRPr="00DD6590" w:rsidRDefault="00321AE1" w:rsidP="00586F3E">
            <w:pPr>
              <w:spacing w:before="60" w:after="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Pri</w:t>
            </w:r>
            <w:r w:rsidR="00263DAE" w:rsidRPr="00DD6590">
              <w:rPr>
                <w:rFonts w:asciiTheme="minorHAnsi" w:hAnsiTheme="minorHAnsi"/>
                <w:szCs w:val="18"/>
              </w:rPr>
              <w:t xml:space="preserve"> </w:t>
            </w:r>
            <w:r w:rsidRPr="00DD6590">
              <w:rPr>
                <w:rFonts w:asciiTheme="minorHAnsi" w:hAnsiTheme="minorHAnsi"/>
                <w:szCs w:val="18"/>
              </w:rPr>
              <w:t xml:space="preserve">kontrahovaní nových projektov </w:t>
            </w:r>
            <w:r w:rsidR="00263DAE" w:rsidRPr="00DD6590">
              <w:rPr>
                <w:rFonts w:asciiTheme="minorHAnsi" w:hAnsiTheme="minorHAnsi"/>
                <w:szCs w:val="18"/>
              </w:rPr>
              <w:t>odporúčame zamerať sa najmä na projekty, ktoré prispejú k naplneniu ukazovateľov výkonnostného rámca</w:t>
            </w:r>
            <w:r w:rsidR="00A830B5" w:rsidRPr="00DD6590">
              <w:rPr>
                <w:rFonts w:asciiTheme="minorHAnsi" w:hAnsiTheme="minorHAnsi"/>
                <w:szCs w:val="18"/>
              </w:rPr>
              <w:t xml:space="preserve"> </w:t>
            </w:r>
            <w:r w:rsidR="00586F3E" w:rsidRPr="00DD6590">
              <w:rPr>
                <w:rFonts w:asciiTheme="minorHAnsi" w:hAnsiTheme="minorHAnsi"/>
                <w:szCs w:val="18"/>
              </w:rPr>
              <w:t>a majú pripravené súťažné podklady k verejnému obstarávaniu</w:t>
            </w:r>
            <w:r w:rsidR="00263DAE" w:rsidRPr="00DD6590">
              <w:rPr>
                <w:rFonts w:asciiTheme="minorHAnsi" w:hAnsiTheme="minorHAnsi"/>
                <w:szCs w:val="18"/>
              </w:rPr>
              <w:t xml:space="preserve">. </w:t>
            </w:r>
          </w:p>
          <w:p w14:paraId="212CA5C5" w14:textId="77777777" w:rsidR="009D28E0" w:rsidRPr="00DD6590" w:rsidRDefault="001D4B22" w:rsidP="009D28E0">
            <w:pPr>
              <w:spacing w:before="60" w:after="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Vzhľadom na nedostatky</w:t>
            </w:r>
            <w:r w:rsidR="005C4CE4" w:rsidRPr="00DD6590">
              <w:rPr>
                <w:rFonts w:asciiTheme="minorHAnsi" w:hAnsiTheme="minorHAnsi"/>
                <w:szCs w:val="18"/>
              </w:rPr>
              <w:t xml:space="preserve"> a pripravenosť projektov</w:t>
            </w:r>
            <w:r w:rsidRPr="00DD6590">
              <w:rPr>
                <w:rFonts w:asciiTheme="minorHAnsi" w:hAnsiTheme="minorHAnsi"/>
                <w:szCs w:val="18"/>
              </w:rPr>
              <w:t xml:space="preserve"> </w:t>
            </w:r>
            <w:r w:rsidR="007B0CF2" w:rsidRPr="00DD6590">
              <w:rPr>
                <w:rFonts w:asciiTheme="minorHAnsi" w:hAnsiTheme="minorHAnsi"/>
                <w:szCs w:val="18"/>
              </w:rPr>
              <w:t xml:space="preserve">odporúčame vypracovať </w:t>
            </w:r>
            <w:r w:rsidR="00F12904" w:rsidRPr="00DD6590">
              <w:rPr>
                <w:rFonts w:asciiTheme="minorHAnsi" w:hAnsiTheme="minorHAnsi"/>
                <w:szCs w:val="18"/>
              </w:rPr>
              <w:t>akčný</w:t>
            </w:r>
            <w:r w:rsidR="005676F0" w:rsidRPr="00DD6590">
              <w:rPr>
                <w:rFonts w:asciiTheme="minorHAnsi" w:hAnsiTheme="minorHAnsi"/>
                <w:szCs w:val="18"/>
              </w:rPr>
              <w:t xml:space="preserve"> </w:t>
            </w:r>
            <w:r w:rsidR="000B1D31" w:rsidRPr="00DD6590">
              <w:rPr>
                <w:rFonts w:asciiTheme="minorHAnsi" w:hAnsiTheme="minorHAnsi"/>
                <w:szCs w:val="18"/>
              </w:rPr>
              <w:t>plán implementácie projektov</w:t>
            </w:r>
            <w:r w:rsidR="003C65FF" w:rsidRPr="00DD6590">
              <w:rPr>
                <w:rFonts w:asciiTheme="minorHAnsi" w:hAnsiTheme="minorHAnsi"/>
                <w:szCs w:val="18"/>
              </w:rPr>
              <w:t xml:space="preserve">, </w:t>
            </w:r>
            <w:r w:rsidR="00F12904" w:rsidRPr="00DD6590">
              <w:rPr>
                <w:szCs w:val="18"/>
              </w:rPr>
              <w:t xml:space="preserve">ktorý povedie k posunu implementácie kľúčových projektov smerujúcich k naplneniu cieľov OPII. </w:t>
            </w:r>
            <w:r w:rsidR="009D28E0" w:rsidRPr="00DD6590">
              <w:rPr>
                <w:szCs w:val="18"/>
              </w:rPr>
              <w:t>V prípade ak nebudú splnené ciele stanovené akčným plánom v stanovenom termíne, bude potrebné iniciovať presun voľných finančných prostriedkov z PO7 do PO6</w:t>
            </w:r>
            <w:r w:rsidR="009D28E0">
              <w:rPr>
                <w:szCs w:val="18"/>
              </w:rPr>
              <w:t>, resp. do novej prioritnej osi</w:t>
            </w:r>
            <w:r w:rsidR="009D28E0" w:rsidRPr="00DD6590">
              <w:rPr>
                <w:rFonts w:asciiTheme="minorHAnsi" w:hAnsiTheme="minorHAnsi"/>
                <w:szCs w:val="18"/>
              </w:rPr>
              <w:t>.</w:t>
            </w:r>
          </w:p>
          <w:p w14:paraId="48E03FD9" w14:textId="28F7F690" w:rsidR="00E6082C" w:rsidRPr="00DD6590" w:rsidRDefault="00F10582" w:rsidP="00F10582">
            <w:pPr>
              <w:spacing w:before="60" w:after="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F10582">
              <w:t>Monitorovať progres plnenia opatrení, ktoré budú definované v akčnom pláne vypracovanom pre PO7 v rámci pravidelných stretnutí RO a SO OPII.</w:t>
            </w:r>
            <w:r w:rsidR="009D28E0" w:rsidRPr="00DD6590">
              <w:t xml:space="preserve">. </w:t>
            </w:r>
            <w:r w:rsidR="007F0629">
              <w:t xml:space="preserve">Na základe zistení </w:t>
            </w:r>
            <w:r>
              <w:t xml:space="preserve">odporúčame </w:t>
            </w:r>
            <w:r w:rsidR="007F0629">
              <w:t>v</w:t>
            </w:r>
            <w:r w:rsidR="009D28E0" w:rsidRPr="00DD6590">
              <w:t>ykonať kontrolu úloh vykonávaných sprostredkovateľským orgánom a upraviť riadiacu dokumentáciu PO7.</w:t>
            </w:r>
          </w:p>
        </w:tc>
      </w:tr>
    </w:tbl>
    <w:p w14:paraId="7C1F0CB1" w14:textId="77777777" w:rsidR="00DC7AC4" w:rsidRPr="00DD6590" w:rsidRDefault="00DC7AC4" w:rsidP="00255B0C">
      <w:pPr>
        <w:pStyle w:val="Heading1"/>
      </w:pPr>
      <w:bookmarkStart w:id="50" w:name="_Toc10709720"/>
      <w:r w:rsidRPr="00DD6590">
        <w:t>Hodnotiaca otázka 2</w:t>
      </w:r>
      <w:bookmarkEnd w:id="50"/>
    </w:p>
    <w:p w14:paraId="4E36D0D2" w14:textId="77777777" w:rsidR="00F41009" w:rsidRPr="00DD6590" w:rsidRDefault="00F41009" w:rsidP="00DC7AC4">
      <w:pPr>
        <w:rPr>
          <w:b/>
        </w:rPr>
      </w:pPr>
      <w:r w:rsidRPr="00DD6590">
        <w:rPr>
          <w:b/>
        </w:rPr>
        <w:t>Existuje riziko na úrovni Kohézneho fondu (ďalej „KF“) a Európskeho fondu regionálneho rozvoja (ďalej „EFRR“), že nebudú splnené minimálne sumy čerpania finančných prostriedkov EÚ, ktoré boli stanovené pre OPII v súlade s pravidlom n + 3?</w:t>
      </w:r>
    </w:p>
    <w:p w14:paraId="27F5DF22" w14:textId="77777777" w:rsidR="00322F91" w:rsidRPr="00DD6590" w:rsidRDefault="00322F91" w:rsidP="00322F91">
      <w:r w:rsidRPr="00DD6590">
        <w:t xml:space="preserve">Čerpanie finančných prostriedkov finančných záväzkov na roky 2014 – 2020 pre všetky programy SR je možné podľa pravidla </w:t>
      </w:r>
      <w:r w:rsidR="00E52545">
        <w:t>„</w:t>
      </w:r>
      <w:r w:rsidRPr="00DD6590">
        <w:t>n</w:t>
      </w:r>
      <w:r w:rsidR="00E52545">
        <w:t xml:space="preserve"> </w:t>
      </w:r>
      <w:r w:rsidRPr="00DD6590">
        <w:t>+</w:t>
      </w:r>
      <w:r w:rsidR="00E52545">
        <w:t xml:space="preserve"> </w:t>
      </w:r>
      <w:r w:rsidRPr="00DD6590">
        <w:t>3</w:t>
      </w:r>
      <w:r w:rsidR="00E52545">
        <w:t>“</w:t>
      </w:r>
      <w:r w:rsidRPr="00DD6590">
        <w:t xml:space="preserve"> do troch rokov od ich prijatia. Európska komisia automaticky zruší každú časť finančného záväzku, ktorá nebola využitá z počiatočnej zálohovej platby a ročných záloh, alebo na </w:t>
      </w:r>
      <w:r w:rsidR="00E52545" w:rsidRPr="00DD6590">
        <w:t>ktor</w:t>
      </w:r>
      <w:r w:rsidR="00E52545">
        <w:t>ú</w:t>
      </w:r>
      <w:r w:rsidR="00E52545" w:rsidRPr="00DD6590">
        <w:t xml:space="preserve"> </w:t>
      </w:r>
      <w:r w:rsidRPr="00DD6590">
        <w:t xml:space="preserve">neprijala od certifikačného orgánu žiadosť o platbu v potrebnej výške oprávnených výdavkov do 31. decembra tretieho roka, ktorý nasleduje po roku prijatia finančného záväzku. </w:t>
      </w:r>
    </w:p>
    <w:p w14:paraId="1E7DE2D6" w14:textId="77777777" w:rsidR="00AA6542" w:rsidRPr="00DD6590" w:rsidRDefault="00954DA2" w:rsidP="00AA6542">
      <w:r w:rsidRPr="00DD6590">
        <w:lastRenderedPageBreak/>
        <w:t xml:space="preserve">V súčasnosti vzhľadom na výkonnosť existuje len </w:t>
      </w:r>
      <w:r w:rsidR="00B515B7" w:rsidRPr="00DD6590">
        <w:t>malé riziko nenaplnenia pravidla n</w:t>
      </w:r>
      <w:r w:rsidR="00E52545">
        <w:t xml:space="preserve"> </w:t>
      </w:r>
      <w:r w:rsidR="00B515B7" w:rsidRPr="00DD6590">
        <w:t>+</w:t>
      </w:r>
      <w:r w:rsidR="00E52545">
        <w:t xml:space="preserve"> </w:t>
      </w:r>
      <w:r w:rsidR="00B515B7" w:rsidRPr="00DD6590">
        <w:t>3</w:t>
      </w:r>
      <w:r w:rsidRPr="00DD6590">
        <w:t xml:space="preserve">. </w:t>
      </w:r>
      <w:r w:rsidR="00B515B7" w:rsidRPr="00DD6590">
        <w:t>V rámci OPII sú r</w:t>
      </w:r>
      <w:r w:rsidR="008841C9" w:rsidRPr="00DD6590">
        <w:t>izikovými</w:t>
      </w:r>
      <w:r w:rsidR="00B515B7" w:rsidRPr="00DD6590">
        <w:t xml:space="preserve"> prioritnými osami</w:t>
      </w:r>
      <w:r w:rsidR="008841C9" w:rsidRPr="00DD6590">
        <w:t xml:space="preserve"> najmä prioritné osi 4</w:t>
      </w:r>
      <w:r w:rsidR="00322F91" w:rsidRPr="00DD6590">
        <w:t>, 5</w:t>
      </w:r>
      <w:r w:rsidR="008841C9" w:rsidRPr="00DD6590">
        <w:t xml:space="preserve"> a</w:t>
      </w:r>
      <w:r w:rsidR="00322F91" w:rsidRPr="00DD6590">
        <w:t> </w:t>
      </w:r>
      <w:r w:rsidR="008841C9" w:rsidRPr="00DD6590">
        <w:t>7</w:t>
      </w:r>
      <w:r w:rsidR="00322F91" w:rsidRPr="00DD6590">
        <w:t>, pri ktorých nebol splnený ani cieľ pre rok 2018</w:t>
      </w:r>
      <w:r w:rsidR="008841C9" w:rsidRPr="00DD6590">
        <w:t xml:space="preserve">. </w:t>
      </w:r>
    </w:p>
    <w:p w14:paraId="5E73EA28" w14:textId="77777777" w:rsidR="00717D06" w:rsidRPr="00DD6590" w:rsidRDefault="00717D06" w:rsidP="00717D06">
      <w:r w:rsidRPr="00DD6590">
        <w:t xml:space="preserve">V praxi to znamená, že na účely vyhnutia sa automatickému zrušeniu časti finančného záväzku pre rok </w:t>
      </w:r>
      <w:r w:rsidR="00E52545">
        <w:t>„</w:t>
      </w:r>
      <w:r w:rsidRPr="00DD6590">
        <w:t>n</w:t>
      </w:r>
      <w:r w:rsidR="00E52545">
        <w:t>“</w:t>
      </w:r>
      <w:r w:rsidRPr="00DD6590">
        <w:t xml:space="preserve"> na daný program:</w:t>
      </w:r>
    </w:p>
    <w:p w14:paraId="1FEAE623" w14:textId="77777777" w:rsidR="00717D06" w:rsidRPr="00DD6590" w:rsidRDefault="00717D06" w:rsidP="003E761D">
      <w:pPr>
        <w:pStyle w:val="ListParagraph"/>
        <w:numPr>
          <w:ilvl w:val="0"/>
          <w:numId w:val="79"/>
        </w:numPr>
        <w:ind w:left="540" w:hanging="450"/>
      </w:pPr>
      <w:r w:rsidRPr="00DD6590">
        <w:t xml:space="preserve">je potrebné, aby certifikačný orgán predložil Európskej komisii žiadosť o platbu spolu s výkazom výdavkov najneskôr do 31. decembra roku </w:t>
      </w:r>
      <w:r w:rsidR="00E52545">
        <w:t>„</w:t>
      </w:r>
      <w:r w:rsidRPr="00DD6590">
        <w:t>n</w:t>
      </w:r>
      <w:r w:rsidR="00E52545">
        <w:t xml:space="preserve"> </w:t>
      </w:r>
      <w:r w:rsidRPr="00DD6590">
        <w:t>+</w:t>
      </w:r>
      <w:r w:rsidR="00E52545">
        <w:t xml:space="preserve"> </w:t>
      </w:r>
      <w:r w:rsidRPr="00DD6590">
        <w:t>3</w:t>
      </w:r>
      <w:r w:rsidR="00E52545">
        <w:t>“,</w:t>
      </w:r>
    </w:p>
    <w:p w14:paraId="118B8BE2" w14:textId="77777777" w:rsidR="00717D06" w:rsidRPr="00DD6590" w:rsidRDefault="00717D06" w:rsidP="003E761D">
      <w:pPr>
        <w:pStyle w:val="ListParagraph"/>
        <w:numPr>
          <w:ilvl w:val="0"/>
          <w:numId w:val="79"/>
        </w:numPr>
        <w:ind w:left="540" w:hanging="450"/>
      </w:pPr>
      <w:r w:rsidRPr="00DD6590">
        <w:t>výkaz výdavkov predkladaný Európskej komisii musí zodpovedať výdavkom skutočne realizovaným prijímateľmi, tzn. že tieto výdavky musia byť najneskôr do tohto dátumu schválené na všetkých úrovniach v rámci systému informačných a finančných tokov.</w:t>
      </w:r>
    </w:p>
    <w:p w14:paraId="3182154D" w14:textId="77777777" w:rsidR="00906283" w:rsidRPr="00DD6590" w:rsidRDefault="00906283" w:rsidP="00E9198A">
      <w:r w:rsidRPr="00DD6590">
        <w:t>Výnimkou vo vzťahu k čerpaniu finančného záväzku je prvý finančný záväzok roku 2014, ktorý je znížený o celkovú sumu poskytnutej počiatočnej zálohovej platby Európskou komisiou a finančný záväzok pre rok 2020 (zvýšený o celkovú sumu poskytnutej počiatočnej zálohovej platby Európskou komisiou podľa čl. 134 nariadenia Európskeho parlamentu a Rady (EÚ) č. 1303/2013), na ktorý je potrebné požiadať Európsku komisiu o platbu najneskôr do 31. júla 2024 formou záverečnej priebežnej žiadosti o platbu za posledný účtovný rok a zároveň do 15. februára 2025 zaslať záverečnú dokumentáciu podľa čl. 141 nariadenia Európskeho parlamentu a Rady (EÚ) č. 1303/2013. Obdobná výnimka pre finančný záväzok pre rok 2020 platí aj pre finančné záväzky týkajúce sa výkonnostnej rezervy, ktorých výška sa pripočítava k finančnému záväzku pre rok 2020. Zároveň vo vzťahu k čerpaniu ročných finančných záväzkov sa zohľadňujú aj ročné zálohy poskytnuté Európskou komisiou v rámci rokov 2016 až 2023.</w:t>
      </w:r>
    </w:p>
    <w:p w14:paraId="6677E74A" w14:textId="77777777" w:rsidR="00B515B7" w:rsidRPr="00DD6590" w:rsidRDefault="00B515B7" w:rsidP="00AA6542">
      <w:r w:rsidRPr="00DD6590">
        <w:t>Zhodnotenie napĺňania finančného plánu je uvedené v </w:t>
      </w:r>
      <w:r w:rsidR="008476FF">
        <w:t>nasledujúcej</w:t>
      </w:r>
      <w:r w:rsidR="008476FF" w:rsidRPr="00DD6590">
        <w:t xml:space="preserve"> </w:t>
      </w:r>
      <w:r w:rsidRPr="00DD6590">
        <w:t>tabuľke:</w:t>
      </w:r>
    </w:p>
    <w:p w14:paraId="20F0E431" w14:textId="4B83B4B3" w:rsidR="009B2B48" w:rsidRPr="00DD6590" w:rsidRDefault="009B2B48" w:rsidP="00A830B5">
      <w:pPr>
        <w:pStyle w:val="Caption"/>
        <w:spacing w:before="60" w:after="0"/>
      </w:pPr>
      <w:bookmarkStart w:id="51" w:name="_Toc9855880"/>
      <w:r w:rsidRPr="00DD6590">
        <w:t xml:space="preserve">Tabuľka </w:t>
      </w:r>
      <w:r w:rsidRPr="00DD6590">
        <w:fldChar w:fldCharType="begin"/>
      </w:r>
      <w:r w:rsidRPr="00DD6590">
        <w:instrText xml:space="preserve"> SEQ Tabuľka \* ARABIC </w:instrText>
      </w:r>
      <w:r w:rsidRPr="00DD6590">
        <w:fldChar w:fldCharType="separate"/>
      </w:r>
      <w:r w:rsidR="00DC3C97">
        <w:rPr>
          <w:noProof/>
        </w:rPr>
        <w:t>3</w:t>
      </w:r>
      <w:r w:rsidRPr="00DD6590">
        <w:fldChar w:fldCharType="end"/>
      </w:r>
      <w:r w:rsidRPr="00DD6590">
        <w:t xml:space="preserve"> Porovnanie certifikovaných výdavkov a finančných záväzkov</w:t>
      </w:r>
      <w:bookmarkEnd w:id="51"/>
    </w:p>
    <w:tbl>
      <w:tblPr>
        <w:tblStyle w:val="Svetlzoznamzvraznenie11"/>
        <w:tblpPr w:leftFromText="141" w:rightFromText="141" w:vertAnchor="text" w:horzAnchor="margin" w:tblpY="252"/>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1894"/>
        <w:gridCol w:w="2107"/>
        <w:gridCol w:w="1835"/>
        <w:gridCol w:w="2107"/>
      </w:tblGrid>
      <w:tr w:rsidR="00E9198A" w:rsidRPr="00DD6590" w14:paraId="05FE306F" w14:textId="77777777" w:rsidTr="009B2B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4" w:type="pct"/>
            <w:vMerge w:val="restart"/>
            <w:tcBorders>
              <w:top w:val="single" w:sz="4" w:space="0" w:color="86BC25" w:themeColor="accent1"/>
              <w:left w:val="single" w:sz="4" w:space="0" w:color="86BC25" w:themeColor="accent1"/>
              <w:right w:val="single" w:sz="4" w:space="0" w:color="86BC25" w:themeColor="accent1"/>
            </w:tcBorders>
            <w:vAlign w:val="center"/>
          </w:tcPr>
          <w:p w14:paraId="546EEB44" w14:textId="77777777" w:rsidR="00E9198A" w:rsidRPr="00DD6590" w:rsidRDefault="00E9198A" w:rsidP="00A830B5">
            <w:pPr>
              <w:spacing w:before="60" w:after="0"/>
              <w:rPr>
                <w:rFonts w:asciiTheme="minorHAnsi" w:hAnsiTheme="minorHAnsi"/>
                <w:sz w:val="16"/>
                <w:szCs w:val="16"/>
              </w:rPr>
            </w:pPr>
            <w:r w:rsidRPr="00DD6590">
              <w:rPr>
                <w:rFonts w:asciiTheme="minorHAnsi" w:hAnsiTheme="minorHAnsi"/>
                <w:sz w:val="16"/>
                <w:szCs w:val="16"/>
              </w:rPr>
              <w:t xml:space="preserve">Fond </w:t>
            </w:r>
          </w:p>
        </w:tc>
        <w:tc>
          <w:tcPr>
            <w:tcW w:w="2138"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E4463C6" w14:textId="77777777" w:rsidR="00E9198A" w:rsidRPr="00DD6590" w:rsidRDefault="00E9198A" w:rsidP="00A830B5">
            <w:pPr>
              <w:spacing w:before="6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2014</w:t>
            </w:r>
          </w:p>
        </w:tc>
        <w:tc>
          <w:tcPr>
            <w:tcW w:w="2107"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60B47520" w14:textId="77777777" w:rsidR="00E9198A" w:rsidRPr="00DD6590" w:rsidRDefault="00E9198A" w:rsidP="00A830B5">
            <w:pPr>
              <w:spacing w:before="6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2015</w:t>
            </w:r>
          </w:p>
        </w:tc>
      </w:tr>
      <w:tr w:rsidR="00E9198A" w:rsidRPr="00DD6590" w14:paraId="70C6C3C3" w14:textId="77777777" w:rsidTr="009B2B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4" w:type="pct"/>
            <w:vMerge/>
            <w:tcBorders>
              <w:left w:val="single" w:sz="4" w:space="0" w:color="86BC25" w:themeColor="accent1"/>
              <w:right w:val="single" w:sz="4" w:space="0" w:color="86BC25" w:themeColor="accent1"/>
            </w:tcBorders>
            <w:vAlign w:val="center"/>
          </w:tcPr>
          <w:p w14:paraId="0394C3B5" w14:textId="77777777" w:rsidR="00E9198A" w:rsidRPr="00DD6590" w:rsidRDefault="00E9198A" w:rsidP="009B2B48">
            <w:pPr>
              <w:spacing w:before="60" w:after="0"/>
              <w:rPr>
                <w:rFonts w:asciiTheme="minorHAnsi" w:hAnsiTheme="minorHAnsi"/>
                <w:sz w:val="16"/>
                <w:szCs w:val="16"/>
              </w:rPr>
            </w:pPr>
          </w:p>
        </w:tc>
        <w:tc>
          <w:tcPr>
            <w:tcW w:w="1012" w:type="pct"/>
            <w:tcBorders>
              <w:top w:val="single" w:sz="4" w:space="0" w:color="86BC25" w:themeColor="accent1"/>
              <w:left w:val="single" w:sz="4" w:space="0" w:color="86BC25" w:themeColor="accent1"/>
              <w:right w:val="single" w:sz="4" w:space="0" w:color="86BC25" w:themeColor="accent1"/>
            </w:tcBorders>
            <w:shd w:val="clear" w:color="auto" w:fill="86BC25" w:themeFill="accent1"/>
            <w:vAlign w:val="center"/>
          </w:tcPr>
          <w:p w14:paraId="7D249EC3" w14:textId="77777777" w:rsidR="00E9198A" w:rsidRPr="00DD6590" w:rsidRDefault="00E9198A" w:rsidP="009B2B48">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6"/>
                <w:szCs w:val="16"/>
              </w:rPr>
            </w:pPr>
            <w:r w:rsidRPr="00DD6590">
              <w:rPr>
                <w:rFonts w:asciiTheme="minorHAnsi" w:hAnsiTheme="minorHAnsi"/>
                <w:b/>
                <w:color w:val="FFFFFF" w:themeColor="background1"/>
                <w:sz w:val="16"/>
                <w:szCs w:val="16"/>
              </w:rPr>
              <w:t>Hlavná alokácia</w:t>
            </w:r>
          </w:p>
        </w:tc>
        <w:tc>
          <w:tcPr>
            <w:tcW w:w="1126" w:type="pct"/>
            <w:tcBorders>
              <w:top w:val="single" w:sz="4" w:space="0" w:color="86BC25" w:themeColor="accent1"/>
              <w:left w:val="single" w:sz="4" w:space="0" w:color="86BC25" w:themeColor="accent1"/>
              <w:right w:val="single" w:sz="4" w:space="0" w:color="86BC25" w:themeColor="accent1"/>
            </w:tcBorders>
            <w:shd w:val="clear" w:color="auto" w:fill="86BC25" w:themeFill="accent1"/>
            <w:vAlign w:val="center"/>
          </w:tcPr>
          <w:p w14:paraId="00EB9EE5" w14:textId="77777777" w:rsidR="00E9198A" w:rsidRPr="00DD6590" w:rsidRDefault="00E9198A" w:rsidP="009B2B48">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6"/>
                <w:szCs w:val="16"/>
              </w:rPr>
            </w:pPr>
            <w:r w:rsidRPr="00DD6590">
              <w:rPr>
                <w:rFonts w:asciiTheme="minorHAnsi" w:hAnsiTheme="minorHAnsi"/>
                <w:b/>
                <w:color w:val="FFFFFF" w:themeColor="background1"/>
                <w:sz w:val="16"/>
                <w:szCs w:val="16"/>
              </w:rPr>
              <w:t>Výkonnostná rezerva</w:t>
            </w:r>
          </w:p>
        </w:tc>
        <w:tc>
          <w:tcPr>
            <w:tcW w:w="981" w:type="pct"/>
            <w:tcBorders>
              <w:top w:val="single" w:sz="4" w:space="0" w:color="86BC25" w:themeColor="accent1"/>
              <w:left w:val="single" w:sz="4" w:space="0" w:color="86BC25" w:themeColor="accent1"/>
              <w:right w:val="single" w:sz="4" w:space="0" w:color="86BC25" w:themeColor="accent1"/>
            </w:tcBorders>
            <w:shd w:val="clear" w:color="auto" w:fill="86BC25" w:themeFill="accent1"/>
            <w:vAlign w:val="center"/>
          </w:tcPr>
          <w:p w14:paraId="6A3B7B00" w14:textId="77777777" w:rsidR="00E9198A" w:rsidRPr="00DD6590" w:rsidRDefault="00E9198A" w:rsidP="009B2B48">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6"/>
                <w:szCs w:val="16"/>
              </w:rPr>
            </w:pPr>
            <w:r w:rsidRPr="00DD6590">
              <w:rPr>
                <w:rFonts w:asciiTheme="minorHAnsi" w:hAnsiTheme="minorHAnsi"/>
                <w:b/>
                <w:color w:val="FFFFFF" w:themeColor="background1"/>
                <w:sz w:val="16"/>
                <w:szCs w:val="16"/>
              </w:rPr>
              <w:t>Hlavná alokácia</w:t>
            </w:r>
          </w:p>
        </w:tc>
        <w:tc>
          <w:tcPr>
            <w:tcW w:w="1126" w:type="pct"/>
            <w:tcBorders>
              <w:top w:val="single" w:sz="4" w:space="0" w:color="86BC25" w:themeColor="accent1"/>
              <w:left w:val="single" w:sz="4" w:space="0" w:color="86BC25" w:themeColor="accent1"/>
              <w:right w:val="single" w:sz="4" w:space="0" w:color="86BC25" w:themeColor="accent1"/>
            </w:tcBorders>
            <w:shd w:val="clear" w:color="auto" w:fill="86BC25" w:themeFill="accent1"/>
            <w:vAlign w:val="center"/>
          </w:tcPr>
          <w:p w14:paraId="06EA979B" w14:textId="77777777" w:rsidR="00E9198A" w:rsidRPr="00DD6590" w:rsidRDefault="00E9198A" w:rsidP="009B2B48">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6"/>
                <w:szCs w:val="16"/>
              </w:rPr>
            </w:pPr>
            <w:r w:rsidRPr="00DD6590">
              <w:rPr>
                <w:rFonts w:asciiTheme="minorHAnsi" w:hAnsiTheme="minorHAnsi"/>
                <w:b/>
                <w:color w:val="FFFFFF" w:themeColor="background1"/>
                <w:sz w:val="16"/>
                <w:szCs w:val="16"/>
              </w:rPr>
              <w:t>Výkonnostná rezerva</w:t>
            </w:r>
          </w:p>
        </w:tc>
      </w:tr>
      <w:tr w:rsidR="00E9198A" w:rsidRPr="00DD6590" w14:paraId="0271F932" w14:textId="77777777" w:rsidTr="009B2B48">
        <w:tc>
          <w:tcPr>
            <w:cnfStyle w:val="001000000000" w:firstRow="0" w:lastRow="0" w:firstColumn="1" w:lastColumn="0" w:oddVBand="0" w:evenVBand="0" w:oddHBand="0" w:evenHBand="0" w:firstRowFirstColumn="0" w:firstRowLastColumn="0" w:lastRowFirstColumn="0" w:lastRowLastColumn="0"/>
            <w:tcW w:w="754" w:type="pct"/>
            <w:tcBorders>
              <w:left w:val="single" w:sz="4" w:space="0" w:color="86BC25" w:themeColor="accent1"/>
              <w:bottom w:val="single" w:sz="4" w:space="0" w:color="86BC25" w:themeColor="accent1"/>
              <w:right w:val="single" w:sz="4" w:space="0" w:color="86BC25" w:themeColor="accent1"/>
            </w:tcBorders>
            <w:vAlign w:val="center"/>
          </w:tcPr>
          <w:p w14:paraId="1451015C" w14:textId="77777777" w:rsidR="00E9198A" w:rsidRPr="00DD6590" w:rsidRDefault="00E9198A" w:rsidP="009B2B48">
            <w:pPr>
              <w:spacing w:before="60" w:after="0"/>
              <w:rPr>
                <w:rFonts w:asciiTheme="minorHAnsi" w:hAnsiTheme="minorHAnsi"/>
                <w:b w:val="0"/>
                <w:sz w:val="16"/>
                <w:szCs w:val="16"/>
              </w:rPr>
            </w:pPr>
            <w:r w:rsidRPr="00DD6590">
              <w:rPr>
                <w:rFonts w:asciiTheme="minorHAnsi" w:hAnsiTheme="minorHAnsi"/>
                <w:b w:val="0"/>
                <w:sz w:val="16"/>
                <w:szCs w:val="16"/>
              </w:rPr>
              <w:t>EFRR</w:t>
            </w:r>
          </w:p>
        </w:tc>
        <w:tc>
          <w:tcPr>
            <w:tcW w:w="1012" w:type="pct"/>
            <w:tcBorders>
              <w:left w:val="single" w:sz="4" w:space="0" w:color="86BC25" w:themeColor="accent1"/>
              <w:bottom w:val="single" w:sz="4" w:space="0" w:color="86BC25" w:themeColor="accent1"/>
              <w:right w:val="single" w:sz="4" w:space="0" w:color="86BC25" w:themeColor="accent1"/>
            </w:tcBorders>
            <w:vAlign w:val="center"/>
          </w:tcPr>
          <w:p w14:paraId="02ADE118" w14:textId="77777777" w:rsidR="00E9198A" w:rsidRPr="00DD6590" w:rsidRDefault="00E9198A" w:rsidP="009B2B48">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193 354 245</w:t>
            </w:r>
          </w:p>
        </w:tc>
        <w:tc>
          <w:tcPr>
            <w:tcW w:w="1126" w:type="pct"/>
            <w:tcBorders>
              <w:left w:val="single" w:sz="4" w:space="0" w:color="86BC25" w:themeColor="accent1"/>
              <w:bottom w:val="single" w:sz="4" w:space="0" w:color="86BC25" w:themeColor="accent1"/>
              <w:right w:val="single" w:sz="4" w:space="0" w:color="86BC25" w:themeColor="accent1"/>
            </w:tcBorders>
            <w:vAlign w:val="center"/>
          </w:tcPr>
          <w:p w14:paraId="63A111CF" w14:textId="77777777" w:rsidR="00E9198A" w:rsidRPr="00DD6590" w:rsidRDefault="00E9198A" w:rsidP="009B2B48">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12 643 177</w:t>
            </w:r>
          </w:p>
        </w:tc>
        <w:tc>
          <w:tcPr>
            <w:tcW w:w="981" w:type="pct"/>
            <w:tcBorders>
              <w:left w:val="single" w:sz="4" w:space="0" w:color="86BC25" w:themeColor="accent1"/>
              <w:bottom w:val="single" w:sz="4" w:space="0" w:color="86BC25" w:themeColor="accent1"/>
              <w:right w:val="single" w:sz="4" w:space="0" w:color="86BC25" w:themeColor="accent1"/>
            </w:tcBorders>
            <w:vAlign w:val="center"/>
          </w:tcPr>
          <w:p w14:paraId="353525F7" w14:textId="77777777" w:rsidR="00E9198A" w:rsidRPr="00DD6590" w:rsidRDefault="00E9198A" w:rsidP="009B2B48">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202 992 295</w:t>
            </w:r>
          </w:p>
        </w:tc>
        <w:tc>
          <w:tcPr>
            <w:tcW w:w="1126" w:type="pct"/>
            <w:tcBorders>
              <w:left w:val="single" w:sz="4" w:space="0" w:color="86BC25" w:themeColor="accent1"/>
              <w:bottom w:val="single" w:sz="4" w:space="0" w:color="86BC25" w:themeColor="accent1"/>
              <w:right w:val="single" w:sz="4" w:space="0" w:color="86BC25" w:themeColor="accent1"/>
            </w:tcBorders>
            <w:vAlign w:val="center"/>
          </w:tcPr>
          <w:p w14:paraId="52FE578F" w14:textId="77777777" w:rsidR="00E9198A" w:rsidRPr="00DD6590" w:rsidRDefault="00E9198A" w:rsidP="009B2B48">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13 273 396</w:t>
            </w:r>
          </w:p>
        </w:tc>
      </w:tr>
      <w:tr w:rsidR="00E9198A" w:rsidRPr="00DD6590" w14:paraId="71E8EA67" w14:textId="77777777" w:rsidTr="009B2B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4"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6971AA62" w14:textId="77777777" w:rsidR="00E9198A" w:rsidRPr="00DD6590" w:rsidRDefault="00E9198A" w:rsidP="009B2B48">
            <w:pPr>
              <w:spacing w:before="60" w:after="0"/>
              <w:rPr>
                <w:rFonts w:asciiTheme="minorHAnsi" w:hAnsiTheme="minorHAnsi"/>
                <w:b w:val="0"/>
                <w:sz w:val="16"/>
                <w:szCs w:val="16"/>
              </w:rPr>
            </w:pPr>
            <w:r w:rsidRPr="00DD6590">
              <w:rPr>
                <w:rFonts w:asciiTheme="minorHAnsi" w:hAnsiTheme="minorHAnsi"/>
                <w:b w:val="0"/>
                <w:sz w:val="16"/>
                <w:szCs w:val="16"/>
              </w:rPr>
              <w:t>KF</w:t>
            </w:r>
          </w:p>
        </w:tc>
        <w:tc>
          <w:tcPr>
            <w:tcW w:w="1012"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8A26CC9" w14:textId="77777777" w:rsidR="00E9198A" w:rsidRPr="00DD6590" w:rsidRDefault="00E9198A" w:rsidP="009B2B48">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267 925 106</w:t>
            </w:r>
          </w:p>
        </w:tc>
        <w:tc>
          <w:tcPr>
            <w:tcW w:w="1126"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1A343D2E" w14:textId="77777777" w:rsidR="00E9198A" w:rsidRPr="00DD6590" w:rsidRDefault="00E9198A" w:rsidP="009B2B48">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17 101 602</w:t>
            </w:r>
          </w:p>
        </w:tc>
        <w:tc>
          <w:tcPr>
            <w:tcW w:w="981"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611BBF3D" w14:textId="77777777" w:rsidR="00E9198A" w:rsidRPr="00DD6590" w:rsidRDefault="00E9198A" w:rsidP="009B2B48">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282 181 260</w:t>
            </w:r>
          </w:p>
        </w:tc>
        <w:tc>
          <w:tcPr>
            <w:tcW w:w="1126"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084637A" w14:textId="77777777" w:rsidR="00E9198A" w:rsidRPr="00DD6590" w:rsidRDefault="00E9198A" w:rsidP="009B2B48">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18 011 570</w:t>
            </w:r>
          </w:p>
        </w:tc>
      </w:tr>
      <w:tr w:rsidR="00E9198A" w:rsidRPr="00DD6590" w14:paraId="6881FBB1" w14:textId="77777777" w:rsidTr="009B2B48">
        <w:tc>
          <w:tcPr>
            <w:cnfStyle w:val="001000000000" w:firstRow="0" w:lastRow="0" w:firstColumn="1" w:lastColumn="0" w:oddVBand="0" w:evenVBand="0" w:oddHBand="0" w:evenHBand="0" w:firstRowFirstColumn="0" w:firstRowLastColumn="0" w:lastRowFirstColumn="0" w:lastRowLastColumn="0"/>
            <w:tcW w:w="754"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F755C45" w14:textId="77777777" w:rsidR="00E9198A" w:rsidRPr="00DD6590" w:rsidRDefault="00E9198A" w:rsidP="009B2B48">
            <w:pPr>
              <w:spacing w:before="60" w:after="0"/>
              <w:rPr>
                <w:rFonts w:asciiTheme="minorHAnsi" w:hAnsiTheme="minorHAnsi"/>
                <w:b w:val="0"/>
                <w:sz w:val="16"/>
                <w:szCs w:val="16"/>
              </w:rPr>
            </w:pPr>
            <w:r w:rsidRPr="00DD6590">
              <w:rPr>
                <w:rFonts w:asciiTheme="minorHAnsi" w:hAnsiTheme="minorHAnsi"/>
                <w:b w:val="0"/>
                <w:sz w:val="16"/>
                <w:szCs w:val="16"/>
              </w:rPr>
              <w:t>Spolu</w:t>
            </w:r>
          </w:p>
        </w:tc>
        <w:tc>
          <w:tcPr>
            <w:tcW w:w="1012"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246182D5" w14:textId="77777777" w:rsidR="00E9198A" w:rsidRPr="00DD6590" w:rsidRDefault="00E9198A" w:rsidP="009B2B48">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461 279 351</w:t>
            </w:r>
          </w:p>
        </w:tc>
        <w:tc>
          <w:tcPr>
            <w:tcW w:w="1126"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BE4EEF5" w14:textId="77777777" w:rsidR="00E9198A" w:rsidRPr="00DD6590" w:rsidRDefault="00E9198A" w:rsidP="009B2B48">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29 744 779</w:t>
            </w:r>
          </w:p>
        </w:tc>
        <w:tc>
          <w:tcPr>
            <w:tcW w:w="981"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28B01515" w14:textId="77777777" w:rsidR="00E9198A" w:rsidRPr="00DD6590" w:rsidRDefault="00E9198A" w:rsidP="009B2B48">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485 173 555</w:t>
            </w:r>
          </w:p>
        </w:tc>
        <w:tc>
          <w:tcPr>
            <w:tcW w:w="1126"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6258593" w14:textId="77777777" w:rsidR="00E9198A" w:rsidRPr="00DD6590" w:rsidRDefault="00E9198A" w:rsidP="009B2B48">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31 284 966</w:t>
            </w:r>
          </w:p>
        </w:tc>
      </w:tr>
      <w:tr w:rsidR="00E9198A" w:rsidRPr="00DD6590" w14:paraId="3231D0B0" w14:textId="77777777" w:rsidTr="009B2B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4"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5DA1A458" w14:textId="77777777" w:rsidR="00E9198A" w:rsidRPr="00DD6590" w:rsidRDefault="00E9198A" w:rsidP="009B2B48">
            <w:pPr>
              <w:spacing w:before="60" w:after="0"/>
              <w:rPr>
                <w:rFonts w:asciiTheme="minorHAnsi" w:hAnsiTheme="minorHAnsi"/>
                <w:b w:val="0"/>
                <w:sz w:val="16"/>
                <w:szCs w:val="16"/>
              </w:rPr>
            </w:pPr>
            <w:r w:rsidRPr="00DD6590">
              <w:rPr>
                <w:rFonts w:asciiTheme="minorHAnsi" w:hAnsiTheme="minorHAnsi"/>
                <w:b w:val="0"/>
                <w:sz w:val="16"/>
                <w:szCs w:val="16"/>
              </w:rPr>
              <w:t xml:space="preserve">Rok </w:t>
            </w:r>
            <w:r w:rsidRPr="00DD6590">
              <w:rPr>
                <w:rStyle w:val="FootnoteReference"/>
                <w:rFonts w:asciiTheme="minorHAnsi" w:hAnsiTheme="minorHAnsi"/>
                <w:b w:val="0"/>
                <w:sz w:val="16"/>
                <w:szCs w:val="16"/>
              </w:rPr>
              <w:footnoteReference w:id="6"/>
            </w:r>
          </w:p>
        </w:tc>
        <w:tc>
          <w:tcPr>
            <w:tcW w:w="2138"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1D2AA527" w14:textId="77777777" w:rsidR="00E9198A" w:rsidRPr="00DD6590" w:rsidRDefault="00E9198A" w:rsidP="009B2B48">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2016 – 2017</w:t>
            </w:r>
          </w:p>
        </w:tc>
        <w:tc>
          <w:tcPr>
            <w:tcW w:w="2107"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80E9333" w14:textId="77777777" w:rsidR="00E9198A" w:rsidRPr="00DD6590" w:rsidRDefault="00E9198A" w:rsidP="009B2B48">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2018</w:t>
            </w:r>
          </w:p>
        </w:tc>
      </w:tr>
      <w:tr w:rsidR="00E9198A" w:rsidRPr="00DD6590" w14:paraId="33B13099" w14:textId="77777777" w:rsidTr="009B2B48">
        <w:tc>
          <w:tcPr>
            <w:cnfStyle w:val="001000000000" w:firstRow="0" w:lastRow="0" w:firstColumn="1" w:lastColumn="0" w:oddVBand="0" w:evenVBand="0" w:oddHBand="0" w:evenHBand="0" w:firstRowFirstColumn="0" w:firstRowLastColumn="0" w:lastRowFirstColumn="0" w:lastRowLastColumn="0"/>
            <w:tcW w:w="754"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C1FBC84" w14:textId="77777777" w:rsidR="00E9198A" w:rsidRPr="00DD6590" w:rsidRDefault="00E9198A" w:rsidP="009B2B48">
            <w:pPr>
              <w:spacing w:before="60" w:after="0"/>
              <w:rPr>
                <w:rFonts w:asciiTheme="minorHAnsi" w:hAnsiTheme="minorHAnsi"/>
                <w:b w:val="0"/>
                <w:sz w:val="16"/>
                <w:szCs w:val="16"/>
              </w:rPr>
            </w:pPr>
            <w:r w:rsidRPr="00DD6590">
              <w:rPr>
                <w:rFonts w:asciiTheme="minorHAnsi" w:hAnsiTheme="minorHAnsi"/>
                <w:b w:val="0"/>
                <w:sz w:val="16"/>
                <w:szCs w:val="16"/>
              </w:rPr>
              <w:t>Certifikované výdavky EFRR</w:t>
            </w:r>
          </w:p>
        </w:tc>
        <w:tc>
          <w:tcPr>
            <w:tcW w:w="2138"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288FDFDB" w14:textId="77777777" w:rsidR="00E9198A" w:rsidRPr="00DD6590" w:rsidRDefault="009C51F2" w:rsidP="009B2B48">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184 133 543</w:t>
            </w:r>
          </w:p>
        </w:tc>
        <w:tc>
          <w:tcPr>
            <w:tcW w:w="2107"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28BAE79" w14:textId="77777777" w:rsidR="00E9198A" w:rsidRPr="00DD6590" w:rsidRDefault="00333D70" w:rsidP="009B2B48">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35 135 663</w:t>
            </w:r>
          </w:p>
        </w:tc>
      </w:tr>
      <w:tr w:rsidR="00E9198A" w:rsidRPr="00DD6590" w14:paraId="74799456" w14:textId="77777777" w:rsidTr="009B2B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4"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2FA232DA" w14:textId="77777777" w:rsidR="00E9198A" w:rsidRPr="00DD6590" w:rsidRDefault="00E9198A" w:rsidP="009B2B48">
            <w:pPr>
              <w:spacing w:before="60" w:after="0"/>
              <w:rPr>
                <w:rFonts w:asciiTheme="minorHAnsi" w:hAnsiTheme="minorHAnsi"/>
                <w:b w:val="0"/>
                <w:sz w:val="16"/>
                <w:szCs w:val="16"/>
              </w:rPr>
            </w:pPr>
            <w:r w:rsidRPr="00DD6590">
              <w:rPr>
                <w:rFonts w:asciiTheme="minorHAnsi" w:hAnsiTheme="minorHAnsi"/>
                <w:b w:val="0"/>
                <w:sz w:val="16"/>
                <w:szCs w:val="16"/>
              </w:rPr>
              <w:t>Certifikované výdavky KF</w:t>
            </w:r>
          </w:p>
        </w:tc>
        <w:tc>
          <w:tcPr>
            <w:tcW w:w="2138"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C85A3CB" w14:textId="77777777" w:rsidR="00E9198A" w:rsidRPr="00DD6590" w:rsidRDefault="009C51F2" w:rsidP="009B2B48">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494 179 593</w:t>
            </w:r>
          </w:p>
        </w:tc>
        <w:tc>
          <w:tcPr>
            <w:tcW w:w="2107"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2DE99157" w14:textId="77777777" w:rsidR="00E9198A" w:rsidRPr="00DD6590" w:rsidRDefault="00E9198A" w:rsidP="009B2B48">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490 224 237,00</w:t>
            </w:r>
          </w:p>
        </w:tc>
      </w:tr>
      <w:tr w:rsidR="00E9198A" w:rsidRPr="00DD6590" w14:paraId="4D2C8CAF" w14:textId="77777777" w:rsidTr="009B2B48">
        <w:tc>
          <w:tcPr>
            <w:cnfStyle w:val="001000000000" w:firstRow="0" w:lastRow="0" w:firstColumn="1" w:lastColumn="0" w:oddVBand="0" w:evenVBand="0" w:oddHBand="0" w:evenHBand="0" w:firstRowFirstColumn="0" w:firstRowLastColumn="0" w:lastRowFirstColumn="0" w:lastRowLastColumn="0"/>
            <w:tcW w:w="754"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73CB05C" w14:textId="77777777" w:rsidR="00E9198A" w:rsidRPr="00DD6590" w:rsidRDefault="00E9198A" w:rsidP="009B2B48">
            <w:pPr>
              <w:spacing w:before="60" w:after="0"/>
              <w:rPr>
                <w:rFonts w:asciiTheme="minorHAnsi" w:hAnsiTheme="minorHAnsi"/>
                <w:b w:val="0"/>
                <w:sz w:val="16"/>
                <w:szCs w:val="16"/>
              </w:rPr>
            </w:pPr>
            <w:r w:rsidRPr="00DD6590">
              <w:rPr>
                <w:rFonts w:asciiTheme="minorHAnsi" w:hAnsiTheme="minorHAnsi"/>
                <w:b w:val="0"/>
                <w:sz w:val="16"/>
                <w:szCs w:val="16"/>
              </w:rPr>
              <w:t>Spolu</w:t>
            </w:r>
          </w:p>
        </w:tc>
        <w:tc>
          <w:tcPr>
            <w:tcW w:w="2138"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6E46A2D8" w14:textId="77777777" w:rsidR="00E9198A" w:rsidRPr="00DD6590" w:rsidRDefault="009C51F2" w:rsidP="009B2B48">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 w:val="16"/>
                <w:szCs w:val="16"/>
              </w:rPr>
            </w:pPr>
            <w:r w:rsidRPr="00DD6590">
              <w:rPr>
                <w:rFonts w:asciiTheme="minorHAnsi" w:hAnsiTheme="minorHAnsi"/>
                <w:b/>
                <w:sz w:val="16"/>
                <w:szCs w:val="16"/>
              </w:rPr>
              <w:t>678 313 136</w:t>
            </w:r>
          </w:p>
        </w:tc>
        <w:tc>
          <w:tcPr>
            <w:tcW w:w="2107"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26E22830" w14:textId="77777777" w:rsidR="00E9198A" w:rsidRPr="00DD6590" w:rsidRDefault="00333D70" w:rsidP="009B2B48">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 w:val="16"/>
                <w:szCs w:val="16"/>
              </w:rPr>
            </w:pPr>
            <w:r w:rsidRPr="00DD6590">
              <w:rPr>
                <w:rFonts w:asciiTheme="minorHAnsi" w:hAnsiTheme="minorHAnsi"/>
                <w:b/>
                <w:sz w:val="16"/>
                <w:szCs w:val="16"/>
              </w:rPr>
              <w:t>551 615 785</w:t>
            </w:r>
          </w:p>
        </w:tc>
      </w:tr>
      <w:tr w:rsidR="00EB0AA3" w:rsidRPr="00DD6590" w14:paraId="7E101430" w14:textId="77777777" w:rsidTr="009B2B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4"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11DE7D9" w14:textId="77777777" w:rsidR="00EB0AA3" w:rsidRPr="00DD6590" w:rsidRDefault="00EB0AA3" w:rsidP="009B2B48">
            <w:pPr>
              <w:spacing w:before="60" w:after="0"/>
              <w:rPr>
                <w:rFonts w:asciiTheme="minorHAnsi" w:hAnsiTheme="minorHAnsi"/>
                <w:sz w:val="16"/>
                <w:szCs w:val="16"/>
              </w:rPr>
            </w:pPr>
            <w:r w:rsidRPr="00DD6590">
              <w:rPr>
                <w:rFonts w:asciiTheme="minorHAnsi" w:hAnsiTheme="minorHAnsi"/>
                <w:sz w:val="16"/>
                <w:szCs w:val="16"/>
              </w:rPr>
              <w:t>Pomer</w:t>
            </w:r>
          </w:p>
        </w:tc>
        <w:tc>
          <w:tcPr>
            <w:tcW w:w="2138"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354343E" w14:textId="77777777" w:rsidR="00EB0AA3" w:rsidRPr="00DD6590" w:rsidRDefault="00EB0AA3" w:rsidP="009C51F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 w:val="16"/>
                <w:szCs w:val="16"/>
              </w:rPr>
            </w:pPr>
            <w:r w:rsidRPr="00DD6590">
              <w:rPr>
                <w:rFonts w:asciiTheme="minorHAnsi" w:hAnsiTheme="minorHAnsi"/>
                <w:b/>
                <w:sz w:val="16"/>
                <w:szCs w:val="16"/>
              </w:rPr>
              <w:t>13</w:t>
            </w:r>
            <w:r w:rsidR="009C51F2" w:rsidRPr="00DD6590">
              <w:rPr>
                <w:rFonts w:asciiTheme="minorHAnsi" w:hAnsiTheme="minorHAnsi"/>
                <w:b/>
                <w:sz w:val="16"/>
                <w:szCs w:val="16"/>
              </w:rPr>
              <w:t>8</w:t>
            </w:r>
            <w:r w:rsidR="00E52545">
              <w:rPr>
                <w:rFonts w:asciiTheme="minorHAnsi" w:hAnsiTheme="minorHAnsi"/>
                <w:b/>
                <w:sz w:val="16"/>
                <w:szCs w:val="16"/>
              </w:rPr>
              <w:t xml:space="preserve"> </w:t>
            </w:r>
            <w:r w:rsidRPr="00DD6590">
              <w:rPr>
                <w:rFonts w:asciiTheme="minorHAnsi" w:hAnsiTheme="minorHAnsi"/>
                <w:b/>
                <w:sz w:val="16"/>
                <w:szCs w:val="16"/>
              </w:rPr>
              <w:t>%</w:t>
            </w:r>
          </w:p>
        </w:tc>
        <w:tc>
          <w:tcPr>
            <w:tcW w:w="2107"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0650225" w14:textId="77777777" w:rsidR="00EB0AA3" w:rsidRPr="00DD6590" w:rsidRDefault="00EB0AA3" w:rsidP="00333D70">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 w:val="16"/>
                <w:szCs w:val="16"/>
              </w:rPr>
            </w:pPr>
            <w:r w:rsidRPr="00DD6590">
              <w:rPr>
                <w:rFonts w:asciiTheme="minorHAnsi" w:hAnsiTheme="minorHAnsi"/>
                <w:b/>
                <w:sz w:val="16"/>
                <w:szCs w:val="16"/>
              </w:rPr>
              <w:t>10</w:t>
            </w:r>
            <w:r w:rsidR="00333D70" w:rsidRPr="00DD6590">
              <w:rPr>
                <w:rFonts w:asciiTheme="minorHAnsi" w:hAnsiTheme="minorHAnsi"/>
                <w:b/>
                <w:sz w:val="16"/>
                <w:szCs w:val="16"/>
              </w:rPr>
              <w:t>7</w:t>
            </w:r>
            <w:r w:rsidR="00E52545">
              <w:rPr>
                <w:rFonts w:asciiTheme="minorHAnsi" w:hAnsiTheme="minorHAnsi"/>
                <w:b/>
                <w:sz w:val="16"/>
                <w:szCs w:val="16"/>
              </w:rPr>
              <w:t xml:space="preserve"> </w:t>
            </w:r>
            <w:r w:rsidRPr="00DD6590">
              <w:rPr>
                <w:rFonts w:asciiTheme="minorHAnsi" w:hAnsiTheme="minorHAnsi"/>
                <w:b/>
                <w:sz w:val="16"/>
                <w:szCs w:val="16"/>
              </w:rPr>
              <w:t>%</w:t>
            </w:r>
          </w:p>
        </w:tc>
      </w:tr>
    </w:tbl>
    <w:p w14:paraId="49E371F8" w14:textId="77777777" w:rsidR="00F12904" w:rsidRPr="00DD6590" w:rsidRDefault="009108CC" w:rsidP="00AA6542">
      <w:r w:rsidRPr="00DD6590">
        <w:t>A</w:t>
      </w:r>
      <w:r w:rsidR="006C0B23" w:rsidRPr="00DD6590">
        <w:t>ko je vidieť v predchádzajúcej tabuľke</w:t>
      </w:r>
      <w:r w:rsidR="00E52545">
        <w:t>,</w:t>
      </w:r>
      <w:r w:rsidR="006C0B23" w:rsidRPr="00DD6590">
        <w:t xml:space="preserve"> za prvé dva</w:t>
      </w:r>
      <w:r w:rsidR="00E52545">
        <w:t xml:space="preserve"> </w:t>
      </w:r>
      <w:r w:rsidR="00A77AE8">
        <w:t xml:space="preserve">roky </w:t>
      </w:r>
      <w:r w:rsidR="00B44208" w:rsidRPr="00DD6590">
        <w:t xml:space="preserve">RO OPII nemal problém vyčerpať </w:t>
      </w:r>
      <w:r w:rsidR="0009444A" w:rsidRPr="00DD6590">
        <w:t xml:space="preserve">finančné </w:t>
      </w:r>
      <w:r w:rsidR="00B44208" w:rsidRPr="00DD6590">
        <w:t xml:space="preserve">záväzky, ktoré mal </w:t>
      </w:r>
      <w:r w:rsidR="00A830B5" w:rsidRPr="00DD6590">
        <w:t xml:space="preserve">na </w:t>
      </w:r>
      <w:r w:rsidR="00B44208" w:rsidRPr="00DD6590">
        <w:t xml:space="preserve">roky </w:t>
      </w:r>
      <w:r w:rsidR="008C2CBB" w:rsidRPr="00DD6590">
        <w:t>2014 a 2015</w:t>
      </w:r>
      <w:r w:rsidR="00B44208" w:rsidRPr="00DD6590">
        <w:t xml:space="preserve">. </w:t>
      </w:r>
      <w:r w:rsidR="0009444A" w:rsidRPr="00DD6590">
        <w:t xml:space="preserve">V </w:t>
      </w:r>
      <w:r w:rsidR="008476FF">
        <w:t>nasledujúcej</w:t>
      </w:r>
      <w:r w:rsidR="008476FF" w:rsidRPr="00DD6590">
        <w:t xml:space="preserve"> </w:t>
      </w:r>
      <w:r w:rsidR="0009444A" w:rsidRPr="00DD6590">
        <w:t>tabuľke je porovnanie finančných záväzkov pre roky 2016 – 2020 s odhadovaným čerpaním</w:t>
      </w:r>
      <w:r w:rsidR="00CE0487" w:rsidRPr="00DD6590">
        <w:t xml:space="preserve"> zakontrahovaných projektov</w:t>
      </w:r>
      <w:r w:rsidR="0009444A" w:rsidRPr="00DD6590">
        <w:t>.</w:t>
      </w:r>
      <w:r w:rsidR="00CE0487" w:rsidRPr="00DD6590">
        <w:t xml:space="preserve"> </w:t>
      </w:r>
      <w:r w:rsidR="00F12904" w:rsidRPr="00DD6590">
        <w:t xml:space="preserve">Odhadované čerpanie bolo </w:t>
      </w:r>
      <w:r w:rsidR="00684B44" w:rsidRPr="00DD6590">
        <w:t>stanove</w:t>
      </w:r>
      <w:r w:rsidR="00F12904" w:rsidRPr="00DD6590">
        <w:t>né na základe plánovaných termínov ukončenia realizácie zazmluvnených projektov, pričom pri projektoch, pri ktorých realizácia bola viac ako rok</w:t>
      </w:r>
      <w:r w:rsidR="00E52545">
        <w:t>,</w:t>
      </w:r>
      <w:r w:rsidR="00F12904" w:rsidRPr="00DD6590">
        <w:t xml:space="preserve"> bolo čerpanie úmerne rozdelené do príslušných rokov.  </w:t>
      </w:r>
    </w:p>
    <w:p w14:paraId="35980CBD" w14:textId="77777777" w:rsidR="002651BD" w:rsidRPr="00DD6590" w:rsidRDefault="002651BD" w:rsidP="00AA6542"/>
    <w:p w14:paraId="252D79BE" w14:textId="77777777" w:rsidR="002651BD" w:rsidRPr="00DD6590" w:rsidRDefault="002651BD" w:rsidP="00AA6542">
      <w:pPr>
        <w:sectPr w:rsidR="002651BD" w:rsidRPr="00DD6590" w:rsidSect="00847AD7">
          <w:pgSz w:w="11906" w:h="16838" w:code="9"/>
          <w:pgMar w:top="1987" w:right="1138" w:bottom="1138" w:left="1411" w:header="677" w:footer="562" w:gutter="0"/>
          <w:cols w:space="9"/>
          <w:titlePg/>
          <w:docGrid w:linePitch="360"/>
        </w:sectPr>
      </w:pPr>
    </w:p>
    <w:p w14:paraId="5CA421A6" w14:textId="66A8773A" w:rsidR="008C2CBB" w:rsidRPr="00DD6590" w:rsidRDefault="008C2CBB" w:rsidP="00AA0521">
      <w:pPr>
        <w:pStyle w:val="Caption"/>
        <w:spacing w:after="0"/>
      </w:pPr>
      <w:bookmarkStart w:id="52" w:name="_Toc9855881"/>
      <w:r w:rsidRPr="00DD6590">
        <w:lastRenderedPageBreak/>
        <w:t xml:space="preserve">Tabuľka </w:t>
      </w:r>
      <w:r w:rsidRPr="00DD6590">
        <w:fldChar w:fldCharType="begin"/>
      </w:r>
      <w:r w:rsidRPr="00DD6590">
        <w:instrText xml:space="preserve"> SEQ Tabuľka \* ARABIC </w:instrText>
      </w:r>
      <w:r w:rsidRPr="00DD6590">
        <w:fldChar w:fldCharType="separate"/>
      </w:r>
      <w:r w:rsidR="00DC3C97">
        <w:rPr>
          <w:noProof/>
        </w:rPr>
        <w:t>4</w:t>
      </w:r>
      <w:r w:rsidRPr="00DD6590">
        <w:fldChar w:fldCharType="end"/>
      </w:r>
      <w:r w:rsidRPr="00DD6590">
        <w:t xml:space="preserve"> Odhadované čerpanie zazmluvnených projektov a plnenie finančných záväzkov</w:t>
      </w:r>
      <w:bookmarkEnd w:id="52"/>
    </w:p>
    <w:tbl>
      <w:tblPr>
        <w:tblStyle w:val="Svetlzoznamzvraznenie11"/>
        <w:tblpPr w:leftFromText="141" w:rightFromText="141" w:vertAnchor="text" w:horzAnchor="margin" w:tblpY="252"/>
        <w:tblW w:w="13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6"/>
        <w:gridCol w:w="1288"/>
        <w:gridCol w:w="1387"/>
        <w:gridCol w:w="1318"/>
        <w:gridCol w:w="1258"/>
        <w:gridCol w:w="1261"/>
        <w:gridCol w:w="1170"/>
        <w:gridCol w:w="1348"/>
        <w:gridCol w:w="1170"/>
        <w:gridCol w:w="1137"/>
        <w:gridCol w:w="1140"/>
      </w:tblGrid>
      <w:tr w:rsidR="008C2CBB" w:rsidRPr="00DD6590" w14:paraId="734F3F32" w14:textId="77777777" w:rsidTr="001D4B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7" w:type="pct"/>
            <w:vMerge w:val="restart"/>
            <w:tcBorders>
              <w:top w:val="single" w:sz="4" w:space="0" w:color="86BC25" w:themeColor="accent1"/>
              <w:left w:val="single" w:sz="4" w:space="0" w:color="86BC25" w:themeColor="accent1"/>
              <w:right w:val="single" w:sz="4" w:space="0" w:color="86BC25" w:themeColor="accent1"/>
            </w:tcBorders>
            <w:vAlign w:val="center"/>
          </w:tcPr>
          <w:p w14:paraId="1FABBCEA" w14:textId="77777777" w:rsidR="008C2CBB" w:rsidRPr="00DD6590" w:rsidRDefault="008C2CBB" w:rsidP="001D4B22">
            <w:pPr>
              <w:spacing w:before="60" w:after="0"/>
              <w:rPr>
                <w:rFonts w:asciiTheme="minorHAnsi" w:hAnsiTheme="minorHAnsi"/>
                <w:sz w:val="14"/>
                <w:szCs w:val="14"/>
              </w:rPr>
            </w:pPr>
            <w:r w:rsidRPr="00DD6590">
              <w:rPr>
                <w:rFonts w:asciiTheme="minorHAnsi" w:hAnsiTheme="minorHAnsi"/>
                <w:sz w:val="14"/>
                <w:szCs w:val="14"/>
              </w:rPr>
              <w:t xml:space="preserve">Fond </w:t>
            </w:r>
          </w:p>
        </w:tc>
        <w:tc>
          <w:tcPr>
            <w:tcW w:w="976"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1A7B2E28" w14:textId="77777777" w:rsidR="008C2CBB" w:rsidRPr="00DD6590" w:rsidRDefault="008C2CBB" w:rsidP="001D4B22">
            <w:pPr>
              <w:spacing w:before="6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2016</w:t>
            </w:r>
          </w:p>
        </w:tc>
        <w:tc>
          <w:tcPr>
            <w:tcW w:w="940"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2A68382" w14:textId="77777777" w:rsidR="008C2CBB" w:rsidRPr="00DD6590" w:rsidRDefault="008C2CBB" w:rsidP="001D4B22">
            <w:pPr>
              <w:spacing w:before="6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2017</w:t>
            </w:r>
          </w:p>
        </w:tc>
        <w:tc>
          <w:tcPr>
            <w:tcW w:w="887"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90FD6F0" w14:textId="77777777" w:rsidR="008C2CBB" w:rsidRPr="00DD6590" w:rsidRDefault="008C2CBB" w:rsidP="001D4B22">
            <w:pPr>
              <w:spacing w:before="6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2018</w:t>
            </w:r>
          </w:p>
        </w:tc>
        <w:tc>
          <w:tcPr>
            <w:tcW w:w="919"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FB57E51" w14:textId="77777777" w:rsidR="008C2CBB" w:rsidRPr="00DD6590" w:rsidRDefault="008C2CBB" w:rsidP="001D4B22">
            <w:pPr>
              <w:spacing w:before="6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2019</w:t>
            </w:r>
          </w:p>
        </w:tc>
        <w:tc>
          <w:tcPr>
            <w:tcW w:w="831"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0BBE50E" w14:textId="77777777" w:rsidR="008C2CBB" w:rsidRPr="00DD6590" w:rsidRDefault="008C2CBB" w:rsidP="001D4B22">
            <w:pPr>
              <w:spacing w:before="6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2020</w:t>
            </w:r>
          </w:p>
        </w:tc>
      </w:tr>
      <w:tr w:rsidR="008C2CBB" w:rsidRPr="00DD6590" w14:paraId="1FC919B8" w14:textId="77777777" w:rsidTr="001D4B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7" w:type="pct"/>
            <w:vMerge/>
            <w:tcBorders>
              <w:left w:val="single" w:sz="4" w:space="0" w:color="86BC25" w:themeColor="accent1"/>
              <w:right w:val="single" w:sz="4" w:space="0" w:color="86BC25" w:themeColor="accent1"/>
            </w:tcBorders>
            <w:vAlign w:val="center"/>
          </w:tcPr>
          <w:p w14:paraId="42385DC5" w14:textId="77777777" w:rsidR="008C2CBB" w:rsidRPr="00DD6590" w:rsidRDefault="008C2CBB" w:rsidP="001D4B22">
            <w:pPr>
              <w:spacing w:before="60" w:after="0"/>
              <w:rPr>
                <w:rFonts w:asciiTheme="minorHAnsi" w:hAnsiTheme="minorHAnsi"/>
                <w:sz w:val="14"/>
                <w:szCs w:val="14"/>
              </w:rPr>
            </w:pPr>
          </w:p>
        </w:tc>
        <w:tc>
          <w:tcPr>
            <w:tcW w:w="470" w:type="pct"/>
            <w:tcBorders>
              <w:top w:val="single" w:sz="4" w:space="0" w:color="86BC25" w:themeColor="accent1"/>
              <w:left w:val="single" w:sz="4" w:space="0" w:color="86BC25" w:themeColor="accent1"/>
              <w:right w:val="single" w:sz="4" w:space="0" w:color="86BC25" w:themeColor="accent1"/>
            </w:tcBorders>
            <w:shd w:val="clear" w:color="auto" w:fill="86BC25" w:themeFill="accent1"/>
            <w:vAlign w:val="center"/>
          </w:tcPr>
          <w:p w14:paraId="07722B1B"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4"/>
                <w:szCs w:val="14"/>
              </w:rPr>
            </w:pPr>
            <w:r w:rsidRPr="00DD6590">
              <w:rPr>
                <w:rFonts w:asciiTheme="minorHAnsi" w:hAnsiTheme="minorHAnsi"/>
                <w:b/>
                <w:color w:val="FFFFFF" w:themeColor="background1"/>
                <w:sz w:val="14"/>
                <w:szCs w:val="14"/>
              </w:rPr>
              <w:t>Hlavná alokácia</w:t>
            </w:r>
          </w:p>
        </w:tc>
        <w:tc>
          <w:tcPr>
            <w:tcW w:w="506" w:type="pct"/>
            <w:tcBorders>
              <w:top w:val="single" w:sz="4" w:space="0" w:color="86BC25" w:themeColor="accent1"/>
              <w:left w:val="single" w:sz="4" w:space="0" w:color="86BC25" w:themeColor="accent1"/>
              <w:right w:val="single" w:sz="4" w:space="0" w:color="86BC25" w:themeColor="accent1"/>
            </w:tcBorders>
            <w:shd w:val="clear" w:color="auto" w:fill="86BC25" w:themeFill="accent1"/>
            <w:vAlign w:val="center"/>
          </w:tcPr>
          <w:p w14:paraId="41EC6ACC"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4"/>
                <w:szCs w:val="14"/>
              </w:rPr>
            </w:pPr>
            <w:r w:rsidRPr="00DD6590">
              <w:rPr>
                <w:rFonts w:asciiTheme="minorHAnsi" w:hAnsiTheme="minorHAnsi"/>
                <w:b/>
                <w:color w:val="FFFFFF" w:themeColor="background1"/>
                <w:sz w:val="14"/>
                <w:szCs w:val="14"/>
              </w:rPr>
              <w:t>Výkonnostná rezerva</w:t>
            </w:r>
          </w:p>
        </w:tc>
        <w:tc>
          <w:tcPr>
            <w:tcW w:w="481" w:type="pct"/>
            <w:tcBorders>
              <w:top w:val="single" w:sz="4" w:space="0" w:color="86BC25" w:themeColor="accent1"/>
              <w:left w:val="single" w:sz="4" w:space="0" w:color="86BC25" w:themeColor="accent1"/>
              <w:right w:val="single" w:sz="4" w:space="0" w:color="86BC25" w:themeColor="accent1"/>
            </w:tcBorders>
            <w:shd w:val="clear" w:color="auto" w:fill="86BC25" w:themeFill="accent1"/>
            <w:vAlign w:val="center"/>
          </w:tcPr>
          <w:p w14:paraId="25C9F299"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4"/>
                <w:szCs w:val="14"/>
              </w:rPr>
            </w:pPr>
            <w:r w:rsidRPr="00DD6590">
              <w:rPr>
                <w:rFonts w:asciiTheme="minorHAnsi" w:hAnsiTheme="minorHAnsi"/>
                <w:b/>
                <w:color w:val="FFFFFF" w:themeColor="background1"/>
                <w:sz w:val="14"/>
                <w:szCs w:val="14"/>
              </w:rPr>
              <w:t>Hlavná alokácia</w:t>
            </w:r>
          </w:p>
        </w:tc>
        <w:tc>
          <w:tcPr>
            <w:tcW w:w="459" w:type="pct"/>
            <w:tcBorders>
              <w:top w:val="single" w:sz="4" w:space="0" w:color="86BC25" w:themeColor="accent1"/>
              <w:left w:val="single" w:sz="4" w:space="0" w:color="86BC25" w:themeColor="accent1"/>
              <w:right w:val="single" w:sz="4" w:space="0" w:color="86BC25" w:themeColor="accent1"/>
            </w:tcBorders>
            <w:shd w:val="clear" w:color="auto" w:fill="86BC25" w:themeFill="accent1"/>
            <w:vAlign w:val="center"/>
          </w:tcPr>
          <w:p w14:paraId="4F6C8CEE"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4"/>
                <w:szCs w:val="14"/>
              </w:rPr>
            </w:pPr>
            <w:r w:rsidRPr="00DD6590">
              <w:rPr>
                <w:rFonts w:asciiTheme="minorHAnsi" w:hAnsiTheme="minorHAnsi"/>
                <w:b/>
                <w:color w:val="FFFFFF" w:themeColor="background1"/>
                <w:sz w:val="14"/>
                <w:szCs w:val="14"/>
              </w:rPr>
              <w:t>Výkonnostná rezerva</w:t>
            </w:r>
          </w:p>
        </w:tc>
        <w:tc>
          <w:tcPr>
            <w:tcW w:w="460" w:type="pct"/>
            <w:tcBorders>
              <w:top w:val="single" w:sz="4" w:space="0" w:color="86BC25" w:themeColor="accent1"/>
              <w:left w:val="single" w:sz="4" w:space="0" w:color="86BC25" w:themeColor="accent1"/>
              <w:right w:val="single" w:sz="4" w:space="0" w:color="86BC25" w:themeColor="accent1"/>
            </w:tcBorders>
            <w:shd w:val="clear" w:color="auto" w:fill="86BC25" w:themeFill="accent1"/>
            <w:vAlign w:val="center"/>
          </w:tcPr>
          <w:p w14:paraId="12676CE4"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4"/>
                <w:szCs w:val="14"/>
              </w:rPr>
            </w:pPr>
            <w:r w:rsidRPr="00DD6590">
              <w:rPr>
                <w:rFonts w:asciiTheme="minorHAnsi" w:hAnsiTheme="minorHAnsi"/>
                <w:b/>
                <w:color w:val="FFFFFF" w:themeColor="background1"/>
                <w:sz w:val="14"/>
                <w:szCs w:val="14"/>
              </w:rPr>
              <w:t>Hlavná alokácia</w:t>
            </w:r>
          </w:p>
        </w:tc>
        <w:tc>
          <w:tcPr>
            <w:tcW w:w="427" w:type="pct"/>
            <w:tcBorders>
              <w:top w:val="single" w:sz="4" w:space="0" w:color="86BC25" w:themeColor="accent1"/>
              <w:left w:val="single" w:sz="4" w:space="0" w:color="86BC25" w:themeColor="accent1"/>
              <w:right w:val="single" w:sz="4" w:space="0" w:color="86BC25" w:themeColor="accent1"/>
            </w:tcBorders>
            <w:shd w:val="clear" w:color="auto" w:fill="86BC25" w:themeFill="accent1"/>
            <w:vAlign w:val="center"/>
          </w:tcPr>
          <w:p w14:paraId="24C925EB" w14:textId="77777777" w:rsidR="008C2CBB" w:rsidRPr="00DD6590" w:rsidRDefault="008C2CBB" w:rsidP="00A77AE8">
            <w:pPr>
              <w:spacing w:before="60" w:after="0"/>
              <w:ind w:left="-114" w:right="-15"/>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4"/>
                <w:szCs w:val="14"/>
              </w:rPr>
            </w:pPr>
            <w:r w:rsidRPr="00DD6590">
              <w:rPr>
                <w:rFonts w:asciiTheme="minorHAnsi" w:hAnsiTheme="minorHAnsi"/>
                <w:b/>
                <w:color w:val="FFFFFF" w:themeColor="background1"/>
                <w:sz w:val="14"/>
                <w:szCs w:val="14"/>
              </w:rPr>
              <w:t>Výkonnostná rezerva</w:t>
            </w:r>
          </w:p>
        </w:tc>
        <w:tc>
          <w:tcPr>
            <w:tcW w:w="492" w:type="pct"/>
            <w:tcBorders>
              <w:top w:val="single" w:sz="4" w:space="0" w:color="86BC25" w:themeColor="accent1"/>
              <w:left w:val="single" w:sz="4" w:space="0" w:color="86BC25" w:themeColor="accent1"/>
              <w:right w:val="single" w:sz="4" w:space="0" w:color="86BC25" w:themeColor="accent1"/>
            </w:tcBorders>
            <w:shd w:val="clear" w:color="auto" w:fill="86BC25" w:themeFill="accent1"/>
            <w:vAlign w:val="center"/>
          </w:tcPr>
          <w:p w14:paraId="53C07FF6"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4"/>
                <w:szCs w:val="14"/>
              </w:rPr>
            </w:pPr>
            <w:r w:rsidRPr="00DD6590">
              <w:rPr>
                <w:rFonts w:asciiTheme="minorHAnsi" w:hAnsiTheme="minorHAnsi"/>
                <w:b/>
                <w:color w:val="FFFFFF" w:themeColor="background1"/>
                <w:sz w:val="14"/>
                <w:szCs w:val="14"/>
              </w:rPr>
              <w:t>Hlavná alokácia</w:t>
            </w:r>
          </w:p>
        </w:tc>
        <w:tc>
          <w:tcPr>
            <w:tcW w:w="427" w:type="pct"/>
            <w:tcBorders>
              <w:top w:val="single" w:sz="4" w:space="0" w:color="86BC25" w:themeColor="accent1"/>
              <w:left w:val="single" w:sz="4" w:space="0" w:color="86BC25" w:themeColor="accent1"/>
              <w:right w:val="single" w:sz="4" w:space="0" w:color="86BC25" w:themeColor="accent1"/>
            </w:tcBorders>
            <w:shd w:val="clear" w:color="auto" w:fill="86BC25" w:themeFill="accent1"/>
            <w:vAlign w:val="center"/>
          </w:tcPr>
          <w:p w14:paraId="1AF9E72C" w14:textId="77777777" w:rsidR="008C2CBB" w:rsidRPr="00DD6590" w:rsidRDefault="008C2CBB" w:rsidP="00A77AE8">
            <w:pPr>
              <w:spacing w:before="60" w:after="0"/>
              <w:ind w:left="-1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4"/>
                <w:szCs w:val="14"/>
              </w:rPr>
            </w:pPr>
            <w:r w:rsidRPr="00DD6590">
              <w:rPr>
                <w:rFonts w:asciiTheme="minorHAnsi" w:hAnsiTheme="minorHAnsi"/>
                <w:b/>
                <w:color w:val="FFFFFF" w:themeColor="background1"/>
                <w:sz w:val="14"/>
                <w:szCs w:val="14"/>
              </w:rPr>
              <w:t>Výkonnostná rezerva</w:t>
            </w:r>
          </w:p>
        </w:tc>
        <w:tc>
          <w:tcPr>
            <w:tcW w:w="415" w:type="pct"/>
            <w:tcBorders>
              <w:top w:val="single" w:sz="4" w:space="0" w:color="86BC25" w:themeColor="accent1"/>
              <w:left w:val="single" w:sz="4" w:space="0" w:color="86BC25" w:themeColor="accent1"/>
              <w:right w:val="single" w:sz="4" w:space="0" w:color="86BC25" w:themeColor="accent1"/>
            </w:tcBorders>
            <w:shd w:val="clear" w:color="auto" w:fill="86BC25" w:themeFill="accent1"/>
            <w:vAlign w:val="center"/>
          </w:tcPr>
          <w:p w14:paraId="00263E8E"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4"/>
                <w:szCs w:val="14"/>
              </w:rPr>
            </w:pPr>
            <w:r w:rsidRPr="00DD6590">
              <w:rPr>
                <w:rFonts w:asciiTheme="minorHAnsi" w:hAnsiTheme="minorHAnsi"/>
                <w:b/>
                <w:color w:val="FFFFFF" w:themeColor="background1"/>
                <w:sz w:val="14"/>
                <w:szCs w:val="14"/>
              </w:rPr>
              <w:t>Hlavná alokácia</w:t>
            </w:r>
          </w:p>
        </w:tc>
        <w:tc>
          <w:tcPr>
            <w:tcW w:w="416" w:type="pct"/>
            <w:tcBorders>
              <w:top w:val="single" w:sz="4" w:space="0" w:color="86BC25" w:themeColor="accent1"/>
              <w:left w:val="single" w:sz="4" w:space="0" w:color="86BC25" w:themeColor="accent1"/>
              <w:right w:val="single" w:sz="4" w:space="0" w:color="86BC25" w:themeColor="accent1"/>
            </w:tcBorders>
            <w:shd w:val="clear" w:color="auto" w:fill="86BC25" w:themeFill="accent1"/>
            <w:vAlign w:val="center"/>
          </w:tcPr>
          <w:p w14:paraId="563A9092" w14:textId="77777777" w:rsidR="008C2CBB" w:rsidRPr="00DD6590" w:rsidRDefault="008C2CBB" w:rsidP="00A77AE8">
            <w:pPr>
              <w:spacing w:before="60" w:after="0"/>
              <w:ind w:left="-76" w:right="-8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14"/>
                <w:szCs w:val="14"/>
              </w:rPr>
            </w:pPr>
            <w:r w:rsidRPr="00DD6590">
              <w:rPr>
                <w:rFonts w:asciiTheme="minorHAnsi" w:hAnsiTheme="minorHAnsi"/>
                <w:b/>
                <w:color w:val="FFFFFF" w:themeColor="background1"/>
                <w:sz w:val="14"/>
                <w:szCs w:val="14"/>
              </w:rPr>
              <w:t>Výkonnostná rezerva</w:t>
            </w:r>
          </w:p>
        </w:tc>
      </w:tr>
      <w:tr w:rsidR="008C2CBB" w:rsidRPr="00DD6590" w14:paraId="5DE42F0C" w14:textId="77777777" w:rsidTr="001D4B22">
        <w:tc>
          <w:tcPr>
            <w:cnfStyle w:val="001000000000" w:firstRow="0" w:lastRow="0" w:firstColumn="1" w:lastColumn="0" w:oddVBand="0" w:evenVBand="0" w:oddHBand="0" w:evenHBand="0" w:firstRowFirstColumn="0" w:firstRowLastColumn="0" w:lastRowFirstColumn="0" w:lastRowLastColumn="0"/>
            <w:tcW w:w="447" w:type="pct"/>
            <w:tcBorders>
              <w:left w:val="single" w:sz="4" w:space="0" w:color="86BC25" w:themeColor="accent1"/>
              <w:bottom w:val="single" w:sz="4" w:space="0" w:color="86BC25" w:themeColor="accent1"/>
              <w:right w:val="single" w:sz="4" w:space="0" w:color="86BC25" w:themeColor="accent1"/>
            </w:tcBorders>
            <w:vAlign w:val="center"/>
          </w:tcPr>
          <w:p w14:paraId="00EC6032" w14:textId="77777777" w:rsidR="008C2CBB" w:rsidRPr="00DD6590" w:rsidRDefault="008C2CBB" w:rsidP="001D4B22">
            <w:pPr>
              <w:spacing w:before="60" w:after="0"/>
              <w:rPr>
                <w:rFonts w:asciiTheme="minorHAnsi" w:hAnsiTheme="minorHAnsi"/>
                <w:b w:val="0"/>
                <w:sz w:val="14"/>
                <w:szCs w:val="14"/>
              </w:rPr>
            </w:pPr>
            <w:r w:rsidRPr="00DD6590">
              <w:rPr>
                <w:rFonts w:asciiTheme="minorHAnsi" w:hAnsiTheme="minorHAnsi"/>
                <w:b w:val="0"/>
                <w:sz w:val="14"/>
                <w:szCs w:val="14"/>
              </w:rPr>
              <w:t>EFRR</w:t>
            </w:r>
          </w:p>
        </w:tc>
        <w:tc>
          <w:tcPr>
            <w:tcW w:w="470" w:type="pct"/>
            <w:tcBorders>
              <w:left w:val="single" w:sz="4" w:space="0" w:color="86BC25" w:themeColor="accent1"/>
              <w:bottom w:val="single" w:sz="4" w:space="0" w:color="86BC25" w:themeColor="accent1"/>
              <w:right w:val="single" w:sz="4" w:space="0" w:color="86BC25" w:themeColor="accent1"/>
            </w:tcBorders>
            <w:vAlign w:val="center"/>
          </w:tcPr>
          <w:p w14:paraId="0733020F"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212 758 505</w:t>
            </w:r>
          </w:p>
        </w:tc>
        <w:tc>
          <w:tcPr>
            <w:tcW w:w="506" w:type="pct"/>
            <w:tcBorders>
              <w:left w:val="single" w:sz="4" w:space="0" w:color="86BC25" w:themeColor="accent1"/>
              <w:bottom w:val="single" w:sz="4" w:space="0" w:color="86BC25" w:themeColor="accent1"/>
              <w:right w:val="single" w:sz="4" w:space="0" w:color="86BC25" w:themeColor="accent1"/>
            </w:tcBorders>
            <w:vAlign w:val="center"/>
          </w:tcPr>
          <w:p w14:paraId="4AE2AD27"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13 911 996</w:t>
            </w:r>
          </w:p>
        </w:tc>
        <w:tc>
          <w:tcPr>
            <w:tcW w:w="481" w:type="pct"/>
            <w:tcBorders>
              <w:left w:val="single" w:sz="4" w:space="0" w:color="86BC25" w:themeColor="accent1"/>
              <w:bottom w:val="single" w:sz="4" w:space="0" w:color="86BC25" w:themeColor="accent1"/>
              <w:right w:val="single" w:sz="4" w:space="0" w:color="86BC25" w:themeColor="accent1"/>
            </w:tcBorders>
            <w:vAlign w:val="center"/>
          </w:tcPr>
          <w:p w14:paraId="75197CE1"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218 409 259</w:t>
            </w:r>
          </w:p>
        </w:tc>
        <w:tc>
          <w:tcPr>
            <w:tcW w:w="459" w:type="pct"/>
            <w:tcBorders>
              <w:left w:val="single" w:sz="4" w:space="0" w:color="86BC25" w:themeColor="accent1"/>
              <w:bottom w:val="single" w:sz="4" w:space="0" w:color="86BC25" w:themeColor="accent1"/>
              <w:right w:val="single" w:sz="4" w:space="0" w:color="86BC25" w:themeColor="accent1"/>
            </w:tcBorders>
            <w:vAlign w:val="center"/>
          </w:tcPr>
          <w:p w14:paraId="6DD8C5D0"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14 291 195</w:t>
            </w:r>
          </w:p>
        </w:tc>
        <w:tc>
          <w:tcPr>
            <w:tcW w:w="460" w:type="pct"/>
            <w:tcBorders>
              <w:left w:val="single" w:sz="4" w:space="0" w:color="86BC25" w:themeColor="accent1"/>
              <w:bottom w:val="single" w:sz="4" w:space="0" w:color="86BC25" w:themeColor="accent1"/>
              <w:right w:val="single" w:sz="4" w:space="0" w:color="86BC25" w:themeColor="accent1"/>
            </w:tcBorders>
            <w:vAlign w:val="center"/>
          </w:tcPr>
          <w:p w14:paraId="3029A2FE"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228 638 336</w:t>
            </w:r>
          </w:p>
        </w:tc>
        <w:tc>
          <w:tcPr>
            <w:tcW w:w="427" w:type="pct"/>
            <w:tcBorders>
              <w:left w:val="single" w:sz="4" w:space="0" w:color="86BC25" w:themeColor="accent1"/>
              <w:bottom w:val="single" w:sz="4" w:space="0" w:color="86BC25" w:themeColor="accent1"/>
              <w:right w:val="single" w:sz="4" w:space="0" w:color="86BC25" w:themeColor="accent1"/>
            </w:tcBorders>
            <w:vAlign w:val="center"/>
          </w:tcPr>
          <w:p w14:paraId="485EA970"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14 960 255</w:t>
            </w:r>
          </w:p>
        </w:tc>
        <w:tc>
          <w:tcPr>
            <w:tcW w:w="492" w:type="pct"/>
            <w:tcBorders>
              <w:left w:val="single" w:sz="4" w:space="0" w:color="86BC25" w:themeColor="accent1"/>
              <w:bottom w:val="single" w:sz="4" w:space="0" w:color="86BC25" w:themeColor="accent1"/>
              <w:right w:val="single" w:sz="4" w:space="0" w:color="86BC25" w:themeColor="accent1"/>
            </w:tcBorders>
            <w:vAlign w:val="center"/>
          </w:tcPr>
          <w:p w14:paraId="72970C3F"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239 596 691</w:t>
            </w:r>
          </w:p>
        </w:tc>
        <w:tc>
          <w:tcPr>
            <w:tcW w:w="427" w:type="pct"/>
            <w:tcBorders>
              <w:left w:val="single" w:sz="4" w:space="0" w:color="86BC25" w:themeColor="accent1"/>
              <w:bottom w:val="single" w:sz="4" w:space="0" w:color="86BC25" w:themeColor="accent1"/>
              <w:right w:val="single" w:sz="4" w:space="0" w:color="86BC25" w:themeColor="accent1"/>
            </w:tcBorders>
            <w:vAlign w:val="center"/>
          </w:tcPr>
          <w:p w14:paraId="27BDAF92"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15 677 006</w:t>
            </w:r>
          </w:p>
        </w:tc>
        <w:tc>
          <w:tcPr>
            <w:tcW w:w="415" w:type="pct"/>
            <w:tcBorders>
              <w:left w:val="single" w:sz="4" w:space="0" w:color="86BC25" w:themeColor="accent1"/>
              <w:bottom w:val="single" w:sz="4" w:space="0" w:color="86BC25" w:themeColor="accent1"/>
              <w:right w:val="single" w:sz="4" w:space="0" w:color="86BC25" w:themeColor="accent1"/>
            </w:tcBorders>
            <w:vAlign w:val="center"/>
          </w:tcPr>
          <w:p w14:paraId="3305300F"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245 501 712</w:t>
            </w:r>
          </w:p>
        </w:tc>
        <w:tc>
          <w:tcPr>
            <w:tcW w:w="416" w:type="pct"/>
            <w:tcBorders>
              <w:left w:val="single" w:sz="4" w:space="0" w:color="86BC25" w:themeColor="accent1"/>
              <w:bottom w:val="single" w:sz="4" w:space="0" w:color="86BC25" w:themeColor="accent1"/>
              <w:right w:val="single" w:sz="4" w:space="0" w:color="86BC25" w:themeColor="accent1"/>
            </w:tcBorders>
            <w:vAlign w:val="center"/>
          </w:tcPr>
          <w:p w14:paraId="691175E1"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16 063 329</w:t>
            </w:r>
          </w:p>
        </w:tc>
      </w:tr>
      <w:tr w:rsidR="008C2CBB" w:rsidRPr="00DD6590" w14:paraId="55B0A146" w14:textId="77777777" w:rsidTr="001D4B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7"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15EDD84C" w14:textId="77777777" w:rsidR="008C2CBB" w:rsidRPr="00DD6590" w:rsidRDefault="008C2CBB" w:rsidP="001D4B22">
            <w:pPr>
              <w:spacing w:before="60" w:after="0"/>
              <w:rPr>
                <w:rFonts w:asciiTheme="minorHAnsi" w:hAnsiTheme="minorHAnsi"/>
                <w:b w:val="0"/>
                <w:sz w:val="14"/>
                <w:szCs w:val="14"/>
              </w:rPr>
            </w:pPr>
            <w:r w:rsidRPr="00DD6590">
              <w:rPr>
                <w:rFonts w:asciiTheme="minorHAnsi" w:hAnsiTheme="minorHAnsi"/>
                <w:b w:val="0"/>
                <w:sz w:val="14"/>
                <w:szCs w:val="14"/>
              </w:rPr>
              <w:t>KF</w:t>
            </w:r>
          </w:p>
        </w:tc>
        <w:tc>
          <w:tcPr>
            <w:tcW w:w="470"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608F9587"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296 590 745</w:t>
            </w:r>
          </w:p>
        </w:tc>
        <w:tc>
          <w:tcPr>
            <w:tcW w:w="506"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F68458A"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18 931 324</w:t>
            </w:r>
          </w:p>
        </w:tc>
        <w:tc>
          <w:tcPr>
            <w:tcW w:w="481"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5E40B5BE"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310 270 527</w:t>
            </w:r>
          </w:p>
        </w:tc>
        <w:tc>
          <w:tcPr>
            <w:tcW w:w="459"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389288A"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19 804 502</w:t>
            </w:r>
          </w:p>
        </w:tc>
        <w:tc>
          <w:tcPr>
            <w:tcW w:w="460"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6FE53343"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324 312 761</w:t>
            </w:r>
          </w:p>
        </w:tc>
        <w:tc>
          <w:tcPr>
            <w:tcW w:w="427"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6EC785E"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20 700 815</w:t>
            </w:r>
          </w:p>
        </w:tc>
        <w:tc>
          <w:tcPr>
            <w:tcW w:w="492"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8D27EB1"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339 944 875</w:t>
            </w:r>
          </w:p>
        </w:tc>
        <w:tc>
          <w:tcPr>
            <w:tcW w:w="427"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E53569E"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21 698 609</w:t>
            </w:r>
          </w:p>
        </w:tc>
        <w:tc>
          <w:tcPr>
            <w:tcW w:w="415"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1E2ED13A"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347 485 542</w:t>
            </w:r>
          </w:p>
        </w:tc>
        <w:tc>
          <w:tcPr>
            <w:tcW w:w="416"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51D7225"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22 179 928</w:t>
            </w:r>
          </w:p>
        </w:tc>
      </w:tr>
      <w:tr w:rsidR="008C2CBB" w:rsidRPr="00DD6590" w14:paraId="67301C0F" w14:textId="77777777" w:rsidTr="001D4B22">
        <w:tc>
          <w:tcPr>
            <w:cnfStyle w:val="001000000000" w:firstRow="0" w:lastRow="0" w:firstColumn="1" w:lastColumn="0" w:oddVBand="0" w:evenVBand="0" w:oddHBand="0" w:evenHBand="0" w:firstRowFirstColumn="0" w:firstRowLastColumn="0" w:lastRowFirstColumn="0" w:lastRowLastColumn="0"/>
            <w:tcW w:w="447"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427DE3B" w14:textId="77777777" w:rsidR="008C2CBB" w:rsidRPr="00DD6590" w:rsidRDefault="008C2CBB" w:rsidP="001D4B22">
            <w:pPr>
              <w:spacing w:before="60" w:after="0"/>
              <w:rPr>
                <w:rFonts w:asciiTheme="minorHAnsi" w:hAnsiTheme="minorHAnsi"/>
                <w:b w:val="0"/>
                <w:sz w:val="14"/>
                <w:szCs w:val="14"/>
              </w:rPr>
            </w:pPr>
            <w:r w:rsidRPr="00DD6590">
              <w:rPr>
                <w:rFonts w:asciiTheme="minorHAnsi" w:hAnsiTheme="minorHAnsi"/>
                <w:b w:val="0"/>
                <w:sz w:val="14"/>
                <w:szCs w:val="14"/>
              </w:rPr>
              <w:t>Spolu</w:t>
            </w:r>
          </w:p>
        </w:tc>
        <w:tc>
          <w:tcPr>
            <w:tcW w:w="470"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8857B8A"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509 349 250</w:t>
            </w:r>
          </w:p>
        </w:tc>
        <w:tc>
          <w:tcPr>
            <w:tcW w:w="506"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3E12B94"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32 843 320</w:t>
            </w:r>
          </w:p>
        </w:tc>
        <w:tc>
          <w:tcPr>
            <w:tcW w:w="481"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2051D3CA"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528 679 786</w:t>
            </w:r>
          </w:p>
        </w:tc>
        <w:tc>
          <w:tcPr>
            <w:tcW w:w="459"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E36AC25"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34 095 697</w:t>
            </w:r>
          </w:p>
        </w:tc>
        <w:tc>
          <w:tcPr>
            <w:tcW w:w="460"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1276F763"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552 951 097</w:t>
            </w:r>
          </w:p>
        </w:tc>
        <w:tc>
          <w:tcPr>
            <w:tcW w:w="427"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8FD52D3"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35 661 070</w:t>
            </w:r>
          </w:p>
        </w:tc>
        <w:tc>
          <w:tcPr>
            <w:tcW w:w="492"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295F5BE5"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579 541 566</w:t>
            </w:r>
          </w:p>
        </w:tc>
        <w:tc>
          <w:tcPr>
            <w:tcW w:w="427"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A5521C1"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37 375 615</w:t>
            </w:r>
          </w:p>
        </w:tc>
        <w:tc>
          <w:tcPr>
            <w:tcW w:w="415"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EFCC07B"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592 987 254</w:t>
            </w:r>
          </w:p>
        </w:tc>
        <w:tc>
          <w:tcPr>
            <w:tcW w:w="416"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1710096"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38 243 257</w:t>
            </w:r>
          </w:p>
        </w:tc>
      </w:tr>
      <w:tr w:rsidR="008C2CBB" w:rsidRPr="00DD6590" w14:paraId="02D85094" w14:textId="77777777" w:rsidTr="001D4B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7"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BB153AD" w14:textId="77777777" w:rsidR="008C2CBB" w:rsidRPr="00DD6590" w:rsidRDefault="008C2CBB" w:rsidP="001D4B22">
            <w:pPr>
              <w:spacing w:before="60" w:after="0"/>
              <w:rPr>
                <w:rFonts w:asciiTheme="minorHAnsi" w:hAnsiTheme="minorHAnsi"/>
                <w:b w:val="0"/>
                <w:sz w:val="14"/>
                <w:szCs w:val="14"/>
              </w:rPr>
            </w:pPr>
            <w:r w:rsidRPr="00DD6590">
              <w:rPr>
                <w:rFonts w:asciiTheme="minorHAnsi" w:hAnsiTheme="minorHAnsi"/>
                <w:b w:val="0"/>
                <w:sz w:val="14"/>
                <w:szCs w:val="14"/>
              </w:rPr>
              <w:t>Rok</w:t>
            </w:r>
          </w:p>
        </w:tc>
        <w:tc>
          <w:tcPr>
            <w:tcW w:w="976"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1CE3EC31"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2019</w:t>
            </w:r>
          </w:p>
        </w:tc>
        <w:tc>
          <w:tcPr>
            <w:tcW w:w="940"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6EE8CD31"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2020</w:t>
            </w:r>
          </w:p>
        </w:tc>
        <w:tc>
          <w:tcPr>
            <w:tcW w:w="887"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414D63F"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2021</w:t>
            </w:r>
          </w:p>
        </w:tc>
        <w:tc>
          <w:tcPr>
            <w:tcW w:w="919"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5E6C1C0E"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2022</w:t>
            </w:r>
          </w:p>
        </w:tc>
        <w:tc>
          <w:tcPr>
            <w:tcW w:w="831"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47D37F3"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2023</w:t>
            </w:r>
          </w:p>
        </w:tc>
      </w:tr>
      <w:tr w:rsidR="008C2CBB" w:rsidRPr="00DD6590" w14:paraId="724E464E" w14:textId="77777777" w:rsidTr="001D4B22">
        <w:tc>
          <w:tcPr>
            <w:cnfStyle w:val="001000000000" w:firstRow="0" w:lastRow="0" w:firstColumn="1" w:lastColumn="0" w:oddVBand="0" w:evenVBand="0" w:oddHBand="0" w:evenHBand="0" w:firstRowFirstColumn="0" w:firstRowLastColumn="0" w:lastRowFirstColumn="0" w:lastRowLastColumn="0"/>
            <w:tcW w:w="447"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F97F570" w14:textId="77777777" w:rsidR="008C2CBB" w:rsidRPr="00DD6590" w:rsidRDefault="008C2CBB" w:rsidP="001D4B22">
            <w:pPr>
              <w:spacing w:before="60" w:after="0"/>
              <w:rPr>
                <w:rFonts w:asciiTheme="minorHAnsi" w:hAnsiTheme="minorHAnsi"/>
                <w:b w:val="0"/>
                <w:sz w:val="14"/>
                <w:szCs w:val="14"/>
              </w:rPr>
            </w:pPr>
            <w:r w:rsidRPr="00DD6590">
              <w:rPr>
                <w:rFonts w:asciiTheme="minorHAnsi" w:hAnsiTheme="minorHAnsi"/>
                <w:b w:val="0"/>
                <w:sz w:val="14"/>
                <w:szCs w:val="14"/>
              </w:rPr>
              <w:t>Odhadované čerpanie EFRR</w:t>
            </w:r>
            <w:r w:rsidRPr="00DD6590">
              <w:rPr>
                <w:rStyle w:val="FootnoteReference"/>
                <w:rFonts w:asciiTheme="minorHAnsi" w:hAnsiTheme="minorHAnsi"/>
                <w:b w:val="0"/>
                <w:sz w:val="14"/>
                <w:szCs w:val="14"/>
              </w:rPr>
              <w:footnoteReference w:id="7"/>
            </w:r>
          </w:p>
        </w:tc>
        <w:tc>
          <w:tcPr>
            <w:tcW w:w="976"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3AFA1F5"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94 970 686</w:t>
            </w:r>
          </w:p>
        </w:tc>
        <w:tc>
          <w:tcPr>
            <w:tcW w:w="940"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3E4FD6F"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116 538 343</w:t>
            </w:r>
          </w:p>
        </w:tc>
        <w:tc>
          <w:tcPr>
            <w:tcW w:w="887"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2DB6577"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130 881 419</w:t>
            </w:r>
          </w:p>
        </w:tc>
        <w:tc>
          <w:tcPr>
            <w:tcW w:w="919"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75D04D69"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8 679 152</w:t>
            </w:r>
          </w:p>
        </w:tc>
        <w:tc>
          <w:tcPr>
            <w:tcW w:w="831"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5336A46A"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34 692 610</w:t>
            </w:r>
          </w:p>
        </w:tc>
      </w:tr>
      <w:tr w:rsidR="008C2CBB" w:rsidRPr="00DD6590" w14:paraId="76BA21E7" w14:textId="77777777" w:rsidTr="001D4B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7"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FEC0955" w14:textId="77777777" w:rsidR="008C2CBB" w:rsidRPr="00DD6590" w:rsidRDefault="008C2CBB" w:rsidP="001D4B22">
            <w:pPr>
              <w:spacing w:before="60" w:after="0"/>
              <w:rPr>
                <w:rFonts w:asciiTheme="minorHAnsi" w:hAnsiTheme="minorHAnsi"/>
                <w:b w:val="0"/>
                <w:sz w:val="14"/>
                <w:szCs w:val="14"/>
              </w:rPr>
            </w:pPr>
            <w:r w:rsidRPr="00DD6590">
              <w:rPr>
                <w:rFonts w:asciiTheme="minorHAnsi" w:hAnsiTheme="minorHAnsi"/>
                <w:b w:val="0"/>
                <w:sz w:val="14"/>
                <w:szCs w:val="14"/>
              </w:rPr>
              <w:t>Odhadované čerpanie KF</w:t>
            </w:r>
          </w:p>
        </w:tc>
        <w:tc>
          <w:tcPr>
            <w:tcW w:w="976"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5D2EEA67"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299 608 458</w:t>
            </w:r>
          </w:p>
        </w:tc>
        <w:tc>
          <w:tcPr>
            <w:tcW w:w="940"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6BE35A2A"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310 767 460</w:t>
            </w:r>
          </w:p>
        </w:tc>
        <w:tc>
          <w:tcPr>
            <w:tcW w:w="887"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C06FAEB"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180 801 606</w:t>
            </w:r>
          </w:p>
        </w:tc>
        <w:tc>
          <w:tcPr>
            <w:tcW w:w="919"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2D4AE04"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361 201 562</w:t>
            </w:r>
          </w:p>
        </w:tc>
        <w:tc>
          <w:tcPr>
            <w:tcW w:w="831"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4247C1D"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4"/>
                <w:szCs w:val="14"/>
              </w:rPr>
            </w:pPr>
            <w:r w:rsidRPr="00DD6590">
              <w:rPr>
                <w:rFonts w:asciiTheme="minorHAnsi" w:hAnsiTheme="minorHAnsi"/>
                <w:sz w:val="14"/>
                <w:szCs w:val="14"/>
              </w:rPr>
              <w:t>0</w:t>
            </w:r>
          </w:p>
        </w:tc>
      </w:tr>
      <w:tr w:rsidR="008C2CBB" w:rsidRPr="00DD6590" w14:paraId="05C158B9" w14:textId="77777777" w:rsidTr="001D4B22">
        <w:tc>
          <w:tcPr>
            <w:cnfStyle w:val="001000000000" w:firstRow="0" w:lastRow="0" w:firstColumn="1" w:lastColumn="0" w:oddVBand="0" w:evenVBand="0" w:oddHBand="0" w:evenHBand="0" w:firstRowFirstColumn="0" w:firstRowLastColumn="0" w:lastRowFirstColumn="0" w:lastRowLastColumn="0"/>
            <w:tcW w:w="447"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5DB382B1" w14:textId="77777777" w:rsidR="008C2CBB" w:rsidRPr="00DD6590" w:rsidRDefault="008C2CBB" w:rsidP="001D4B22">
            <w:pPr>
              <w:spacing w:before="60" w:after="0"/>
              <w:rPr>
                <w:rFonts w:asciiTheme="minorHAnsi" w:hAnsiTheme="minorHAnsi"/>
                <w:sz w:val="14"/>
                <w:szCs w:val="14"/>
              </w:rPr>
            </w:pPr>
            <w:r w:rsidRPr="00DD6590">
              <w:rPr>
                <w:rFonts w:asciiTheme="minorHAnsi" w:hAnsiTheme="minorHAnsi"/>
                <w:sz w:val="14"/>
                <w:szCs w:val="14"/>
              </w:rPr>
              <w:t>Spolu</w:t>
            </w:r>
          </w:p>
        </w:tc>
        <w:tc>
          <w:tcPr>
            <w:tcW w:w="976"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4AA9B02B"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 w:val="14"/>
                <w:szCs w:val="14"/>
              </w:rPr>
            </w:pPr>
            <w:r w:rsidRPr="00DD6590">
              <w:rPr>
                <w:rFonts w:asciiTheme="minorHAnsi" w:hAnsiTheme="minorHAnsi"/>
                <w:b/>
                <w:sz w:val="14"/>
                <w:szCs w:val="14"/>
              </w:rPr>
              <w:t>384 579 144</w:t>
            </w:r>
          </w:p>
        </w:tc>
        <w:tc>
          <w:tcPr>
            <w:tcW w:w="940"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6AD842BA"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 w:val="14"/>
                <w:szCs w:val="14"/>
              </w:rPr>
            </w:pPr>
            <w:r w:rsidRPr="00DD6590">
              <w:rPr>
                <w:rFonts w:asciiTheme="minorHAnsi" w:hAnsiTheme="minorHAnsi"/>
                <w:b/>
                <w:sz w:val="14"/>
                <w:szCs w:val="14"/>
              </w:rPr>
              <w:t>477 305 803</w:t>
            </w:r>
          </w:p>
        </w:tc>
        <w:tc>
          <w:tcPr>
            <w:tcW w:w="887"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584C300"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 w:val="14"/>
                <w:szCs w:val="14"/>
              </w:rPr>
            </w:pPr>
            <w:r w:rsidRPr="00DD6590">
              <w:rPr>
                <w:rFonts w:asciiTheme="minorHAnsi" w:hAnsiTheme="minorHAnsi"/>
                <w:b/>
                <w:sz w:val="14"/>
                <w:szCs w:val="14"/>
              </w:rPr>
              <w:t>311 683 025</w:t>
            </w:r>
          </w:p>
        </w:tc>
        <w:tc>
          <w:tcPr>
            <w:tcW w:w="919"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513979FE"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 w:val="14"/>
                <w:szCs w:val="14"/>
              </w:rPr>
            </w:pPr>
            <w:r w:rsidRPr="00DD6590">
              <w:rPr>
                <w:rFonts w:asciiTheme="minorHAnsi" w:hAnsiTheme="minorHAnsi"/>
                <w:b/>
                <w:sz w:val="14"/>
                <w:szCs w:val="14"/>
              </w:rPr>
              <w:t>369 874 152</w:t>
            </w:r>
          </w:p>
        </w:tc>
        <w:tc>
          <w:tcPr>
            <w:tcW w:w="831"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2509D872" w14:textId="77777777" w:rsidR="008C2CBB" w:rsidRPr="00DD6590" w:rsidRDefault="008C2CBB" w:rsidP="001D4B22">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 w:val="14"/>
                <w:szCs w:val="14"/>
              </w:rPr>
            </w:pPr>
            <w:r w:rsidRPr="00DD6590">
              <w:rPr>
                <w:rFonts w:asciiTheme="minorHAnsi" w:hAnsiTheme="minorHAnsi"/>
                <w:b/>
                <w:sz w:val="14"/>
                <w:szCs w:val="14"/>
              </w:rPr>
              <w:t>34 692 610</w:t>
            </w:r>
          </w:p>
        </w:tc>
      </w:tr>
      <w:tr w:rsidR="008C2CBB" w:rsidRPr="00DD6590" w14:paraId="2949A9A8" w14:textId="77777777" w:rsidTr="001D4B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7" w:type="pct"/>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6575535F" w14:textId="77777777" w:rsidR="008C2CBB" w:rsidRPr="00DD6590" w:rsidRDefault="008C2CBB" w:rsidP="001D4B22">
            <w:pPr>
              <w:spacing w:before="60" w:after="0"/>
              <w:rPr>
                <w:rFonts w:asciiTheme="minorHAnsi" w:hAnsiTheme="minorHAnsi"/>
                <w:sz w:val="14"/>
                <w:szCs w:val="14"/>
              </w:rPr>
            </w:pPr>
            <w:r w:rsidRPr="00DD6590">
              <w:rPr>
                <w:rFonts w:asciiTheme="minorHAnsi" w:hAnsiTheme="minorHAnsi"/>
                <w:sz w:val="14"/>
                <w:szCs w:val="14"/>
              </w:rPr>
              <w:t>Pomer</w:t>
            </w:r>
          </w:p>
        </w:tc>
        <w:tc>
          <w:tcPr>
            <w:tcW w:w="976"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610C5D1E"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 w:val="14"/>
                <w:szCs w:val="14"/>
              </w:rPr>
            </w:pPr>
            <w:r w:rsidRPr="00DD6590">
              <w:rPr>
                <w:rFonts w:asciiTheme="minorHAnsi" w:hAnsiTheme="minorHAnsi"/>
                <w:b/>
                <w:sz w:val="14"/>
                <w:szCs w:val="14"/>
              </w:rPr>
              <w:t>72</w:t>
            </w:r>
            <w:r w:rsidR="00B2034B">
              <w:rPr>
                <w:rFonts w:asciiTheme="minorHAnsi" w:hAnsiTheme="minorHAnsi"/>
                <w:b/>
                <w:sz w:val="14"/>
                <w:szCs w:val="14"/>
              </w:rPr>
              <w:t xml:space="preserve"> </w:t>
            </w:r>
            <w:r w:rsidRPr="00DD6590">
              <w:rPr>
                <w:rFonts w:asciiTheme="minorHAnsi" w:hAnsiTheme="minorHAnsi"/>
                <w:b/>
                <w:sz w:val="14"/>
                <w:szCs w:val="14"/>
              </w:rPr>
              <w:t>%</w:t>
            </w:r>
          </w:p>
        </w:tc>
        <w:tc>
          <w:tcPr>
            <w:tcW w:w="940"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25D4089"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 w:val="14"/>
                <w:szCs w:val="14"/>
              </w:rPr>
            </w:pPr>
            <w:r w:rsidRPr="00DD6590">
              <w:rPr>
                <w:rFonts w:asciiTheme="minorHAnsi" w:hAnsiTheme="minorHAnsi"/>
                <w:b/>
                <w:sz w:val="14"/>
                <w:szCs w:val="14"/>
              </w:rPr>
              <w:t>84</w:t>
            </w:r>
            <w:r w:rsidR="00B2034B">
              <w:rPr>
                <w:rFonts w:asciiTheme="minorHAnsi" w:hAnsiTheme="minorHAnsi"/>
                <w:b/>
                <w:sz w:val="14"/>
                <w:szCs w:val="14"/>
              </w:rPr>
              <w:t xml:space="preserve"> </w:t>
            </w:r>
            <w:r w:rsidRPr="00DD6590">
              <w:rPr>
                <w:rFonts w:asciiTheme="minorHAnsi" w:hAnsiTheme="minorHAnsi"/>
                <w:b/>
                <w:sz w:val="14"/>
                <w:szCs w:val="14"/>
              </w:rPr>
              <w:t>%</w:t>
            </w:r>
          </w:p>
        </w:tc>
        <w:tc>
          <w:tcPr>
            <w:tcW w:w="887"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3E818C2E"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 w:val="14"/>
                <w:szCs w:val="14"/>
              </w:rPr>
            </w:pPr>
            <w:r w:rsidRPr="00DD6590">
              <w:rPr>
                <w:rFonts w:asciiTheme="minorHAnsi" w:hAnsiTheme="minorHAnsi"/>
                <w:b/>
                <w:sz w:val="14"/>
                <w:szCs w:val="14"/>
              </w:rPr>
              <w:t>53</w:t>
            </w:r>
            <w:r w:rsidR="00B2034B">
              <w:rPr>
                <w:rFonts w:asciiTheme="minorHAnsi" w:hAnsiTheme="minorHAnsi"/>
                <w:b/>
                <w:sz w:val="14"/>
                <w:szCs w:val="14"/>
              </w:rPr>
              <w:t xml:space="preserve"> </w:t>
            </w:r>
            <w:r w:rsidRPr="00DD6590">
              <w:rPr>
                <w:rFonts w:asciiTheme="minorHAnsi" w:hAnsiTheme="minorHAnsi"/>
                <w:b/>
                <w:sz w:val="14"/>
                <w:szCs w:val="14"/>
              </w:rPr>
              <w:t>%</w:t>
            </w:r>
          </w:p>
        </w:tc>
        <w:tc>
          <w:tcPr>
            <w:tcW w:w="919"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AEB9456"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 w:val="14"/>
                <w:szCs w:val="14"/>
              </w:rPr>
            </w:pPr>
            <w:r w:rsidRPr="00DD6590">
              <w:rPr>
                <w:rFonts w:asciiTheme="minorHAnsi" w:hAnsiTheme="minorHAnsi"/>
                <w:b/>
                <w:sz w:val="14"/>
                <w:szCs w:val="14"/>
              </w:rPr>
              <w:t>60</w:t>
            </w:r>
            <w:r w:rsidR="00B2034B">
              <w:rPr>
                <w:rFonts w:asciiTheme="minorHAnsi" w:hAnsiTheme="minorHAnsi"/>
                <w:b/>
                <w:sz w:val="14"/>
                <w:szCs w:val="14"/>
              </w:rPr>
              <w:t xml:space="preserve"> </w:t>
            </w:r>
            <w:r w:rsidRPr="00DD6590">
              <w:rPr>
                <w:rFonts w:asciiTheme="minorHAnsi" w:hAnsiTheme="minorHAnsi"/>
                <w:b/>
                <w:sz w:val="14"/>
                <w:szCs w:val="14"/>
              </w:rPr>
              <w:t>%</w:t>
            </w:r>
          </w:p>
        </w:tc>
        <w:tc>
          <w:tcPr>
            <w:tcW w:w="831" w:type="pct"/>
            <w:gridSpan w:val="2"/>
            <w:tcBorders>
              <w:top w:val="single" w:sz="4" w:space="0" w:color="86BC25" w:themeColor="accent1"/>
              <w:left w:val="single" w:sz="4" w:space="0" w:color="86BC25" w:themeColor="accent1"/>
              <w:bottom w:val="single" w:sz="4" w:space="0" w:color="86BC25" w:themeColor="accent1"/>
              <w:right w:val="single" w:sz="4" w:space="0" w:color="86BC25" w:themeColor="accent1"/>
            </w:tcBorders>
            <w:vAlign w:val="center"/>
          </w:tcPr>
          <w:p w14:paraId="0AA64FA2" w14:textId="77777777" w:rsidR="008C2CBB" w:rsidRPr="00DD6590" w:rsidRDefault="008C2CBB" w:rsidP="001D4B22">
            <w:pPr>
              <w:spacing w:before="6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 w:val="14"/>
                <w:szCs w:val="14"/>
              </w:rPr>
            </w:pPr>
            <w:r w:rsidRPr="00DD6590">
              <w:rPr>
                <w:rFonts w:asciiTheme="minorHAnsi" w:hAnsiTheme="minorHAnsi"/>
                <w:b/>
                <w:sz w:val="14"/>
                <w:szCs w:val="14"/>
              </w:rPr>
              <w:t>5,5</w:t>
            </w:r>
            <w:r w:rsidR="00B2034B">
              <w:rPr>
                <w:rFonts w:asciiTheme="minorHAnsi" w:hAnsiTheme="minorHAnsi"/>
                <w:b/>
                <w:sz w:val="14"/>
                <w:szCs w:val="14"/>
              </w:rPr>
              <w:t xml:space="preserve"> </w:t>
            </w:r>
            <w:r w:rsidRPr="00DD6590">
              <w:rPr>
                <w:rFonts w:asciiTheme="minorHAnsi" w:hAnsiTheme="minorHAnsi"/>
                <w:b/>
                <w:sz w:val="14"/>
                <w:szCs w:val="14"/>
              </w:rPr>
              <w:t>%</w:t>
            </w:r>
          </w:p>
        </w:tc>
      </w:tr>
    </w:tbl>
    <w:p w14:paraId="09FE6787" w14:textId="77777777" w:rsidR="00AA0521" w:rsidRPr="00DD6590" w:rsidRDefault="00AA0521">
      <w:pPr>
        <w:spacing w:before="0" w:after="200" w:line="276" w:lineRule="auto"/>
        <w:jc w:val="left"/>
      </w:pPr>
    </w:p>
    <w:p w14:paraId="7FD6632E" w14:textId="77777777" w:rsidR="00AA0521" w:rsidRPr="00DD6590" w:rsidRDefault="00AA0521" w:rsidP="00AA0521">
      <w:pPr>
        <w:tabs>
          <w:tab w:val="left" w:pos="1272"/>
        </w:tabs>
      </w:pPr>
      <w:r w:rsidRPr="00DD6590">
        <w:tab/>
      </w:r>
    </w:p>
    <w:p w14:paraId="5EA7E44E" w14:textId="7035757E" w:rsidR="000C4E5A" w:rsidRPr="00DD6590" w:rsidRDefault="000C4E5A" w:rsidP="000C4E5A">
      <w:pPr>
        <w:pStyle w:val="Caption"/>
      </w:pPr>
      <w:bookmarkStart w:id="53" w:name="_Toc9855882"/>
      <w:r w:rsidRPr="00DD6590">
        <w:t xml:space="preserve">Tabuľka </w:t>
      </w:r>
      <w:r w:rsidRPr="00DD6590">
        <w:fldChar w:fldCharType="begin"/>
      </w:r>
      <w:r w:rsidRPr="00DD6590">
        <w:instrText xml:space="preserve"> SEQ Tabuľka \* ARABIC </w:instrText>
      </w:r>
      <w:r w:rsidRPr="00DD6590">
        <w:fldChar w:fldCharType="separate"/>
      </w:r>
      <w:r w:rsidR="00DC3C97">
        <w:rPr>
          <w:noProof/>
        </w:rPr>
        <w:t>5</w:t>
      </w:r>
      <w:r w:rsidRPr="00DD6590">
        <w:fldChar w:fldCharType="end"/>
      </w:r>
      <w:r w:rsidRPr="00DD6590">
        <w:t xml:space="preserve"> </w:t>
      </w:r>
      <w:r w:rsidR="00156FD1" w:rsidRPr="00DD6590">
        <w:t xml:space="preserve">Minimálne hranice čerpania </w:t>
      </w:r>
      <w:r w:rsidR="00E664D0">
        <w:t>OPII</w:t>
      </w:r>
      <w:r w:rsidR="00156FD1" w:rsidRPr="00DD6590">
        <w:t xml:space="preserve"> (kumulatívne)</w:t>
      </w:r>
      <w:bookmarkEnd w:id="53"/>
    </w:p>
    <w:tbl>
      <w:tblPr>
        <w:tblStyle w:val="Svetlzoznamzvraznenie11"/>
        <w:tblW w:w="0" w:type="auto"/>
        <w:tblLook w:val="04A0" w:firstRow="1" w:lastRow="0" w:firstColumn="1" w:lastColumn="0" w:noHBand="0" w:noVBand="1"/>
      </w:tblPr>
      <w:tblGrid>
        <w:gridCol w:w="1482"/>
        <w:gridCol w:w="668"/>
        <w:gridCol w:w="1472"/>
        <w:gridCol w:w="1593"/>
        <w:gridCol w:w="1705"/>
        <w:gridCol w:w="1530"/>
        <w:gridCol w:w="1620"/>
        <w:gridCol w:w="1800"/>
        <w:gridCol w:w="1823"/>
      </w:tblGrid>
      <w:tr w:rsidR="00AE1162" w:rsidRPr="00DD6590" w14:paraId="6BF95C09" w14:textId="77777777" w:rsidTr="00AE11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2" w:type="dxa"/>
            <w:tcBorders>
              <w:right w:val="single" w:sz="4" w:space="0" w:color="86BC25" w:themeColor="accent1"/>
            </w:tcBorders>
            <w:vAlign w:val="center"/>
          </w:tcPr>
          <w:p w14:paraId="69EE6345" w14:textId="77777777" w:rsidR="005847CD" w:rsidRPr="00DD6590" w:rsidRDefault="005847CD" w:rsidP="00333D70">
            <w:pPr>
              <w:tabs>
                <w:tab w:val="left" w:pos="1272"/>
              </w:tabs>
              <w:jc w:val="center"/>
              <w:rPr>
                <w:rFonts w:asciiTheme="minorHAnsi" w:hAnsiTheme="minorHAnsi"/>
                <w:sz w:val="16"/>
                <w:szCs w:val="16"/>
              </w:rPr>
            </w:pPr>
            <w:r w:rsidRPr="00DD6590">
              <w:rPr>
                <w:rFonts w:asciiTheme="minorHAnsi" w:hAnsiTheme="minorHAnsi"/>
                <w:sz w:val="16"/>
                <w:szCs w:val="16"/>
              </w:rPr>
              <w:t>OP</w:t>
            </w:r>
          </w:p>
        </w:tc>
        <w:tc>
          <w:tcPr>
            <w:tcW w:w="668" w:type="dxa"/>
            <w:tcBorders>
              <w:left w:val="single" w:sz="4" w:space="0" w:color="86BC25" w:themeColor="accent1"/>
              <w:right w:val="single" w:sz="4" w:space="0" w:color="86BC25" w:themeColor="accent1"/>
            </w:tcBorders>
            <w:vAlign w:val="center"/>
          </w:tcPr>
          <w:p w14:paraId="79632D39" w14:textId="77777777" w:rsidR="005847CD" w:rsidRPr="00DD6590" w:rsidRDefault="005847CD" w:rsidP="00333D70">
            <w:pPr>
              <w:tabs>
                <w:tab w:val="left" w:pos="1272"/>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Fond</w:t>
            </w:r>
          </w:p>
        </w:tc>
        <w:tc>
          <w:tcPr>
            <w:tcW w:w="1472" w:type="dxa"/>
            <w:tcBorders>
              <w:left w:val="single" w:sz="4" w:space="0" w:color="86BC25" w:themeColor="accent1"/>
              <w:right w:val="single" w:sz="4" w:space="0" w:color="86BC25" w:themeColor="accent1"/>
            </w:tcBorders>
            <w:vAlign w:val="center"/>
          </w:tcPr>
          <w:p w14:paraId="6CCAD7C5" w14:textId="77777777" w:rsidR="005847CD" w:rsidRPr="00DD6590" w:rsidRDefault="005847CD" w:rsidP="00333D70">
            <w:pPr>
              <w:tabs>
                <w:tab w:val="left" w:pos="1272"/>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potrebné vyčerpať do 31.12.2017 (záväzok 2014</w:t>
            </w:r>
            <w:r w:rsidR="00B2034B">
              <w:rPr>
                <w:rFonts w:asciiTheme="minorHAnsi" w:hAnsiTheme="minorHAnsi"/>
                <w:sz w:val="16"/>
                <w:szCs w:val="16"/>
              </w:rPr>
              <w:t>)</w:t>
            </w:r>
          </w:p>
        </w:tc>
        <w:tc>
          <w:tcPr>
            <w:tcW w:w="1593" w:type="dxa"/>
            <w:tcBorders>
              <w:left w:val="single" w:sz="4" w:space="0" w:color="86BC25" w:themeColor="accent1"/>
              <w:right w:val="single" w:sz="4" w:space="0" w:color="86BC25" w:themeColor="accent1"/>
            </w:tcBorders>
            <w:vAlign w:val="center"/>
          </w:tcPr>
          <w:p w14:paraId="3CC48858" w14:textId="77777777" w:rsidR="005847CD" w:rsidRPr="00DD6590" w:rsidRDefault="005847CD" w:rsidP="00333D70">
            <w:pPr>
              <w:tabs>
                <w:tab w:val="left" w:pos="1272"/>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potrebné vyčerpať do 31.12.2018 (záväzok 2014-2015)</w:t>
            </w:r>
          </w:p>
        </w:tc>
        <w:tc>
          <w:tcPr>
            <w:tcW w:w="1705" w:type="dxa"/>
            <w:tcBorders>
              <w:left w:val="single" w:sz="4" w:space="0" w:color="86BC25" w:themeColor="accent1"/>
              <w:right w:val="single" w:sz="4" w:space="0" w:color="86BC25" w:themeColor="accent1"/>
            </w:tcBorders>
            <w:vAlign w:val="center"/>
          </w:tcPr>
          <w:p w14:paraId="5AAF6179" w14:textId="77777777" w:rsidR="005847CD" w:rsidRPr="00DD6590" w:rsidRDefault="005847CD" w:rsidP="00333D70">
            <w:pPr>
              <w:tabs>
                <w:tab w:val="left" w:pos="1272"/>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potrebné vyčerpať do 31.12.2019 (záväzok 2014-2016)</w:t>
            </w:r>
          </w:p>
        </w:tc>
        <w:tc>
          <w:tcPr>
            <w:tcW w:w="1530" w:type="dxa"/>
            <w:tcBorders>
              <w:left w:val="single" w:sz="4" w:space="0" w:color="86BC25" w:themeColor="accent1"/>
              <w:right w:val="single" w:sz="4" w:space="0" w:color="86BC25" w:themeColor="accent1"/>
            </w:tcBorders>
            <w:vAlign w:val="center"/>
          </w:tcPr>
          <w:p w14:paraId="153B4011" w14:textId="77777777" w:rsidR="005847CD" w:rsidRPr="00DD6590" w:rsidRDefault="005847CD" w:rsidP="00333D70">
            <w:pPr>
              <w:tabs>
                <w:tab w:val="left" w:pos="1272"/>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potrebné vyčerpať do 31.12.2020 (záväzok 2014-2017)</w:t>
            </w:r>
          </w:p>
        </w:tc>
        <w:tc>
          <w:tcPr>
            <w:tcW w:w="1620" w:type="dxa"/>
            <w:tcBorders>
              <w:left w:val="single" w:sz="4" w:space="0" w:color="86BC25" w:themeColor="accent1"/>
              <w:right w:val="single" w:sz="4" w:space="0" w:color="86BC25" w:themeColor="accent1"/>
            </w:tcBorders>
            <w:vAlign w:val="center"/>
          </w:tcPr>
          <w:p w14:paraId="1D158F3D" w14:textId="77777777" w:rsidR="005847CD" w:rsidRPr="00DD6590" w:rsidRDefault="005847CD" w:rsidP="00333D70">
            <w:pPr>
              <w:tabs>
                <w:tab w:val="left" w:pos="1272"/>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potrebné vyčerpať do 31.12.2021 (záväzok 2014-2018)</w:t>
            </w:r>
          </w:p>
        </w:tc>
        <w:tc>
          <w:tcPr>
            <w:tcW w:w="1800" w:type="dxa"/>
            <w:tcBorders>
              <w:left w:val="single" w:sz="4" w:space="0" w:color="86BC25" w:themeColor="accent1"/>
              <w:right w:val="single" w:sz="4" w:space="0" w:color="86BC25" w:themeColor="accent1"/>
            </w:tcBorders>
            <w:vAlign w:val="center"/>
          </w:tcPr>
          <w:p w14:paraId="5F24E070" w14:textId="77777777" w:rsidR="005847CD" w:rsidRPr="00DD6590" w:rsidRDefault="005847CD" w:rsidP="00333D70">
            <w:pPr>
              <w:tabs>
                <w:tab w:val="left" w:pos="1272"/>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potrebné vyčerpať do 31.12.2022 (záväzok 2014-2019)</w:t>
            </w:r>
          </w:p>
        </w:tc>
        <w:tc>
          <w:tcPr>
            <w:tcW w:w="1823" w:type="dxa"/>
            <w:tcBorders>
              <w:left w:val="single" w:sz="4" w:space="0" w:color="86BC25" w:themeColor="accent1"/>
            </w:tcBorders>
            <w:vAlign w:val="center"/>
          </w:tcPr>
          <w:p w14:paraId="24C31B41" w14:textId="77777777" w:rsidR="005847CD" w:rsidRPr="00DD6590" w:rsidRDefault="005847CD" w:rsidP="000C4E5A">
            <w:pPr>
              <w:tabs>
                <w:tab w:val="left" w:pos="1272"/>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potrebné vyčerpať do 31.12.2023 (záväzok 2014-2020)</w:t>
            </w:r>
          </w:p>
        </w:tc>
      </w:tr>
      <w:tr w:rsidR="00AE1162" w:rsidRPr="00DD6590" w14:paraId="728A09DC" w14:textId="77777777" w:rsidTr="00AE11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2" w:type="dxa"/>
            <w:vMerge w:val="restart"/>
            <w:tcBorders>
              <w:right w:val="single" w:sz="4" w:space="0" w:color="86BC25" w:themeColor="accent1"/>
            </w:tcBorders>
            <w:vAlign w:val="center"/>
          </w:tcPr>
          <w:p w14:paraId="584CB3CA" w14:textId="77777777" w:rsidR="005847CD" w:rsidRPr="00DD6590" w:rsidRDefault="005847CD" w:rsidP="00AA0521">
            <w:pPr>
              <w:tabs>
                <w:tab w:val="left" w:pos="1272"/>
              </w:tabs>
              <w:rPr>
                <w:rFonts w:asciiTheme="minorHAnsi" w:hAnsiTheme="minorHAnsi"/>
                <w:sz w:val="16"/>
                <w:szCs w:val="16"/>
              </w:rPr>
            </w:pPr>
            <w:r w:rsidRPr="00DD6590">
              <w:rPr>
                <w:rFonts w:asciiTheme="minorHAnsi" w:hAnsiTheme="minorHAnsi"/>
                <w:sz w:val="16"/>
                <w:szCs w:val="16"/>
              </w:rPr>
              <w:t>Operačný program Integrovaná infraštruktúra</w:t>
            </w:r>
          </w:p>
        </w:tc>
        <w:tc>
          <w:tcPr>
            <w:tcW w:w="668" w:type="dxa"/>
            <w:tcBorders>
              <w:left w:val="single" w:sz="4" w:space="0" w:color="86BC25" w:themeColor="accent1"/>
              <w:right w:val="single" w:sz="4" w:space="0" w:color="86BC25" w:themeColor="accent1"/>
            </w:tcBorders>
            <w:vAlign w:val="center"/>
          </w:tcPr>
          <w:p w14:paraId="119A233A" w14:textId="77777777" w:rsidR="005847CD" w:rsidRPr="00DD6590" w:rsidRDefault="005847CD" w:rsidP="00333D70">
            <w:pPr>
              <w:tabs>
                <w:tab w:val="left" w:pos="1272"/>
              </w:tabs>
              <w:jc w:val="left"/>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EFRR</w:t>
            </w:r>
          </w:p>
        </w:tc>
        <w:tc>
          <w:tcPr>
            <w:tcW w:w="1472" w:type="dxa"/>
            <w:tcBorders>
              <w:left w:val="single" w:sz="4" w:space="0" w:color="86BC25" w:themeColor="accent1"/>
              <w:right w:val="single" w:sz="4" w:space="0" w:color="86BC25" w:themeColor="accent1"/>
            </w:tcBorders>
            <w:vAlign w:val="center"/>
          </w:tcPr>
          <w:p w14:paraId="61462F8D" w14:textId="77777777" w:rsidR="005847CD" w:rsidRPr="00DD6590" w:rsidRDefault="00AE1162" w:rsidP="00AE1162">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21 863 879</w:t>
            </w:r>
          </w:p>
        </w:tc>
        <w:tc>
          <w:tcPr>
            <w:tcW w:w="1593" w:type="dxa"/>
            <w:tcBorders>
              <w:left w:val="single" w:sz="4" w:space="0" w:color="86BC25" w:themeColor="accent1"/>
              <w:right w:val="single" w:sz="4" w:space="0" w:color="86BC25" w:themeColor="accent1"/>
            </w:tcBorders>
            <w:vAlign w:val="center"/>
          </w:tcPr>
          <w:p w14:paraId="5C9B1900" w14:textId="77777777" w:rsidR="005847CD" w:rsidRPr="00DD6590" w:rsidRDefault="00AE1162" w:rsidP="00AE1162">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202 993 907</w:t>
            </w:r>
          </w:p>
        </w:tc>
        <w:tc>
          <w:tcPr>
            <w:tcW w:w="1705" w:type="dxa"/>
            <w:tcBorders>
              <w:left w:val="single" w:sz="4" w:space="0" w:color="86BC25" w:themeColor="accent1"/>
              <w:right w:val="single" w:sz="4" w:space="0" w:color="86BC25" w:themeColor="accent1"/>
            </w:tcBorders>
            <w:vAlign w:val="center"/>
          </w:tcPr>
          <w:p w14:paraId="451AFA9A" w14:textId="77777777" w:rsidR="005847CD" w:rsidRPr="00DD6590" w:rsidRDefault="00AE1162" w:rsidP="00AE1162">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429 664 408</w:t>
            </w:r>
          </w:p>
        </w:tc>
        <w:tc>
          <w:tcPr>
            <w:tcW w:w="1530" w:type="dxa"/>
            <w:tcBorders>
              <w:left w:val="single" w:sz="4" w:space="0" w:color="86BC25" w:themeColor="accent1"/>
              <w:right w:val="single" w:sz="4" w:space="0" w:color="86BC25" w:themeColor="accent1"/>
            </w:tcBorders>
            <w:vAlign w:val="center"/>
          </w:tcPr>
          <w:p w14:paraId="370CCB79" w14:textId="77777777" w:rsidR="005847CD" w:rsidRPr="00DD6590" w:rsidRDefault="00AE1162" w:rsidP="00AE1162">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662 364 862</w:t>
            </w:r>
          </w:p>
        </w:tc>
        <w:tc>
          <w:tcPr>
            <w:tcW w:w="1620" w:type="dxa"/>
            <w:tcBorders>
              <w:left w:val="single" w:sz="4" w:space="0" w:color="86BC25" w:themeColor="accent1"/>
              <w:right w:val="single" w:sz="4" w:space="0" w:color="86BC25" w:themeColor="accent1"/>
            </w:tcBorders>
            <w:vAlign w:val="center"/>
          </w:tcPr>
          <w:p w14:paraId="00E6BF85" w14:textId="77777777" w:rsidR="005847CD" w:rsidRPr="00DD6590" w:rsidRDefault="000C4E5A" w:rsidP="00AE1162">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905 963 453</w:t>
            </w:r>
          </w:p>
        </w:tc>
        <w:tc>
          <w:tcPr>
            <w:tcW w:w="1800" w:type="dxa"/>
            <w:tcBorders>
              <w:left w:val="single" w:sz="4" w:space="0" w:color="86BC25" w:themeColor="accent1"/>
              <w:right w:val="single" w:sz="4" w:space="0" w:color="86BC25" w:themeColor="accent1"/>
            </w:tcBorders>
            <w:vAlign w:val="center"/>
          </w:tcPr>
          <w:p w14:paraId="2F4E0DA3" w14:textId="77777777" w:rsidR="005847CD" w:rsidRPr="00DD6590" w:rsidRDefault="000C4E5A" w:rsidP="00AE1162">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1 162 237 150</w:t>
            </w:r>
          </w:p>
        </w:tc>
        <w:tc>
          <w:tcPr>
            <w:tcW w:w="1823" w:type="dxa"/>
            <w:tcBorders>
              <w:left w:val="single" w:sz="4" w:space="0" w:color="86BC25" w:themeColor="accent1"/>
            </w:tcBorders>
            <w:vAlign w:val="center"/>
          </w:tcPr>
          <w:p w14:paraId="606DE228" w14:textId="77777777" w:rsidR="005847CD" w:rsidRPr="00DD6590" w:rsidRDefault="000C4E5A" w:rsidP="00AE1162">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1 422 802 191</w:t>
            </w:r>
          </w:p>
        </w:tc>
      </w:tr>
      <w:tr w:rsidR="00AE1162" w:rsidRPr="00DD6590" w14:paraId="7A45E5D7" w14:textId="77777777" w:rsidTr="00AE1162">
        <w:tc>
          <w:tcPr>
            <w:cnfStyle w:val="001000000000" w:firstRow="0" w:lastRow="0" w:firstColumn="1" w:lastColumn="0" w:oddVBand="0" w:evenVBand="0" w:oddHBand="0" w:evenHBand="0" w:firstRowFirstColumn="0" w:firstRowLastColumn="0" w:lastRowFirstColumn="0" w:lastRowLastColumn="0"/>
            <w:tcW w:w="1482" w:type="dxa"/>
            <w:vMerge/>
            <w:tcBorders>
              <w:right w:val="single" w:sz="4" w:space="0" w:color="86BC25" w:themeColor="accent1"/>
            </w:tcBorders>
            <w:vAlign w:val="center"/>
          </w:tcPr>
          <w:p w14:paraId="34A91FAE" w14:textId="77777777" w:rsidR="005847CD" w:rsidRPr="00DD6590" w:rsidRDefault="005847CD" w:rsidP="00AA0521">
            <w:pPr>
              <w:tabs>
                <w:tab w:val="left" w:pos="1272"/>
              </w:tabs>
              <w:rPr>
                <w:rFonts w:asciiTheme="minorHAnsi" w:hAnsiTheme="minorHAnsi"/>
                <w:sz w:val="16"/>
                <w:szCs w:val="16"/>
              </w:rPr>
            </w:pPr>
          </w:p>
        </w:tc>
        <w:tc>
          <w:tcPr>
            <w:tcW w:w="668" w:type="dxa"/>
            <w:tcBorders>
              <w:left w:val="single" w:sz="4" w:space="0" w:color="86BC25" w:themeColor="accent1"/>
              <w:right w:val="single" w:sz="4" w:space="0" w:color="86BC25" w:themeColor="accent1"/>
            </w:tcBorders>
            <w:vAlign w:val="center"/>
          </w:tcPr>
          <w:p w14:paraId="57311945" w14:textId="77777777" w:rsidR="005847CD" w:rsidRPr="00DD6590" w:rsidRDefault="005847CD" w:rsidP="00333D70">
            <w:pPr>
              <w:tabs>
                <w:tab w:val="left" w:pos="1272"/>
              </w:tabs>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KF</w:t>
            </w:r>
          </w:p>
        </w:tc>
        <w:tc>
          <w:tcPr>
            <w:tcW w:w="1472" w:type="dxa"/>
            <w:tcBorders>
              <w:left w:val="single" w:sz="4" w:space="0" w:color="86BC25" w:themeColor="accent1"/>
              <w:right w:val="single" w:sz="4" w:space="0" w:color="86BC25" w:themeColor="accent1"/>
            </w:tcBorders>
            <w:vAlign w:val="center"/>
          </w:tcPr>
          <w:p w14:paraId="11A35BB6" w14:textId="77777777" w:rsidR="005847CD" w:rsidRPr="00DD6590" w:rsidRDefault="00AE1162" w:rsidP="00AE1162">
            <w:pPr>
              <w:tabs>
                <w:tab w:val="left" w:pos="1272"/>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-209 152 885</w:t>
            </w:r>
          </w:p>
        </w:tc>
        <w:tc>
          <w:tcPr>
            <w:tcW w:w="1593" w:type="dxa"/>
            <w:tcBorders>
              <w:left w:val="single" w:sz="4" w:space="0" w:color="86BC25" w:themeColor="accent1"/>
              <w:right w:val="single" w:sz="4" w:space="0" w:color="86BC25" w:themeColor="accent1"/>
            </w:tcBorders>
            <w:vAlign w:val="center"/>
          </w:tcPr>
          <w:p w14:paraId="43022152" w14:textId="77777777" w:rsidR="005847CD" w:rsidRPr="00DD6590" w:rsidRDefault="00AE1162" w:rsidP="00AE1162">
            <w:pPr>
              <w:tabs>
                <w:tab w:val="left" w:pos="1272"/>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-399 184 292</w:t>
            </w:r>
          </w:p>
        </w:tc>
        <w:tc>
          <w:tcPr>
            <w:tcW w:w="1705" w:type="dxa"/>
            <w:tcBorders>
              <w:left w:val="single" w:sz="4" w:space="0" w:color="86BC25" w:themeColor="accent1"/>
              <w:right w:val="single" w:sz="4" w:space="0" w:color="86BC25" w:themeColor="accent1"/>
            </w:tcBorders>
            <w:vAlign w:val="center"/>
          </w:tcPr>
          <w:p w14:paraId="43C51637" w14:textId="77777777" w:rsidR="005847CD" w:rsidRPr="00DD6590" w:rsidRDefault="00AE1162" w:rsidP="00AE1162">
            <w:pPr>
              <w:tabs>
                <w:tab w:val="left" w:pos="1272"/>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-83 662 223</w:t>
            </w:r>
          </w:p>
        </w:tc>
        <w:tc>
          <w:tcPr>
            <w:tcW w:w="1530" w:type="dxa"/>
            <w:tcBorders>
              <w:left w:val="single" w:sz="4" w:space="0" w:color="86BC25" w:themeColor="accent1"/>
              <w:right w:val="single" w:sz="4" w:space="0" w:color="86BC25" w:themeColor="accent1"/>
            </w:tcBorders>
            <w:vAlign w:val="center"/>
          </w:tcPr>
          <w:p w14:paraId="7AF20422" w14:textId="77777777" w:rsidR="005847CD" w:rsidRPr="00DD6590" w:rsidRDefault="00AE1162" w:rsidP="00AE1162">
            <w:pPr>
              <w:tabs>
                <w:tab w:val="left" w:pos="1272"/>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246 412 806</w:t>
            </w:r>
          </w:p>
        </w:tc>
        <w:tc>
          <w:tcPr>
            <w:tcW w:w="1620" w:type="dxa"/>
            <w:tcBorders>
              <w:left w:val="single" w:sz="4" w:space="0" w:color="86BC25" w:themeColor="accent1"/>
              <w:right w:val="single" w:sz="4" w:space="0" w:color="86BC25" w:themeColor="accent1"/>
            </w:tcBorders>
            <w:vAlign w:val="center"/>
          </w:tcPr>
          <w:p w14:paraId="3195897C" w14:textId="77777777" w:rsidR="005847CD" w:rsidRPr="00DD6590" w:rsidRDefault="000C4E5A" w:rsidP="00AE1162">
            <w:pPr>
              <w:tabs>
                <w:tab w:val="left" w:pos="1272"/>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591 426 382</w:t>
            </w:r>
          </w:p>
        </w:tc>
        <w:tc>
          <w:tcPr>
            <w:tcW w:w="1800" w:type="dxa"/>
            <w:tcBorders>
              <w:left w:val="single" w:sz="4" w:space="0" w:color="86BC25" w:themeColor="accent1"/>
              <w:right w:val="single" w:sz="4" w:space="0" w:color="86BC25" w:themeColor="accent1"/>
            </w:tcBorders>
            <w:vAlign w:val="center"/>
          </w:tcPr>
          <w:p w14:paraId="50C81AB6" w14:textId="77777777" w:rsidR="005847CD" w:rsidRPr="00DD6590" w:rsidRDefault="000C4E5A" w:rsidP="00AE1162">
            <w:pPr>
              <w:tabs>
                <w:tab w:val="left" w:pos="1272"/>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953 069 866</w:t>
            </w:r>
          </w:p>
        </w:tc>
        <w:tc>
          <w:tcPr>
            <w:tcW w:w="1823" w:type="dxa"/>
            <w:tcBorders>
              <w:left w:val="single" w:sz="4" w:space="0" w:color="86BC25" w:themeColor="accent1"/>
            </w:tcBorders>
            <w:vAlign w:val="center"/>
          </w:tcPr>
          <w:p w14:paraId="27B58898" w14:textId="77777777" w:rsidR="005847CD" w:rsidRPr="00DD6590" w:rsidRDefault="000C4E5A" w:rsidP="00AE1162">
            <w:pPr>
              <w:tabs>
                <w:tab w:val="left" w:pos="1272"/>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1 322 735 336</w:t>
            </w:r>
          </w:p>
        </w:tc>
      </w:tr>
      <w:tr w:rsidR="00AE1162" w:rsidRPr="00DD6590" w14:paraId="1F98D61B" w14:textId="77777777" w:rsidTr="00AE11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2" w:type="dxa"/>
            <w:vMerge/>
            <w:tcBorders>
              <w:right w:val="single" w:sz="4" w:space="0" w:color="86BC25" w:themeColor="accent1"/>
            </w:tcBorders>
            <w:vAlign w:val="center"/>
          </w:tcPr>
          <w:p w14:paraId="668F52E7" w14:textId="77777777" w:rsidR="005847CD" w:rsidRPr="00DD6590" w:rsidRDefault="005847CD" w:rsidP="00AA0521">
            <w:pPr>
              <w:tabs>
                <w:tab w:val="left" w:pos="1272"/>
              </w:tabs>
              <w:rPr>
                <w:rFonts w:asciiTheme="minorHAnsi" w:hAnsiTheme="minorHAnsi"/>
                <w:sz w:val="16"/>
                <w:szCs w:val="16"/>
              </w:rPr>
            </w:pPr>
          </w:p>
        </w:tc>
        <w:tc>
          <w:tcPr>
            <w:tcW w:w="668" w:type="dxa"/>
            <w:tcBorders>
              <w:left w:val="single" w:sz="4" w:space="0" w:color="86BC25" w:themeColor="accent1"/>
              <w:right w:val="single" w:sz="4" w:space="0" w:color="86BC25" w:themeColor="accent1"/>
            </w:tcBorders>
            <w:vAlign w:val="center"/>
          </w:tcPr>
          <w:p w14:paraId="236C540B" w14:textId="77777777" w:rsidR="005847CD" w:rsidRPr="00DD6590" w:rsidRDefault="005847CD" w:rsidP="005847CD">
            <w:pPr>
              <w:tabs>
                <w:tab w:val="left" w:pos="1272"/>
              </w:tabs>
              <w:jc w:val="left"/>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Spolu</w:t>
            </w:r>
          </w:p>
        </w:tc>
        <w:tc>
          <w:tcPr>
            <w:tcW w:w="1472" w:type="dxa"/>
            <w:tcBorders>
              <w:left w:val="single" w:sz="4" w:space="0" w:color="86BC25" w:themeColor="accent1"/>
              <w:right w:val="single" w:sz="4" w:space="0" w:color="86BC25" w:themeColor="accent1"/>
            </w:tcBorders>
            <w:vAlign w:val="center"/>
          </w:tcPr>
          <w:p w14:paraId="0DE0E199" w14:textId="77777777" w:rsidR="005847CD" w:rsidRPr="00DD6590" w:rsidRDefault="00AE1162" w:rsidP="00AE1162">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-187 289 006</w:t>
            </w:r>
          </w:p>
        </w:tc>
        <w:tc>
          <w:tcPr>
            <w:tcW w:w="1593" w:type="dxa"/>
            <w:tcBorders>
              <w:left w:val="single" w:sz="4" w:space="0" w:color="86BC25" w:themeColor="accent1"/>
              <w:right w:val="single" w:sz="4" w:space="0" w:color="86BC25" w:themeColor="accent1"/>
            </w:tcBorders>
            <w:vAlign w:val="center"/>
          </w:tcPr>
          <w:p w14:paraId="073B5585" w14:textId="77777777" w:rsidR="005847CD" w:rsidRPr="00DD6590" w:rsidRDefault="00AE1162" w:rsidP="00AE1162">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-196 190 385</w:t>
            </w:r>
          </w:p>
        </w:tc>
        <w:tc>
          <w:tcPr>
            <w:tcW w:w="1705" w:type="dxa"/>
            <w:tcBorders>
              <w:left w:val="single" w:sz="4" w:space="0" w:color="86BC25" w:themeColor="accent1"/>
              <w:right w:val="single" w:sz="4" w:space="0" w:color="86BC25" w:themeColor="accent1"/>
            </w:tcBorders>
            <w:vAlign w:val="center"/>
          </w:tcPr>
          <w:p w14:paraId="0A4C85DE" w14:textId="77777777" w:rsidR="005847CD" w:rsidRPr="00DD6590" w:rsidRDefault="00AE1162" w:rsidP="00AE1162">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346 002 185</w:t>
            </w:r>
          </w:p>
        </w:tc>
        <w:tc>
          <w:tcPr>
            <w:tcW w:w="1530" w:type="dxa"/>
            <w:tcBorders>
              <w:left w:val="single" w:sz="4" w:space="0" w:color="86BC25" w:themeColor="accent1"/>
              <w:right w:val="single" w:sz="4" w:space="0" w:color="86BC25" w:themeColor="accent1"/>
            </w:tcBorders>
            <w:vAlign w:val="center"/>
          </w:tcPr>
          <w:p w14:paraId="34B8521E" w14:textId="77777777" w:rsidR="005847CD" w:rsidRPr="00DD6590" w:rsidRDefault="000C4E5A" w:rsidP="00AE1162">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908 777 668</w:t>
            </w:r>
          </w:p>
        </w:tc>
        <w:tc>
          <w:tcPr>
            <w:tcW w:w="1620" w:type="dxa"/>
            <w:tcBorders>
              <w:left w:val="single" w:sz="4" w:space="0" w:color="86BC25" w:themeColor="accent1"/>
              <w:right w:val="single" w:sz="4" w:space="0" w:color="86BC25" w:themeColor="accent1"/>
            </w:tcBorders>
            <w:vAlign w:val="center"/>
          </w:tcPr>
          <w:p w14:paraId="1E3312C8" w14:textId="77777777" w:rsidR="005847CD" w:rsidRPr="00DD6590" w:rsidRDefault="000C4E5A" w:rsidP="00AE1162">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1 497 389 835</w:t>
            </w:r>
          </w:p>
        </w:tc>
        <w:tc>
          <w:tcPr>
            <w:tcW w:w="1800" w:type="dxa"/>
            <w:tcBorders>
              <w:left w:val="single" w:sz="4" w:space="0" w:color="86BC25" w:themeColor="accent1"/>
              <w:right w:val="single" w:sz="4" w:space="0" w:color="86BC25" w:themeColor="accent1"/>
            </w:tcBorders>
            <w:vAlign w:val="center"/>
          </w:tcPr>
          <w:p w14:paraId="286439E1" w14:textId="77777777" w:rsidR="005847CD" w:rsidRPr="00DD6590" w:rsidRDefault="000C4E5A" w:rsidP="00AE1162">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2 114 307 016</w:t>
            </w:r>
          </w:p>
        </w:tc>
        <w:tc>
          <w:tcPr>
            <w:tcW w:w="1823" w:type="dxa"/>
            <w:tcBorders>
              <w:left w:val="single" w:sz="4" w:space="0" w:color="86BC25" w:themeColor="accent1"/>
            </w:tcBorders>
            <w:vAlign w:val="center"/>
          </w:tcPr>
          <w:p w14:paraId="280D418F" w14:textId="77777777" w:rsidR="005847CD" w:rsidRPr="00DD6590" w:rsidRDefault="000C4E5A" w:rsidP="00AE1162">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2 745 537 527</w:t>
            </w:r>
          </w:p>
        </w:tc>
      </w:tr>
    </w:tbl>
    <w:p w14:paraId="455A8467" w14:textId="77777777" w:rsidR="00AA0521" w:rsidRPr="00DD6590" w:rsidRDefault="00AA0521" w:rsidP="00AA0521"/>
    <w:p w14:paraId="3C963EE8" w14:textId="77777777" w:rsidR="002651BD" w:rsidRPr="00DD6590" w:rsidRDefault="002651BD" w:rsidP="00AA0521">
      <w:pPr>
        <w:sectPr w:rsidR="002651BD" w:rsidRPr="00DD6590" w:rsidSect="002651BD">
          <w:pgSz w:w="16838" w:h="11906" w:orient="landscape" w:code="9"/>
          <w:pgMar w:top="1411" w:right="1987" w:bottom="1138" w:left="1138" w:header="677" w:footer="562" w:gutter="0"/>
          <w:cols w:space="9"/>
          <w:titlePg/>
          <w:docGrid w:linePitch="360"/>
        </w:sectPr>
      </w:pPr>
    </w:p>
    <w:p w14:paraId="6AF81BCD" w14:textId="77777777" w:rsidR="00B515B7" w:rsidRPr="00DD6590" w:rsidRDefault="001B73AD" w:rsidP="00AA6542">
      <w:r w:rsidRPr="00DD6590">
        <w:lastRenderedPageBreak/>
        <w:t>V tabuľke 60 sú uvedené kumulatívne sumy, ktoré je potrebné vyčerpať do konca každého roka programového obdobia 2014</w:t>
      </w:r>
      <w:r w:rsidR="00F12904" w:rsidRPr="00DD6590">
        <w:t xml:space="preserve"> – </w:t>
      </w:r>
      <w:r w:rsidRPr="00DD6590">
        <w:t>2020. O</w:t>
      </w:r>
      <w:r w:rsidR="009B2B48" w:rsidRPr="00DD6590">
        <w:t xml:space="preserve">dporúčania </w:t>
      </w:r>
      <w:r w:rsidRPr="00DD6590">
        <w:t xml:space="preserve">sú </w:t>
      </w:r>
      <w:r w:rsidR="009B2B48" w:rsidRPr="00DD6590">
        <w:t xml:space="preserve">rozpracované </w:t>
      </w:r>
      <w:r w:rsidR="00A830B5" w:rsidRPr="00DD6590">
        <w:t>podľa výsledkov analýzy na</w:t>
      </w:r>
      <w:r w:rsidR="009B2B48" w:rsidRPr="00DD6590">
        <w:t xml:space="preserve"> jednotlivé PO.</w:t>
      </w:r>
    </w:p>
    <w:tbl>
      <w:tblPr>
        <w:tblStyle w:val="ListTable3-Accent1"/>
        <w:tblW w:w="5001" w:type="pct"/>
        <w:tblBorders>
          <w:left w:val="none" w:sz="0" w:space="0" w:color="auto"/>
          <w:right w:val="none" w:sz="0" w:space="0" w:color="auto"/>
          <w:insideH w:val="single" w:sz="4" w:space="0" w:color="86BC25" w:themeColor="accent1"/>
        </w:tblBorders>
        <w:tblCellMar>
          <w:left w:w="28" w:type="dxa"/>
          <w:right w:w="28" w:type="dxa"/>
        </w:tblCellMar>
        <w:tblLook w:val="04A0" w:firstRow="1" w:lastRow="0" w:firstColumn="1" w:lastColumn="0" w:noHBand="0" w:noVBand="1"/>
      </w:tblPr>
      <w:tblGrid>
        <w:gridCol w:w="1478"/>
        <w:gridCol w:w="109"/>
        <w:gridCol w:w="1097"/>
        <w:gridCol w:w="112"/>
        <w:gridCol w:w="6563"/>
      </w:tblGrid>
      <w:tr w:rsidR="00CC73BC" w:rsidRPr="00DD6590" w14:paraId="555B4CF0" w14:textId="77777777" w:rsidTr="00195734">
        <w:trPr>
          <w:cnfStyle w:val="100000000000" w:firstRow="1" w:lastRow="0" w:firstColumn="0" w:lastColumn="0" w:oddVBand="0" w:evenVBand="0" w:oddHBand="0" w:evenHBand="0" w:firstRowFirstColumn="0" w:firstRowLastColumn="0" w:lastRowFirstColumn="0" w:lastRowLastColumn="0"/>
          <w:trHeight w:val="283"/>
        </w:trPr>
        <w:tc>
          <w:tcPr>
            <w:cnfStyle w:val="001000000100" w:firstRow="0" w:lastRow="0" w:firstColumn="1" w:lastColumn="0" w:oddVBand="0" w:evenVBand="0" w:oddHBand="0" w:evenHBand="0" w:firstRowFirstColumn="1" w:firstRowLastColumn="0" w:lastRowFirstColumn="0" w:lastRowLastColumn="0"/>
            <w:tcW w:w="848" w:type="pct"/>
            <w:gridSpan w:val="2"/>
            <w:vAlign w:val="center"/>
          </w:tcPr>
          <w:p w14:paraId="4B4F794A" w14:textId="77777777" w:rsidR="00CC73BC" w:rsidRPr="00DD6590" w:rsidRDefault="00CC73BC" w:rsidP="00F431E3">
            <w:pPr>
              <w:spacing w:before="60" w:after="0" w:line="240" w:lineRule="auto"/>
              <w:rPr>
                <w:rFonts w:asciiTheme="minorHAnsi" w:hAnsiTheme="minorHAnsi"/>
                <w:szCs w:val="18"/>
              </w:rPr>
            </w:pPr>
            <w:r w:rsidRPr="00DD6590">
              <w:rPr>
                <w:rFonts w:asciiTheme="minorHAnsi" w:hAnsiTheme="minorHAnsi"/>
                <w:szCs w:val="18"/>
              </w:rPr>
              <w:t>Prioritná os</w:t>
            </w:r>
          </w:p>
        </w:tc>
        <w:tc>
          <w:tcPr>
            <w:tcW w:w="646" w:type="pct"/>
            <w:gridSpan w:val="2"/>
            <w:vAlign w:val="center"/>
          </w:tcPr>
          <w:p w14:paraId="42ECE26D" w14:textId="77777777" w:rsidR="00CC73BC" w:rsidRPr="00DD6590" w:rsidRDefault="00CC73BC" w:rsidP="00F431E3">
            <w:pPr>
              <w:spacing w:before="60" w:after="0" w:line="240" w:lineRule="auto"/>
              <w:jc w:val="left"/>
              <w:cnfStyle w:val="100000000000" w:firstRow="1"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Odpoveď na HO</w:t>
            </w:r>
          </w:p>
        </w:tc>
        <w:tc>
          <w:tcPr>
            <w:tcW w:w="3506" w:type="pct"/>
            <w:vAlign w:val="center"/>
          </w:tcPr>
          <w:p w14:paraId="14B74192" w14:textId="77777777" w:rsidR="00CC73BC" w:rsidRPr="00DD6590" w:rsidRDefault="00CC73BC" w:rsidP="00F431E3">
            <w:pPr>
              <w:spacing w:before="60"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Závery a navrhované opatrenia</w:t>
            </w:r>
          </w:p>
        </w:tc>
      </w:tr>
      <w:tr w:rsidR="00F41009" w:rsidRPr="00DD6590" w14:paraId="7B37B689" w14:textId="77777777" w:rsidTr="0019573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90" w:type="pct"/>
            <w:vAlign w:val="center"/>
          </w:tcPr>
          <w:p w14:paraId="2AA3774B" w14:textId="77777777" w:rsidR="00F41009" w:rsidRPr="00DD6590" w:rsidRDefault="00F41009" w:rsidP="00F431E3">
            <w:pPr>
              <w:spacing w:before="60" w:after="0" w:line="240" w:lineRule="auto"/>
              <w:jc w:val="left"/>
              <w:rPr>
                <w:rFonts w:asciiTheme="minorHAnsi" w:hAnsiTheme="minorHAnsi"/>
                <w:b w:val="0"/>
                <w:szCs w:val="18"/>
              </w:rPr>
            </w:pPr>
            <w:r w:rsidRPr="00DD6590">
              <w:rPr>
                <w:rFonts w:asciiTheme="minorHAnsi" w:hAnsiTheme="minorHAnsi"/>
                <w:b w:val="0"/>
                <w:szCs w:val="18"/>
              </w:rPr>
              <w:t>PO1: Železničná infraštruktúra (TEN-T CORE) a obnova mobilných prostriedkov</w:t>
            </w:r>
          </w:p>
        </w:tc>
        <w:tc>
          <w:tcPr>
            <w:tcW w:w="644" w:type="pct"/>
            <w:gridSpan w:val="2"/>
            <w:vAlign w:val="center"/>
          </w:tcPr>
          <w:p w14:paraId="5C24457F" w14:textId="77777777" w:rsidR="00F41009" w:rsidRPr="00DD6590" w:rsidRDefault="00C60217" w:rsidP="00F431E3">
            <w:pPr>
              <w:spacing w:before="6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Nie</w:t>
            </w:r>
          </w:p>
        </w:tc>
        <w:tc>
          <w:tcPr>
            <w:tcW w:w="3566" w:type="pct"/>
            <w:gridSpan w:val="2"/>
            <w:vAlign w:val="center"/>
          </w:tcPr>
          <w:p w14:paraId="768AFD63" w14:textId="77777777" w:rsidR="00D23F08" w:rsidRPr="00DD6590" w:rsidRDefault="00D23F08" w:rsidP="00F431E3">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V rámci prioritnej osi odporúčame:</w:t>
            </w:r>
          </w:p>
          <w:p w14:paraId="4D27C084" w14:textId="77777777" w:rsidR="000F3629" w:rsidRPr="00DD6590" w:rsidRDefault="000F3629" w:rsidP="003E761D">
            <w:pPr>
              <w:pStyle w:val="ListParagraph"/>
              <w:numPr>
                <w:ilvl w:val="0"/>
                <w:numId w:val="36"/>
              </w:numPr>
              <w:spacing w:before="60" w:after="0" w:line="240" w:lineRule="auto"/>
              <w:ind w:left="353" w:hanging="270"/>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szCs w:val="18"/>
                <w:lang w:eastAsia="cs-CZ"/>
              </w:rPr>
            </w:pPr>
            <w:r w:rsidRPr="00DD6590">
              <w:rPr>
                <w:rFonts w:asciiTheme="minorHAnsi" w:eastAsia="Verdana" w:hAnsiTheme="minorHAnsi"/>
                <w:szCs w:val="18"/>
                <w:lang w:eastAsia="cs-CZ"/>
              </w:rPr>
              <w:t>U</w:t>
            </w:r>
            <w:r w:rsidR="00D23F08" w:rsidRPr="00DD6590">
              <w:rPr>
                <w:rFonts w:asciiTheme="minorHAnsi" w:eastAsia="Verdana" w:hAnsiTheme="minorHAnsi"/>
                <w:szCs w:val="18"/>
                <w:lang w:eastAsia="cs-CZ"/>
              </w:rPr>
              <w:t>rýchlenie</w:t>
            </w:r>
            <w:r w:rsidRPr="00DD6590">
              <w:rPr>
                <w:rFonts w:asciiTheme="minorHAnsi" w:eastAsia="Verdana" w:hAnsiTheme="minorHAnsi"/>
                <w:szCs w:val="18"/>
                <w:lang w:eastAsia="cs-CZ"/>
              </w:rPr>
              <w:t xml:space="preserve"> schvaľovani</w:t>
            </w:r>
            <w:r w:rsidR="00D23F08" w:rsidRPr="00DD6590">
              <w:rPr>
                <w:rFonts w:asciiTheme="minorHAnsi" w:eastAsia="Verdana" w:hAnsiTheme="minorHAnsi"/>
                <w:szCs w:val="18"/>
                <w:lang w:eastAsia="cs-CZ"/>
              </w:rPr>
              <w:t>a</w:t>
            </w:r>
            <w:r w:rsidRPr="00DD6590">
              <w:rPr>
                <w:rFonts w:asciiTheme="minorHAnsi" w:eastAsia="Verdana" w:hAnsiTheme="minorHAnsi"/>
                <w:szCs w:val="18"/>
                <w:lang w:eastAsia="cs-CZ"/>
              </w:rPr>
              <w:t xml:space="preserve"> plánovaných projektov vedúcich k naplneniu finančného ukazovateľa, aby sa projekty, prípadne ich fázy</w:t>
            </w:r>
            <w:r w:rsidR="00B2034B">
              <w:rPr>
                <w:rFonts w:asciiTheme="minorHAnsi" w:eastAsia="Verdana" w:hAnsiTheme="minorHAnsi"/>
                <w:szCs w:val="18"/>
                <w:lang w:eastAsia="cs-CZ"/>
              </w:rPr>
              <w:t>,</w:t>
            </w:r>
            <w:r w:rsidRPr="00DD6590">
              <w:rPr>
                <w:rFonts w:asciiTheme="minorHAnsi" w:eastAsia="Verdana" w:hAnsiTheme="minorHAnsi"/>
                <w:szCs w:val="18"/>
                <w:lang w:eastAsia="cs-CZ"/>
              </w:rPr>
              <w:t xml:space="preserve"> stihli zrealizovať v súlade s pravidlom n</w:t>
            </w:r>
            <w:r w:rsidR="00B2034B">
              <w:rPr>
                <w:rFonts w:asciiTheme="minorHAnsi" w:eastAsia="Verdana" w:hAnsiTheme="minorHAnsi"/>
                <w:szCs w:val="18"/>
                <w:lang w:eastAsia="cs-CZ"/>
              </w:rPr>
              <w:t xml:space="preserve"> </w:t>
            </w:r>
            <w:r w:rsidRPr="00DD6590">
              <w:rPr>
                <w:rFonts w:asciiTheme="minorHAnsi" w:eastAsia="Verdana" w:hAnsiTheme="minorHAnsi"/>
                <w:szCs w:val="18"/>
                <w:lang w:eastAsia="cs-CZ"/>
              </w:rPr>
              <w:t>+</w:t>
            </w:r>
            <w:r w:rsidR="00B2034B">
              <w:rPr>
                <w:rFonts w:asciiTheme="minorHAnsi" w:eastAsia="Verdana" w:hAnsiTheme="minorHAnsi"/>
                <w:szCs w:val="18"/>
                <w:lang w:eastAsia="cs-CZ"/>
              </w:rPr>
              <w:t xml:space="preserve"> </w:t>
            </w:r>
            <w:r w:rsidRPr="00DD6590">
              <w:rPr>
                <w:rFonts w:asciiTheme="minorHAnsi" w:eastAsia="Verdana" w:hAnsiTheme="minorHAnsi"/>
                <w:szCs w:val="18"/>
                <w:lang w:eastAsia="cs-CZ"/>
              </w:rPr>
              <w:t>3</w:t>
            </w:r>
            <w:r w:rsidR="00072858" w:rsidRPr="00DD6590">
              <w:rPr>
                <w:rFonts w:asciiTheme="minorHAnsi" w:eastAsia="Verdana" w:hAnsiTheme="minorHAnsi"/>
                <w:szCs w:val="18"/>
                <w:lang w:eastAsia="cs-CZ"/>
              </w:rPr>
              <w:t>.</w:t>
            </w:r>
          </w:p>
          <w:p w14:paraId="0911640B" w14:textId="77777777" w:rsidR="00F41009" w:rsidRPr="00DD6590" w:rsidRDefault="000F3629" w:rsidP="003E761D">
            <w:pPr>
              <w:pStyle w:val="ListParagraph"/>
              <w:numPr>
                <w:ilvl w:val="0"/>
                <w:numId w:val="36"/>
              </w:numPr>
              <w:spacing w:before="60" w:after="0" w:line="240" w:lineRule="auto"/>
              <w:ind w:left="353" w:hanging="270"/>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szCs w:val="18"/>
                <w:lang w:eastAsia="cs-CZ"/>
              </w:rPr>
            </w:pPr>
            <w:r w:rsidRPr="00DD6590">
              <w:rPr>
                <w:rFonts w:asciiTheme="minorHAnsi" w:eastAsia="Verdana" w:hAnsiTheme="minorHAnsi"/>
                <w:szCs w:val="18"/>
                <w:lang w:eastAsia="cs-CZ"/>
              </w:rPr>
              <w:t>Pri kontrahovaní nových projektov odporúčame schváliť projekty umožňujúce naplnenie kľúčových ukazovateľov prioritnej osi 1</w:t>
            </w:r>
            <w:r w:rsidR="00072858" w:rsidRPr="00DD6590">
              <w:rPr>
                <w:rFonts w:asciiTheme="minorHAnsi" w:eastAsia="Verdana" w:hAnsiTheme="minorHAnsi"/>
                <w:szCs w:val="18"/>
                <w:lang w:eastAsia="cs-CZ"/>
              </w:rPr>
              <w:t>.</w:t>
            </w:r>
          </w:p>
        </w:tc>
      </w:tr>
      <w:tr w:rsidR="00F41009" w:rsidRPr="00DD6590" w14:paraId="7380D305" w14:textId="77777777" w:rsidTr="00195734">
        <w:trPr>
          <w:trHeight w:val="283"/>
        </w:trPr>
        <w:tc>
          <w:tcPr>
            <w:cnfStyle w:val="001000000000" w:firstRow="0" w:lastRow="0" w:firstColumn="1" w:lastColumn="0" w:oddVBand="0" w:evenVBand="0" w:oddHBand="0" w:evenHBand="0" w:firstRowFirstColumn="0" w:firstRowLastColumn="0" w:lastRowFirstColumn="0" w:lastRowLastColumn="0"/>
            <w:tcW w:w="790" w:type="pct"/>
            <w:vAlign w:val="center"/>
          </w:tcPr>
          <w:p w14:paraId="23629CFC" w14:textId="77777777" w:rsidR="00F41009" w:rsidRPr="00DD6590" w:rsidRDefault="00F41009" w:rsidP="00F431E3">
            <w:pPr>
              <w:spacing w:before="60" w:after="0" w:line="240" w:lineRule="auto"/>
              <w:jc w:val="left"/>
              <w:rPr>
                <w:rFonts w:asciiTheme="minorHAnsi" w:hAnsiTheme="minorHAnsi"/>
                <w:b w:val="0"/>
                <w:szCs w:val="18"/>
              </w:rPr>
            </w:pPr>
            <w:r w:rsidRPr="00DD6590">
              <w:rPr>
                <w:rFonts w:asciiTheme="minorHAnsi" w:hAnsiTheme="minorHAnsi"/>
                <w:b w:val="0"/>
                <w:szCs w:val="18"/>
              </w:rPr>
              <w:t>PO2: Cestná infraštruktúra (TEN-T)</w:t>
            </w:r>
          </w:p>
        </w:tc>
        <w:tc>
          <w:tcPr>
            <w:tcW w:w="644" w:type="pct"/>
            <w:gridSpan w:val="2"/>
            <w:vAlign w:val="center"/>
          </w:tcPr>
          <w:p w14:paraId="192D22BA" w14:textId="77777777" w:rsidR="00F41009" w:rsidRPr="00DD6590" w:rsidRDefault="00C60217" w:rsidP="00F431E3">
            <w:pPr>
              <w:spacing w:before="6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Nie</w:t>
            </w:r>
          </w:p>
        </w:tc>
        <w:tc>
          <w:tcPr>
            <w:tcW w:w="3566" w:type="pct"/>
            <w:gridSpan w:val="2"/>
            <w:vAlign w:val="center"/>
          </w:tcPr>
          <w:p w14:paraId="7399EF5E" w14:textId="77777777" w:rsidR="00F41009" w:rsidRPr="00DD6590" w:rsidRDefault="00F12904" w:rsidP="00F431E3">
            <w:p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V rámci PO6 nie je potrebné výšiť tempo kontrahovania, odporúčame dohliadnuť na dodržanie termínov v rámci projektov a na čerpanie finančných </w:t>
            </w:r>
            <w:r w:rsidR="00377B4C" w:rsidRPr="00DD6590">
              <w:rPr>
                <w:rFonts w:asciiTheme="minorHAnsi" w:hAnsiTheme="minorHAnsi"/>
                <w:szCs w:val="18"/>
              </w:rPr>
              <w:t>prostriedkov</w:t>
            </w:r>
            <w:r w:rsidRPr="00DD6590">
              <w:rPr>
                <w:rFonts w:asciiTheme="minorHAnsi" w:hAnsiTheme="minorHAnsi"/>
                <w:szCs w:val="18"/>
              </w:rPr>
              <w:t>.</w:t>
            </w:r>
          </w:p>
        </w:tc>
      </w:tr>
      <w:tr w:rsidR="00F41009" w:rsidRPr="00DD6590" w14:paraId="2DA73E27" w14:textId="77777777" w:rsidTr="0019573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90" w:type="pct"/>
            <w:vAlign w:val="center"/>
          </w:tcPr>
          <w:p w14:paraId="302C59FC" w14:textId="77777777" w:rsidR="00F41009" w:rsidRPr="00DD6590" w:rsidRDefault="00F41009" w:rsidP="00F431E3">
            <w:pPr>
              <w:spacing w:before="60" w:after="0" w:line="240" w:lineRule="auto"/>
              <w:jc w:val="left"/>
              <w:rPr>
                <w:rFonts w:asciiTheme="minorHAnsi" w:hAnsiTheme="minorHAnsi"/>
                <w:b w:val="0"/>
                <w:szCs w:val="18"/>
              </w:rPr>
            </w:pPr>
            <w:r w:rsidRPr="00DD6590">
              <w:rPr>
                <w:rFonts w:asciiTheme="minorHAnsi" w:hAnsiTheme="minorHAnsi"/>
                <w:b w:val="0"/>
                <w:szCs w:val="18"/>
              </w:rPr>
              <w:t>PO3: Verejná osobná doprava</w:t>
            </w:r>
          </w:p>
        </w:tc>
        <w:tc>
          <w:tcPr>
            <w:tcW w:w="644" w:type="pct"/>
            <w:gridSpan w:val="2"/>
            <w:vAlign w:val="center"/>
          </w:tcPr>
          <w:p w14:paraId="3084D311" w14:textId="77777777" w:rsidR="00F41009" w:rsidRPr="00DD6590" w:rsidRDefault="00C60217" w:rsidP="00F431E3">
            <w:pPr>
              <w:spacing w:before="6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Nie</w:t>
            </w:r>
          </w:p>
        </w:tc>
        <w:tc>
          <w:tcPr>
            <w:tcW w:w="3566" w:type="pct"/>
            <w:gridSpan w:val="2"/>
            <w:vAlign w:val="center"/>
          </w:tcPr>
          <w:p w14:paraId="72A207B1" w14:textId="77777777" w:rsidR="00274949" w:rsidRPr="00DD6590" w:rsidRDefault="00274949" w:rsidP="00F431E3">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V rámci prioritnej osi odporúčame:</w:t>
            </w:r>
          </w:p>
          <w:p w14:paraId="4D0E0D4E" w14:textId="77777777" w:rsidR="00274949" w:rsidRPr="00DD6590" w:rsidRDefault="00274949" w:rsidP="003E761D">
            <w:pPr>
              <w:pStyle w:val="ListParagraph"/>
              <w:numPr>
                <w:ilvl w:val="0"/>
                <w:numId w:val="36"/>
              </w:numPr>
              <w:spacing w:before="60" w:after="0" w:line="240" w:lineRule="auto"/>
              <w:ind w:left="353" w:hanging="270"/>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szCs w:val="18"/>
                <w:lang w:eastAsia="cs-CZ"/>
              </w:rPr>
            </w:pPr>
            <w:r w:rsidRPr="00DD6590">
              <w:rPr>
                <w:rFonts w:asciiTheme="minorHAnsi" w:eastAsia="Verdana" w:hAnsiTheme="minorHAnsi"/>
                <w:szCs w:val="18"/>
                <w:lang w:eastAsia="cs-CZ"/>
              </w:rPr>
              <w:t>Urýchlenie schvaľovania plánovaných projektov vedúcich k naplneniu finančného ukazovateľa, aby sa projekty, prípadne ich fázy</w:t>
            </w:r>
            <w:r w:rsidR="00B2034B">
              <w:rPr>
                <w:rFonts w:asciiTheme="minorHAnsi" w:eastAsia="Verdana" w:hAnsiTheme="minorHAnsi"/>
                <w:szCs w:val="18"/>
                <w:lang w:eastAsia="cs-CZ"/>
              </w:rPr>
              <w:t>,</w:t>
            </w:r>
            <w:r w:rsidRPr="00DD6590">
              <w:rPr>
                <w:rFonts w:asciiTheme="minorHAnsi" w:eastAsia="Verdana" w:hAnsiTheme="minorHAnsi"/>
                <w:szCs w:val="18"/>
                <w:lang w:eastAsia="cs-CZ"/>
              </w:rPr>
              <w:t xml:space="preserve"> stihli zrealizovať v súlade s pravidlom n</w:t>
            </w:r>
            <w:r w:rsidR="00B2034B">
              <w:rPr>
                <w:rFonts w:asciiTheme="minorHAnsi" w:eastAsia="Verdana" w:hAnsiTheme="minorHAnsi"/>
                <w:szCs w:val="18"/>
                <w:lang w:eastAsia="cs-CZ"/>
              </w:rPr>
              <w:t xml:space="preserve"> </w:t>
            </w:r>
            <w:r w:rsidRPr="00DD6590">
              <w:rPr>
                <w:rFonts w:asciiTheme="minorHAnsi" w:eastAsia="Verdana" w:hAnsiTheme="minorHAnsi"/>
                <w:szCs w:val="18"/>
                <w:lang w:eastAsia="cs-CZ"/>
              </w:rPr>
              <w:t>+</w:t>
            </w:r>
            <w:r w:rsidR="00B2034B">
              <w:rPr>
                <w:rFonts w:asciiTheme="minorHAnsi" w:eastAsia="Verdana" w:hAnsiTheme="minorHAnsi"/>
                <w:szCs w:val="18"/>
                <w:lang w:eastAsia="cs-CZ"/>
              </w:rPr>
              <w:t xml:space="preserve"> </w:t>
            </w:r>
            <w:r w:rsidRPr="00DD6590">
              <w:rPr>
                <w:rFonts w:asciiTheme="minorHAnsi" w:eastAsia="Verdana" w:hAnsiTheme="minorHAnsi"/>
                <w:szCs w:val="18"/>
                <w:lang w:eastAsia="cs-CZ"/>
              </w:rPr>
              <w:t>3.</w:t>
            </w:r>
          </w:p>
          <w:p w14:paraId="2F215ADB" w14:textId="77777777" w:rsidR="00F41009" w:rsidRPr="00DD6590" w:rsidRDefault="00274949" w:rsidP="003E761D">
            <w:pPr>
              <w:pStyle w:val="ListParagraph"/>
              <w:numPr>
                <w:ilvl w:val="0"/>
                <w:numId w:val="36"/>
              </w:numPr>
              <w:spacing w:before="60" w:after="0" w:line="240" w:lineRule="auto"/>
              <w:ind w:left="353" w:hanging="270"/>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szCs w:val="18"/>
                <w:lang w:eastAsia="cs-CZ"/>
              </w:rPr>
            </w:pPr>
            <w:r w:rsidRPr="00DD6590">
              <w:rPr>
                <w:rFonts w:asciiTheme="minorHAnsi" w:eastAsia="Verdana" w:hAnsiTheme="minorHAnsi"/>
                <w:szCs w:val="18"/>
                <w:lang w:eastAsia="cs-CZ"/>
              </w:rPr>
              <w:t>Pri kontrahovaní nových projektov odporúčame schváliť projekty umožňujúce naplnenie kľúčových ukazovateľov prioritnej osi 3.</w:t>
            </w:r>
          </w:p>
        </w:tc>
      </w:tr>
      <w:tr w:rsidR="00F41009" w:rsidRPr="00DD6590" w14:paraId="7E3E3FF3" w14:textId="77777777" w:rsidTr="00195734">
        <w:trPr>
          <w:trHeight w:val="283"/>
        </w:trPr>
        <w:tc>
          <w:tcPr>
            <w:cnfStyle w:val="001000000000" w:firstRow="0" w:lastRow="0" w:firstColumn="1" w:lastColumn="0" w:oddVBand="0" w:evenVBand="0" w:oddHBand="0" w:evenHBand="0" w:firstRowFirstColumn="0" w:firstRowLastColumn="0" w:lastRowFirstColumn="0" w:lastRowLastColumn="0"/>
            <w:tcW w:w="790" w:type="pct"/>
            <w:vAlign w:val="center"/>
          </w:tcPr>
          <w:p w14:paraId="040839A9" w14:textId="77777777" w:rsidR="00F41009" w:rsidRPr="00DD6590" w:rsidRDefault="00F41009" w:rsidP="00F431E3">
            <w:pPr>
              <w:spacing w:before="60" w:after="0" w:line="240" w:lineRule="auto"/>
              <w:jc w:val="left"/>
              <w:rPr>
                <w:rFonts w:asciiTheme="minorHAnsi" w:hAnsiTheme="minorHAnsi"/>
                <w:szCs w:val="18"/>
              </w:rPr>
            </w:pPr>
            <w:r w:rsidRPr="00DD6590">
              <w:rPr>
                <w:rFonts w:asciiTheme="minorHAnsi" w:hAnsiTheme="minorHAnsi"/>
                <w:b w:val="0"/>
                <w:szCs w:val="18"/>
              </w:rPr>
              <w:t>PO4: Infraštruktúra vodnej dopravy (TEN-T CORE)</w:t>
            </w:r>
          </w:p>
        </w:tc>
        <w:tc>
          <w:tcPr>
            <w:tcW w:w="644" w:type="pct"/>
            <w:gridSpan w:val="2"/>
            <w:vAlign w:val="center"/>
          </w:tcPr>
          <w:p w14:paraId="4A98B38E" w14:textId="77777777" w:rsidR="00F41009" w:rsidRPr="00DD6590" w:rsidRDefault="00C60217" w:rsidP="00F431E3">
            <w:pPr>
              <w:spacing w:before="6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Áno</w:t>
            </w:r>
          </w:p>
        </w:tc>
        <w:tc>
          <w:tcPr>
            <w:tcW w:w="3566" w:type="pct"/>
            <w:gridSpan w:val="2"/>
            <w:vAlign w:val="center"/>
          </w:tcPr>
          <w:p w14:paraId="5F2D1A0A" w14:textId="77777777" w:rsidR="00322F91" w:rsidRPr="00DD6590" w:rsidRDefault="003A064B" w:rsidP="00F431E3">
            <w:p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Prioritná os 4 je zazmluvnená </w:t>
            </w:r>
            <w:r w:rsidR="00220492" w:rsidRPr="00DD6590">
              <w:rPr>
                <w:rFonts w:asciiTheme="minorHAnsi" w:hAnsiTheme="minorHAnsi"/>
                <w:szCs w:val="18"/>
              </w:rPr>
              <w:t>na 0,3</w:t>
            </w:r>
            <w:r w:rsidR="008B6334" w:rsidRPr="00DD6590">
              <w:rPr>
                <w:rFonts w:asciiTheme="minorHAnsi" w:hAnsiTheme="minorHAnsi"/>
                <w:szCs w:val="18"/>
              </w:rPr>
              <w:t>5</w:t>
            </w:r>
            <w:r w:rsidR="00B2034B">
              <w:rPr>
                <w:rFonts w:asciiTheme="minorHAnsi" w:hAnsiTheme="minorHAnsi"/>
                <w:szCs w:val="18"/>
              </w:rPr>
              <w:t xml:space="preserve"> </w:t>
            </w:r>
            <w:r w:rsidR="00220492" w:rsidRPr="00DD6590">
              <w:rPr>
                <w:rFonts w:asciiTheme="minorHAnsi" w:hAnsiTheme="minorHAnsi"/>
                <w:szCs w:val="18"/>
              </w:rPr>
              <w:t xml:space="preserve">%, </w:t>
            </w:r>
            <w:r w:rsidR="00263DAE" w:rsidRPr="00DD6590">
              <w:rPr>
                <w:rFonts w:asciiTheme="minorHAnsi" w:hAnsiTheme="minorHAnsi"/>
                <w:szCs w:val="18"/>
              </w:rPr>
              <w:t>projekty uvedené v</w:t>
            </w:r>
            <w:r w:rsidR="00402CBB" w:rsidRPr="00DD6590">
              <w:rPr>
                <w:rFonts w:asciiTheme="minorHAnsi" w:hAnsiTheme="minorHAnsi"/>
                <w:szCs w:val="18"/>
              </w:rPr>
              <w:t> </w:t>
            </w:r>
            <w:r w:rsidR="00263DAE" w:rsidRPr="00DD6590">
              <w:rPr>
                <w:rFonts w:asciiTheme="minorHAnsi" w:hAnsiTheme="minorHAnsi"/>
                <w:szCs w:val="18"/>
              </w:rPr>
              <w:t>dotazníku</w:t>
            </w:r>
            <w:r w:rsidR="00402CBB" w:rsidRPr="00DD6590">
              <w:rPr>
                <w:rFonts w:asciiTheme="minorHAnsi" w:hAnsiTheme="minorHAnsi"/>
                <w:szCs w:val="18"/>
              </w:rPr>
              <w:t>/matici</w:t>
            </w:r>
            <w:r w:rsidR="00263DAE" w:rsidRPr="00DD6590">
              <w:rPr>
                <w:rFonts w:asciiTheme="minorHAnsi" w:hAnsiTheme="minorHAnsi"/>
                <w:szCs w:val="18"/>
              </w:rPr>
              <w:t xml:space="preserve"> prevyšujú alokáciu </w:t>
            </w:r>
            <w:r w:rsidR="00402CBB" w:rsidRPr="00DD6590">
              <w:rPr>
                <w:rFonts w:asciiTheme="minorHAnsi" w:hAnsiTheme="minorHAnsi"/>
                <w:szCs w:val="18"/>
              </w:rPr>
              <w:t>prioritnej osi</w:t>
            </w:r>
            <w:r w:rsidR="00B2034B">
              <w:rPr>
                <w:rFonts w:asciiTheme="minorHAnsi" w:hAnsiTheme="minorHAnsi"/>
                <w:szCs w:val="18"/>
              </w:rPr>
              <w:t>,</w:t>
            </w:r>
            <w:r w:rsidR="00402CBB" w:rsidRPr="00DD6590">
              <w:rPr>
                <w:rFonts w:asciiTheme="minorHAnsi" w:hAnsiTheme="minorHAnsi"/>
                <w:szCs w:val="18"/>
              </w:rPr>
              <w:t xml:space="preserve"> </w:t>
            </w:r>
            <w:r w:rsidR="00263DAE" w:rsidRPr="00DD6590">
              <w:rPr>
                <w:rFonts w:asciiTheme="minorHAnsi" w:hAnsiTheme="minorHAnsi"/>
                <w:szCs w:val="18"/>
              </w:rPr>
              <w:t xml:space="preserve">ale ich hodnota a termín realizácie sú stanovené len odhadom. </w:t>
            </w:r>
            <w:r w:rsidR="00322F91" w:rsidRPr="00DD6590">
              <w:rPr>
                <w:rFonts w:asciiTheme="minorHAnsi" w:hAnsiTheme="minorHAnsi"/>
                <w:szCs w:val="18"/>
              </w:rPr>
              <w:t>Je potrebné čo najskôr zakontrahovať projekty, ktoré sú pripravené na implementáciu, ako napr.:</w:t>
            </w:r>
          </w:p>
          <w:p w14:paraId="604CC819" w14:textId="77777777" w:rsidR="00322F91" w:rsidRPr="00DD6590" w:rsidRDefault="00322F91" w:rsidP="003E761D">
            <w:pPr>
              <w:pStyle w:val="ListParagraph"/>
              <w:numPr>
                <w:ilvl w:val="0"/>
                <w:numId w:val="82"/>
              </w:numPr>
              <w:spacing w:before="60" w:after="0" w:line="240" w:lineRule="auto"/>
              <w:cnfStyle w:val="000000000000" w:firstRow="0" w:lastRow="0" w:firstColumn="0" w:lastColumn="0" w:oddVBand="0" w:evenVBand="0" w:oddHBand="0" w:evenHBand="0" w:firstRowFirstColumn="0" w:firstRowLastColumn="0" w:lastRowFirstColumn="0" w:lastRowLastColumn="0"/>
              <w:rPr>
                <w:rFonts w:eastAsia="Verdana"/>
                <w:szCs w:val="18"/>
                <w:lang w:eastAsia="cs-CZ"/>
              </w:rPr>
            </w:pPr>
            <w:r w:rsidRPr="00DD6590">
              <w:rPr>
                <w:rFonts w:eastAsia="Verdana"/>
                <w:szCs w:val="18"/>
                <w:lang w:eastAsia="cs-CZ"/>
              </w:rPr>
              <w:t>Štúdia realizovateľnosti, I. fáza: Technické opatrenia pre zabezpečenie požadovaných parametrov plavebnej dráhy vodnej cesty Dunaj v r. km 1880,26 – r. km 1708,20</w:t>
            </w:r>
            <w:r w:rsidR="00B2034B">
              <w:rPr>
                <w:rFonts w:eastAsia="Verdana"/>
                <w:szCs w:val="18"/>
                <w:lang w:eastAsia="cs-CZ"/>
              </w:rPr>
              <w:t>,</w:t>
            </w:r>
          </w:p>
          <w:p w14:paraId="7CA55872" w14:textId="77777777" w:rsidR="00322F91" w:rsidRPr="00DD6590" w:rsidRDefault="00322F91" w:rsidP="003E761D">
            <w:pPr>
              <w:pStyle w:val="ListParagraph"/>
              <w:numPr>
                <w:ilvl w:val="0"/>
                <w:numId w:val="82"/>
              </w:num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rFonts w:eastAsia="Verdana"/>
                <w:szCs w:val="18"/>
                <w:lang w:eastAsia="cs-CZ"/>
              </w:rPr>
            </w:pPr>
            <w:r w:rsidRPr="00DD6590">
              <w:rPr>
                <w:rFonts w:eastAsia="Verdana"/>
                <w:szCs w:val="18"/>
                <w:lang w:eastAsia="cs-CZ"/>
              </w:rPr>
              <w:t>Vybudovanie terminálu LNG vo verejnom prístave Bratislava – predprojektová príprava</w:t>
            </w:r>
            <w:r w:rsidR="00B2034B">
              <w:rPr>
                <w:rFonts w:eastAsia="Verdana"/>
                <w:szCs w:val="18"/>
                <w:lang w:eastAsia="cs-CZ"/>
              </w:rPr>
              <w:t>,</w:t>
            </w:r>
          </w:p>
          <w:p w14:paraId="6E3F06CC" w14:textId="77777777" w:rsidR="00322F91" w:rsidRPr="00DD6590" w:rsidRDefault="00322F91" w:rsidP="003E761D">
            <w:pPr>
              <w:pStyle w:val="ListParagraph"/>
              <w:numPr>
                <w:ilvl w:val="0"/>
                <w:numId w:val="82"/>
              </w:num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rFonts w:eastAsia="Verdana"/>
                <w:szCs w:val="18"/>
                <w:lang w:eastAsia="cs-CZ"/>
              </w:rPr>
            </w:pPr>
            <w:r w:rsidRPr="00DD6590">
              <w:rPr>
                <w:rFonts w:eastAsia="Verdana"/>
                <w:szCs w:val="18"/>
                <w:lang w:eastAsia="cs-CZ"/>
              </w:rPr>
              <w:t xml:space="preserve">Vybudovanie zázemia pre plavidlá vo verejnom prístave Bratislava </w:t>
            </w:r>
            <w:r w:rsidR="00B2034B" w:rsidRPr="00DD6590">
              <w:t>–</w:t>
            </w:r>
            <w:r w:rsidRPr="00DD6590">
              <w:rPr>
                <w:rFonts w:eastAsia="Verdana"/>
                <w:szCs w:val="18"/>
                <w:lang w:eastAsia="cs-CZ"/>
              </w:rPr>
              <w:t xml:space="preserve"> projektová dokumentácia.</w:t>
            </w:r>
          </w:p>
          <w:p w14:paraId="02F4A3D8" w14:textId="77777777" w:rsidR="00322F91" w:rsidRPr="00DD6590" w:rsidRDefault="00322F91" w:rsidP="003B76EC">
            <w:p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szCs w:val="18"/>
              </w:rPr>
            </w:pPr>
            <w:r w:rsidRPr="00DD6590">
              <w:rPr>
                <w:szCs w:val="18"/>
              </w:rPr>
              <w:t>Odporúčame vypracovať akčný plán, ktorý povedie k posunu implementácie kľúčových projektov smerujúcich k naplneniu cieľov OPII. V</w:t>
            </w:r>
            <w:r w:rsidR="00B2034B">
              <w:rPr>
                <w:szCs w:val="18"/>
              </w:rPr>
              <w:t> </w:t>
            </w:r>
            <w:r w:rsidRPr="00DD6590">
              <w:rPr>
                <w:szCs w:val="18"/>
              </w:rPr>
              <w:t>prípade</w:t>
            </w:r>
            <w:r w:rsidR="00B2034B">
              <w:rPr>
                <w:szCs w:val="18"/>
              </w:rPr>
              <w:t>,</w:t>
            </w:r>
            <w:r w:rsidRPr="00DD6590">
              <w:rPr>
                <w:szCs w:val="18"/>
              </w:rPr>
              <w:t xml:space="preserve"> ak nebudú ciele stanovené akčným plánom </w:t>
            </w:r>
            <w:r w:rsidR="003B76EC" w:rsidRPr="00DD6590">
              <w:rPr>
                <w:szCs w:val="18"/>
              </w:rPr>
              <w:t xml:space="preserve">splnené </w:t>
            </w:r>
            <w:r w:rsidRPr="00DD6590">
              <w:rPr>
                <w:szCs w:val="18"/>
              </w:rPr>
              <w:t xml:space="preserve">v stanovenom termíne, bude potrebné iniciovať presun voľných finančných prostriedkov z PO4 do </w:t>
            </w:r>
            <w:r w:rsidR="00502154" w:rsidRPr="00DD6590">
              <w:rPr>
                <w:szCs w:val="18"/>
              </w:rPr>
              <w:t xml:space="preserve">PO2, resp. </w:t>
            </w:r>
            <w:r w:rsidRPr="00DD6590">
              <w:rPr>
                <w:szCs w:val="18"/>
              </w:rPr>
              <w:t>PO3</w:t>
            </w:r>
            <w:r w:rsidR="00B2034B">
              <w:rPr>
                <w:szCs w:val="18"/>
              </w:rPr>
              <w:t>,</w:t>
            </w:r>
            <w:r w:rsidR="00502154" w:rsidRPr="00DD6590">
              <w:rPr>
                <w:szCs w:val="18"/>
              </w:rPr>
              <w:t xml:space="preserve"> z dôvodu  dostatočnej </w:t>
            </w:r>
            <w:r w:rsidR="00B2034B" w:rsidRPr="00DD6590">
              <w:rPr>
                <w:szCs w:val="18"/>
              </w:rPr>
              <w:t>absorpčnej</w:t>
            </w:r>
            <w:r w:rsidR="00502154" w:rsidRPr="00DD6590">
              <w:rPr>
                <w:szCs w:val="18"/>
              </w:rPr>
              <w:t xml:space="preserve"> kapacity. </w:t>
            </w:r>
            <w:r w:rsidR="00B2034B">
              <w:rPr>
                <w:szCs w:val="18"/>
              </w:rPr>
              <w:t>O</w:t>
            </w:r>
            <w:r w:rsidR="00502154" w:rsidRPr="00DD6590">
              <w:rPr>
                <w:szCs w:val="18"/>
              </w:rPr>
              <w:t>dporúčame</w:t>
            </w:r>
            <w:r w:rsidR="00B2034B">
              <w:rPr>
                <w:szCs w:val="18"/>
              </w:rPr>
              <w:t xml:space="preserve"> sa však</w:t>
            </w:r>
            <w:r w:rsidR="00502154" w:rsidRPr="00DD6590">
              <w:rPr>
                <w:szCs w:val="18"/>
              </w:rPr>
              <w:t xml:space="preserve"> zamera</w:t>
            </w:r>
            <w:r w:rsidR="00B2034B">
              <w:rPr>
                <w:szCs w:val="18"/>
              </w:rPr>
              <w:t>ť</w:t>
            </w:r>
            <w:r w:rsidR="00502154" w:rsidRPr="00DD6590">
              <w:rPr>
                <w:szCs w:val="18"/>
              </w:rPr>
              <w:t xml:space="preserve"> </w:t>
            </w:r>
            <w:r w:rsidR="00B2034B">
              <w:rPr>
                <w:szCs w:val="18"/>
              </w:rPr>
              <w:t>n</w:t>
            </w:r>
            <w:r w:rsidR="00502154" w:rsidRPr="00DD6590">
              <w:rPr>
                <w:szCs w:val="18"/>
              </w:rPr>
              <w:t>a ekologickú dopravu a prioritizovať PO3</w:t>
            </w:r>
            <w:r w:rsidRPr="00DD6590">
              <w:rPr>
                <w:szCs w:val="18"/>
              </w:rPr>
              <w:t>.</w:t>
            </w:r>
          </w:p>
        </w:tc>
      </w:tr>
      <w:tr w:rsidR="00F41009" w:rsidRPr="00DD6590" w14:paraId="34504C74" w14:textId="77777777" w:rsidTr="0019573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90" w:type="pct"/>
            <w:vAlign w:val="center"/>
          </w:tcPr>
          <w:p w14:paraId="35284D1C" w14:textId="77777777" w:rsidR="00F41009" w:rsidRPr="00DD6590" w:rsidRDefault="00F41009" w:rsidP="00F431E3">
            <w:pPr>
              <w:spacing w:before="60" w:after="0" w:line="240" w:lineRule="auto"/>
              <w:jc w:val="left"/>
              <w:rPr>
                <w:rFonts w:asciiTheme="minorHAnsi" w:hAnsiTheme="minorHAnsi"/>
                <w:b w:val="0"/>
                <w:szCs w:val="18"/>
              </w:rPr>
            </w:pPr>
            <w:r w:rsidRPr="00DD6590">
              <w:rPr>
                <w:rFonts w:asciiTheme="minorHAnsi" w:hAnsiTheme="minorHAnsi"/>
                <w:b w:val="0"/>
                <w:szCs w:val="18"/>
              </w:rPr>
              <w:t>PO5: Železničná infraštruktúra</w:t>
            </w:r>
          </w:p>
        </w:tc>
        <w:tc>
          <w:tcPr>
            <w:tcW w:w="644" w:type="pct"/>
            <w:gridSpan w:val="2"/>
            <w:vAlign w:val="center"/>
          </w:tcPr>
          <w:p w14:paraId="6622F114" w14:textId="77777777" w:rsidR="00F41009" w:rsidRPr="00DD6590" w:rsidRDefault="00D7725A" w:rsidP="00F431E3">
            <w:pPr>
              <w:spacing w:before="6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szCs w:val="18"/>
              </w:rPr>
            </w:pPr>
            <w:r w:rsidRPr="00DD6590">
              <w:rPr>
                <w:rFonts w:asciiTheme="minorHAnsi" w:hAnsiTheme="minorHAnsi"/>
                <w:b/>
                <w:bCs/>
                <w:szCs w:val="18"/>
              </w:rPr>
              <w:t>Nie</w:t>
            </w:r>
          </w:p>
        </w:tc>
        <w:tc>
          <w:tcPr>
            <w:tcW w:w="3566" w:type="pct"/>
            <w:gridSpan w:val="2"/>
            <w:vAlign w:val="center"/>
          </w:tcPr>
          <w:p w14:paraId="65877829" w14:textId="77777777" w:rsidR="00F41009" w:rsidRPr="00DD6590" w:rsidRDefault="004677F8" w:rsidP="00F431E3">
            <w:pPr>
              <w:spacing w:before="60" w:after="0" w:line="240" w:lineRule="auto"/>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Prioritná os 5 je zazmluvnená na 0,58</w:t>
            </w:r>
            <w:r w:rsidR="00B2034B">
              <w:rPr>
                <w:rFonts w:asciiTheme="minorHAnsi" w:hAnsiTheme="minorHAnsi"/>
                <w:szCs w:val="18"/>
              </w:rPr>
              <w:t xml:space="preserve"> </w:t>
            </w:r>
            <w:r w:rsidRPr="00DD6590">
              <w:rPr>
                <w:rFonts w:asciiTheme="minorHAnsi" w:hAnsiTheme="minorHAnsi"/>
                <w:szCs w:val="18"/>
              </w:rPr>
              <w:t>%, zazmluv</w:t>
            </w:r>
            <w:r w:rsidR="003B76EC">
              <w:rPr>
                <w:rFonts w:asciiTheme="minorHAnsi" w:hAnsiTheme="minorHAnsi"/>
                <w:szCs w:val="18"/>
              </w:rPr>
              <w:t>n</w:t>
            </w:r>
            <w:r w:rsidRPr="00DD6590">
              <w:rPr>
                <w:rFonts w:asciiTheme="minorHAnsi" w:hAnsiTheme="minorHAnsi"/>
                <w:szCs w:val="18"/>
              </w:rPr>
              <w:t xml:space="preserve">ením </w:t>
            </w:r>
            <w:r w:rsidR="00C045D7" w:rsidRPr="00DD6590">
              <w:rPr>
                <w:rFonts w:asciiTheme="minorHAnsi" w:hAnsiTheme="minorHAnsi"/>
                <w:szCs w:val="18"/>
              </w:rPr>
              <w:t>predložených</w:t>
            </w:r>
            <w:r w:rsidRPr="00DD6590">
              <w:rPr>
                <w:rFonts w:asciiTheme="minorHAnsi" w:hAnsiTheme="minorHAnsi"/>
                <w:szCs w:val="18"/>
              </w:rPr>
              <w:t xml:space="preserve"> projektov sa percento kontrahovania </w:t>
            </w:r>
            <w:r w:rsidR="00C045D7" w:rsidRPr="00DD6590">
              <w:rPr>
                <w:rFonts w:asciiTheme="minorHAnsi" w:hAnsiTheme="minorHAnsi"/>
                <w:szCs w:val="18"/>
              </w:rPr>
              <w:t>zvýši na 30,</w:t>
            </w:r>
            <w:r w:rsidR="00F431E3" w:rsidRPr="00DD6590">
              <w:rPr>
                <w:rFonts w:asciiTheme="minorHAnsi" w:hAnsiTheme="minorHAnsi"/>
                <w:szCs w:val="18"/>
              </w:rPr>
              <w:t>27</w:t>
            </w:r>
            <w:r w:rsidR="00B2034B">
              <w:rPr>
                <w:rFonts w:asciiTheme="minorHAnsi" w:hAnsiTheme="minorHAnsi"/>
                <w:szCs w:val="18"/>
              </w:rPr>
              <w:t xml:space="preserve"> </w:t>
            </w:r>
            <w:r w:rsidR="00C045D7" w:rsidRPr="00DD6590">
              <w:rPr>
                <w:rFonts w:asciiTheme="minorHAnsi" w:hAnsiTheme="minorHAnsi"/>
                <w:szCs w:val="18"/>
              </w:rPr>
              <w:t xml:space="preserve">%. Vzhľadom </w:t>
            </w:r>
            <w:r w:rsidR="00B2034B">
              <w:rPr>
                <w:rFonts w:asciiTheme="minorHAnsi" w:hAnsiTheme="minorHAnsi"/>
                <w:szCs w:val="18"/>
              </w:rPr>
              <w:t>na</w:t>
            </w:r>
            <w:r w:rsidR="00C045D7" w:rsidRPr="00DD6590">
              <w:rPr>
                <w:rFonts w:asciiTheme="minorHAnsi" w:hAnsiTheme="minorHAnsi"/>
                <w:szCs w:val="18"/>
              </w:rPr>
              <w:t> pripravenos</w:t>
            </w:r>
            <w:r w:rsidR="00B2034B">
              <w:rPr>
                <w:rFonts w:asciiTheme="minorHAnsi" w:hAnsiTheme="minorHAnsi"/>
                <w:szCs w:val="18"/>
              </w:rPr>
              <w:t>ť</w:t>
            </w:r>
            <w:r w:rsidR="00C045D7" w:rsidRPr="00DD6590">
              <w:rPr>
                <w:rFonts w:asciiTheme="minorHAnsi" w:hAnsiTheme="minorHAnsi"/>
                <w:szCs w:val="18"/>
              </w:rPr>
              <w:t xml:space="preserve"> projekt</w:t>
            </w:r>
            <w:r w:rsidR="00D23F08" w:rsidRPr="00DD6590">
              <w:rPr>
                <w:rFonts w:asciiTheme="minorHAnsi" w:hAnsiTheme="minorHAnsi"/>
                <w:szCs w:val="18"/>
              </w:rPr>
              <w:t>ov</w:t>
            </w:r>
            <w:r w:rsidR="002B25BF" w:rsidRPr="00DD6590">
              <w:rPr>
                <w:rFonts w:asciiTheme="minorHAnsi" w:hAnsiTheme="minorHAnsi"/>
                <w:szCs w:val="18"/>
              </w:rPr>
              <w:t xml:space="preserve"> a ich zamerania</w:t>
            </w:r>
            <w:r w:rsidR="00C045D7" w:rsidRPr="00DD6590">
              <w:rPr>
                <w:rFonts w:asciiTheme="minorHAnsi" w:hAnsiTheme="minorHAnsi"/>
                <w:szCs w:val="18"/>
              </w:rPr>
              <w:t xml:space="preserve"> je</w:t>
            </w:r>
            <w:r w:rsidR="003B76EC">
              <w:rPr>
                <w:rFonts w:asciiTheme="minorHAnsi" w:hAnsiTheme="minorHAnsi"/>
                <w:szCs w:val="18"/>
              </w:rPr>
              <w:t xml:space="preserve"> tu</w:t>
            </w:r>
            <w:r w:rsidR="00C045D7" w:rsidRPr="00DD6590">
              <w:rPr>
                <w:rFonts w:asciiTheme="minorHAnsi" w:hAnsiTheme="minorHAnsi"/>
                <w:szCs w:val="18"/>
              </w:rPr>
              <w:t xml:space="preserve"> riziko nenaplnenia výkonnostného rámca pre rok 2023, </w:t>
            </w:r>
            <w:r w:rsidR="003B76EC">
              <w:rPr>
                <w:rFonts w:asciiTheme="minorHAnsi" w:hAnsiTheme="minorHAnsi"/>
                <w:szCs w:val="18"/>
              </w:rPr>
              <w:t>po</w:t>
            </w:r>
            <w:r w:rsidR="00C045D7" w:rsidRPr="00DD6590">
              <w:rPr>
                <w:rFonts w:asciiTheme="minorHAnsi" w:hAnsiTheme="minorHAnsi"/>
                <w:szCs w:val="18"/>
              </w:rPr>
              <w:t>dobne ako nebol</w:t>
            </w:r>
            <w:r w:rsidR="00102A6C" w:rsidRPr="00DD6590">
              <w:rPr>
                <w:rFonts w:asciiTheme="minorHAnsi" w:hAnsiTheme="minorHAnsi"/>
                <w:szCs w:val="18"/>
              </w:rPr>
              <w:t xml:space="preserve"> splnený cieľ pre rok 2018.</w:t>
            </w:r>
            <w:r w:rsidR="00072858" w:rsidRPr="00DD6590">
              <w:rPr>
                <w:rFonts w:asciiTheme="minorHAnsi" w:hAnsiTheme="minorHAnsi"/>
                <w:szCs w:val="18"/>
              </w:rPr>
              <w:t xml:space="preserve"> Preto odporúčame prehodnotiť zameranie aktivít. </w:t>
            </w:r>
          </w:p>
          <w:p w14:paraId="1919AC51" w14:textId="77777777" w:rsidR="0037019A" w:rsidRPr="00DD6590" w:rsidRDefault="0037019A" w:rsidP="00F431E3">
            <w:pPr>
              <w:spacing w:before="60" w:after="0" w:line="240" w:lineRule="auto"/>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V rámci prioritnej osi odporúčame:</w:t>
            </w:r>
          </w:p>
          <w:p w14:paraId="08F456BA" w14:textId="77777777" w:rsidR="00C33F51" w:rsidRPr="00DD6590" w:rsidRDefault="00C33F51" w:rsidP="003E761D">
            <w:pPr>
              <w:pStyle w:val="ListParagraph"/>
              <w:numPr>
                <w:ilvl w:val="0"/>
                <w:numId w:val="36"/>
              </w:numPr>
              <w:spacing w:before="60" w:after="0" w:line="240" w:lineRule="auto"/>
              <w:ind w:left="353" w:hanging="270"/>
              <w:contextualSpacing/>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szCs w:val="18"/>
                <w:lang w:eastAsia="cs-CZ"/>
              </w:rPr>
            </w:pPr>
            <w:r w:rsidRPr="00DD6590">
              <w:rPr>
                <w:rFonts w:asciiTheme="minorHAnsi" w:eastAsia="Verdana" w:hAnsiTheme="minorHAnsi"/>
                <w:szCs w:val="18"/>
                <w:lang w:eastAsia="cs-CZ"/>
              </w:rPr>
              <w:t>Urýchlenie schvaľovania plánovaných projektov vedúcich k naplneniu finančného ukazovateľa, aby sa projekty, prípadne ich fázy</w:t>
            </w:r>
            <w:r w:rsidR="003B76EC">
              <w:rPr>
                <w:rFonts w:asciiTheme="minorHAnsi" w:eastAsia="Verdana" w:hAnsiTheme="minorHAnsi"/>
                <w:szCs w:val="18"/>
                <w:lang w:eastAsia="cs-CZ"/>
              </w:rPr>
              <w:t>,</w:t>
            </w:r>
            <w:r w:rsidRPr="00DD6590">
              <w:rPr>
                <w:rFonts w:asciiTheme="minorHAnsi" w:eastAsia="Verdana" w:hAnsiTheme="minorHAnsi"/>
                <w:szCs w:val="18"/>
                <w:lang w:eastAsia="cs-CZ"/>
              </w:rPr>
              <w:t xml:space="preserve"> stihli zrealizovať v súlade s pravidlom n</w:t>
            </w:r>
            <w:r w:rsidR="003B76EC">
              <w:rPr>
                <w:rFonts w:asciiTheme="minorHAnsi" w:eastAsia="Verdana" w:hAnsiTheme="minorHAnsi"/>
                <w:szCs w:val="18"/>
                <w:lang w:eastAsia="cs-CZ"/>
              </w:rPr>
              <w:t xml:space="preserve"> </w:t>
            </w:r>
            <w:r w:rsidRPr="00DD6590">
              <w:rPr>
                <w:rFonts w:asciiTheme="minorHAnsi" w:eastAsia="Verdana" w:hAnsiTheme="minorHAnsi"/>
                <w:szCs w:val="18"/>
                <w:lang w:eastAsia="cs-CZ"/>
              </w:rPr>
              <w:t>+</w:t>
            </w:r>
            <w:r w:rsidR="003B76EC">
              <w:rPr>
                <w:rFonts w:asciiTheme="minorHAnsi" w:eastAsia="Verdana" w:hAnsiTheme="minorHAnsi"/>
                <w:szCs w:val="18"/>
                <w:lang w:eastAsia="cs-CZ"/>
              </w:rPr>
              <w:t xml:space="preserve"> </w:t>
            </w:r>
            <w:r w:rsidRPr="00DD6590">
              <w:rPr>
                <w:rFonts w:asciiTheme="minorHAnsi" w:eastAsia="Verdana" w:hAnsiTheme="minorHAnsi"/>
                <w:szCs w:val="18"/>
                <w:lang w:eastAsia="cs-CZ"/>
              </w:rPr>
              <w:t>3.</w:t>
            </w:r>
          </w:p>
          <w:p w14:paraId="20AFD2FF" w14:textId="77777777" w:rsidR="0037019A" w:rsidRPr="00DD6590" w:rsidRDefault="00C33F51" w:rsidP="003E761D">
            <w:pPr>
              <w:pStyle w:val="ListParagraph"/>
              <w:numPr>
                <w:ilvl w:val="0"/>
                <w:numId w:val="36"/>
              </w:numPr>
              <w:spacing w:before="60" w:after="0" w:line="240" w:lineRule="auto"/>
              <w:ind w:left="353" w:hanging="270"/>
              <w:contextualSpacing/>
              <w:cnfStyle w:val="000000100000" w:firstRow="0" w:lastRow="0" w:firstColumn="0" w:lastColumn="0" w:oddVBand="0" w:evenVBand="0" w:oddHBand="1" w:evenHBand="0" w:firstRowFirstColumn="0" w:firstRowLastColumn="0" w:lastRowFirstColumn="0" w:lastRowLastColumn="0"/>
              <w:rPr>
                <w:rFonts w:eastAsia="Verdana"/>
                <w:szCs w:val="18"/>
                <w:lang w:eastAsia="cs-CZ"/>
              </w:rPr>
            </w:pPr>
            <w:r w:rsidRPr="00DD6590">
              <w:rPr>
                <w:rFonts w:asciiTheme="minorHAnsi" w:eastAsia="Verdana" w:hAnsiTheme="minorHAnsi"/>
                <w:szCs w:val="18"/>
                <w:lang w:eastAsia="cs-CZ"/>
              </w:rPr>
              <w:t>Pri kontrahovaní nových projektov odporúčame schváliť projekty umožňujúce naplnenie kľúčových ukazovateľov prioritnej osi 5.</w:t>
            </w:r>
          </w:p>
          <w:p w14:paraId="143E47AC" w14:textId="77777777" w:rsidR="004533F9" w:rsidRPr="00DD6590" w:rsidRDefault="004533F9" w:rsidP="003B76EC">
            <w:pPr>
              <w:spacing w:before="60" w:after="0" w:line="240" w:lineRule="auto"/>
              <w:ind w:left="83"/>
              <w:contextualSpacing/>
              <w:cnfStyle w:val="000000100000" w:firstRow="0" w:lastRow="0" w:firstColumn="0" w:lastColumn="0" w:oddVBand="0" w:evenVBand="0" w:oddHBand="1" w:evenHBand="0" w:firstRowFirstColumn="0" w:firstRowLastColumn="0" w:lastRowFirstColumn="0" w:lastRowLastColumn="0"/>
              <w:rPr>
                <w:szCs w:val="18"/>
              </w:rPr>
            </w:pPr>
            <w:r w:rsidRPr="00DD6590">
              <w:rPr>
                <w:szCs w:val="18"/>
              </w:rPr>
              <w:t>Keďže úspešnej implementácii projektov predchádza množstvo prípravných krokov</w:t>
            </w:r>
            <w:r w:rsidR="003B76EC">
              <w:rPr>
                <w:szCs w:val="18"/>
              </w:rPr>
              <w:t xml:space="preserve">, </w:t>
            </w:r>
            <w:r w:rsidRPr="00DD6590">
              <w:rPr>
                <w:szCs w:val="18"/>
              </w:rPr>
              <w:t>napr. štúdia uskutočniteľnosti</w:t>
            </w:r>
            <w:r w:rsidR="003B76EC">
              <w:rPr>
                <w:szCs w:val="18"/>
              </w:rPr>
              <w:t>,</w:t>
            </w:r>
            <w:r w:rsidRPr="00DD6590">
              <w:rPr>
                <w:szCs w:val="18"/>
              </w:rPr>
              <w:t xml:space="preserve"> vydané stanovisko ÚHP, stavebné povolenie, verejné obstarávanie a pod.</w:t>
            </w:r>
            <w:r w:rsidR="003B76EC">
              <w:rPr>
                <w:szCs w:val="18"/>
              </w:rPr>
              <w:t>,</w:t>
            </w:r>
            <w:r w:rsidRPr="00DD6590">
              <w:rPr>
                <w:szCs w:val="18"/>
              </w:rPr>
              <w:t xml:space="preserve"> </w:t>
            </w:r>
            <w:r w:rsidR="003B76EC">
              <w:rPr>
                <w:szCs w:val="18"/>
              </w:rPr>
              <w:t>o</w:t>
            </w:r>
            <w:r w:rsidRPr="00DD6590">
              <w:rPr>
                <w:szCs w:val="18"/>
              </w:rPr>
              <w:t xml:space="preserve">dporúčame vypracovať databázu projektov, kde by boli pre všetky plánované projekty rozpracované stupne pripravenosti, tzn. v akom štádiu prípravy </w:t>
            </w:r>
            <w:r w:rsidRPr="00DD6590">
              <w:rPr>
                <w:szCs w:val="18"/>
              </w:rPr>
              <w:lastRenderedPageBreak/>
              <w:t>sa projekt nachádza.</w:t>
            </w:r>
            <w:r w:rsidR="001B73AD" w:rsidRPr="00DD6590">
              <w:rPr>
                <w:szCs w:val="18"/>
              </w:rPr>
              <w:t xml:space="preserve"> Táto databáza by mala byť pravidelne aktualizovaná prijímateľmi. </w:t>
            </w:r>
          </w:p>
        </w:tc>
      </w:tr>
      <w:tr w:rsidR="00F41009" w:rsidRPr="00DD6590" w14:paraId="622FB66F" w14:textId="77777777" w:rsidTr="00195734">
        <w:trPr>
          <w:trHeight w:val="283"/>
        </w:trPr>
        <w:tc>
          <w:tcPr>
            <w:cnfStyle w:val="001000000000" w:firstRow="0" w:lastRow="0" w:firstColumn="1" w:lastColumn="0" w:oddVBand="0" w:evenVBand="0" w:oddHBand="0" w:evenHBand="0" w:firstRowFirstColumn="0" w:firstRowLastColumn="0" w:lastRowFirstColumn="0" w:lastRowLastColumn="0"/>
            <w:tcW w:w="790" w:type="pct"/>
            <w:vAlign w:val="center"/>
          </w:tcPr>
          <w:p w14:paraId="0791D61C" w14:textId="77777777" w:rsidR="00F41009" w:rsidRPr="00DD6590" w:rsidRDefault="00F41009" w:rsidP="00F431E3">
            <w:pPr>
              <w:spacing w:before="60" w:after="0" w:line="240" w:lineRule="auto"/>
              <w:jc w:val="left"/>
              <w:rPr>
                <w:rFonts w:asciiTheme="minorHAnsi" w:hAnsiTheme="minorHAnsi"/>
                <w:b w:val="0"/>
                <w:szCs w:val="18"/>
              </w:rPr>
            </w:pPr>
            <w:r w:rsidRPr="00DD6590">
              <w:rPr>
                <w:rFonts w:asciiTheme="minorHAnsi" w:hAnsiTheme="minorHAnsi"/>
                <w:b w:val="0"/>
                <w:szCs w:val="18"/>
              </w:rPr>
              <w:lastRenderedPageBreak/>
              <w:t>PO6: Cestná infraštruktúra (mimo TEN-T CORE)</w:t>
            </w:r>
          </w:p>
        </w:tc>
        <w:tc>
          <w:tcPr>
            <w:tcW w:w="644" w:type="pct"/>
            <w:gridSpan w:val="2"/>
            <w:vAlign w:val="center"/>
          </w:tcPr>
          <w:p w14:paraId="00CFAD18" w14:textId="77777777" w:rsidR="00F41009" w:rsidRPr="00DD6590" w:rsidRDefault="00C60217" w:rsidP="00F431E3">
            <w:pPr>
              <w:spacing w:before="6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Nie</w:t>
            </w:r>
          </w:p>
        </w:tc>
        <w:tc>
          <w:tcPr>
            <w:tcW w:w="3566" w:type="pct"/>
            <w:gridSpan w:val="2"/>
            <w:vAlign w:val="center"/>
          </w:tcPr>
          <w:p w14:paraId="3A3018AF" w14:textId="77777777" w:rsidR="00F41009" w:rsidRPr="00DD6590" w:rsidRDefault="00274949" w:rsidP="00F431E3">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V </w:t>
            </w:r>
            <w:r w:rsidR="006540ED" w:rsidRPr="00DD6590">
              <w:rPr>
                <w:rFonts w:asciiTheme="minorHAnsi" w:hAnsiTheme="minorHAnsi"/>
                <w:szCs w:val="18"/>
              </w:rPr>
              <w:t>rámci prioritnej osi odporúčame u</w:t>
            </w:r>
            <w:r w:rsidRPr="00DD6590">
              <w:rPr>
                <w:rFonts w:asciiTheme="minorHAnsi" w:hAnsiTheme="minorHAnsi"/>
                <w:szCs w:val="18"/>
              </w:rPr>
              <w:t>rýchlenie schvaľovania plánovaných projektov vedúcich k na</w:t>
            </w:r>
            <w:r w:rsidR="006540ED" w:rsidRPr="00DD6590">
              <w:rPr>
                <w:rFonts w:asciiTheme="minorHAnsi" w:hAnsiTheme="minorHAnsi"/>
                <w:szCs w:val="18"/>
              </w:rPr>
              <w:t>plneniu finančného ukazovateľa</w:t>
            </w:r>
            <w:r w:rsidR="00402CBB" w:rsidRPr="00DD6590">
              <w:rPr>
                <w:rFonts w:asciiTheme="minorHAnsi" w:hAnsiTheme="minorHAnsi"/>
                <w:szCs w:val="18"/>
              </w:rPr>
              <w:t>, aby sa projekty, prípadne ich fázy</w:t>
            </w:r>
            <w:r w:rsidR="003B76EC">
              <w:rPr>
                <w:rFonts w:asciiTheme="minorHAnsi" w:hAnsiTheme="minorHAnsi"/>
                <w:szCs w:val="18"/>
              </w:rPr>
              <w:t>,</w:t>
            </w:r>
            <w:r w:rsidR="00402CBB" w:rsidRPr="00DD6590">
              <w:rPr>
                <w:rFonts w:asciiTheme="minorHAnsi" w:hAnsiTheme="minorHAnsi"/>
                <w:szCs w:val="18"/>
              </w:rPr>
              <w:t xml:space="preserve"> stihli zrealizovať v súlade s pravidlom n</w:t>
            </w:r>
            <w:r w:rsidR="003B76EC">
              <w:rPr>
                <w:rFonts w:asciiTheme="minorHAnsi" w:hAnsiTheme="minorHAnsi"/>
                <w:szCs w:val="18"/>
              </w:rPr>
              <w:t xml:space="preserve"> </w:t>
            </w:r>
            <w:r w:rsidR="00402CBB" w:rsidRPr="00DD6590">
              <w:rPr>
                <w:rFonts w:asciiTheme="minorHAnsi" w:hAnsiTheme="minorHAnsi"/>
                <w:szCs w:val="18"/>
              </w:rPr>
              <w:t>+</w:t>
            </w:r>
            <w:r w:rsidR="003B76EC">
              <w:rPr>
                <w:rFonts w:asciiTheme="minorHAnsi" w:hAnsiTheme="minorHAnsi"/>
                <w:szCs w:val="18"/>
              </w:rPr>
              <w:t xml:space="preserve"> </w:t>
            </w:r>
            <w:r w:rsidR="00402CBB" w:rsidRPr="00DD6590">
              <w:rPr>
                <w:rFonts w:asciiTheme="minorHAnsi" w:hAnsiTheme="minorHAnsi"/>
                <w:szCs w:val="18"/>
              </w:rPr>
              <w:t>3</w:t>
            </w:r>
            <w:r w:rsidR="00D7725A" w:rsidRPr="00DD6590">
              <w:rPr>
                <w:rFonts w:asciiTheme="minorHAnsi" w:hAnsiTheme="minorHAnsi"/>
                <w:szCs w:val="18"/>
              </w:rPr>
              <w:t xml:space="preserve">. </w:t>
            </w:r>
          </w:p>
        </w:tc>
      </w:tr>
      <w:tr w:rsidR="00F41009" w:rsidRPr="00DD6590" w14:paraId="4CF8FB4D" w14:textId="77777777" w:rsidTr="0019573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90" w:type="pct"/>
            <w:vAlign w:val="center"/>
          </w:tcPr>
          <w:p w14:paraId="5B76A2DB" w14:textId="77777777" w:rsidR="00F41009" w:rsidRPr="00DD6590" w:rsidRDefault="00F41009" w:rsidP="00F431E3">
            <w:pPr>
              <w:spacing w:before="60" w:after="0" w:line="240" w:lineRule="auto"/>
              <w:jc w:val="left"/>
              <w:rPr>
                <w:rFonts w:asciiTheme="minorHAnsi" w:hAnsiTheme="minorHAnsi"/>
                <w:b w:val="0"/>
                <w:szCs w:val="18"/>
              </w:rPr>
            </w:pPr>
            <w:r w:rsidRPr="00DD6590">
              <w:rPr>
                <w:rFonts w:asciiTheme="minorHAnsi" w:hAnsiTheme="minorHAnsi"/>
                <w:b w:val="0"/>
                <w:szCs w:val="18"/>
              </w:rPr>
              <w:t xml:space="preserve">PO7 – Informačná spoločnosť </w:t>
            </w:r>
          </w:p>
        </w:tc>
        <w:tc>
          <w:tcPr>
            <w:tcW w:w="704" w:type="pct"/>
            <w:gridSpan w:val="3"/>
            <w:vAlign w:val="center"/>
          </w:tcPr>
          <w:p w14:paraId="71527FED" w14:textId="77777777" w:rsidR="00F41009" w:rsidRPr="00DD6590" w:rsidRDefault="00C60217" w:rsidP="00F431E3">
            <w:pPr>
              <w:spacing w:before="6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Áno</w:t>
            </w:r>
          </w:p>
        </w:tc>
        <w:tc>
          <w:tcPr>
            <w:tcW w:w="3506" w:type="pct"/>
            <w:vAlign w:val="center"/>
          </w:tcPr>
          <w:p w14:paraId="0502952C" w14:textId="77777777" w:rsidR="00640E86" w:rsidRPr="00DD6590" w:rsidRDefault="00B44208" w:rsidP="00F431E3">
            <w:pPr>
              <w:spacing w:before="60" w:after="0" w:line="240" w:lineRule="auto"/>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Prioritná os 7 je zazmluvnená na </w:t>
            </w:r>
            <w:r w:rsidR="009B2B48" w:rsidRPr="00DD6590">
              <w:rPr>
                <w:rFonts w:asciiTheme="minorHAnsi" w:hAnsiTheme="minorHAnsi"/>
                <w:szCs w:val="18"/>
              </w:rPr>
              <w:t>31,74</w:t>
            </w:r>
            <w:r w:rsidR="003B76EC">
              <w:rPr>
                <w:rFonts w:asciiTheme="minorHAnsi" w:hAnsiTheme="minorHAnsi"/>
                <w:szCs w:val="18"/>
              </w:rPr>
              <w:t xml:space="preserve"> </w:t>
            </w:r>
            <w:r w:rsidR="009B2B48" w:rsidRPr="00DD6590">
              <w:rPr>
                <w:rFonts w:asciiTheme="minorHAnsi" w:hAnsiTheme="minorHAnsi"/>
                <w:szCs w:val="18"/>
              </w:rPr>
              <w:t>%, projekty uvedené v</w:t>
            </w:r>
            <w:r w:rsidR="00402CBB" w:rsidRPr="00DD6590">
              <w:rPr>
                <w:rFonts w:asciiTheme="minorHAnsi" w:hAnsiTheme="minorHAnsi"/>
                <w:szCs w:val="18"/>
              </w:rPr>
              <w:t> </w:t>
            </w:r>
            <w:r w:rsidR="009B2B48" w:rsidRPr="00DD6590">
              <w:rPr>
                <w:rFonts w:asciiTheme="minorHAnsi" w:hAnsiTheme="minorHAnsi"/>
                <w:szCs w:val="18"/>
              </w:rPr>
              <w:t>dotazníku</w:t>
            </w:r>
            <w:r w:rsidR="00402CBB" w:rsidRPr="00DD6590">
              <w:rPr>
                <w:rFonts w:asciiTheme="minorHAnsi" w:hAnsiTheme="minorHAnsi"/>
                <w:szCs w:val="18"/>
              </w:rPr>
              <w:t>/matici</w:t>
            </w:r>
            <w:r w:rsidR="009B2B48" w:rsidRPr="00DD6590">
              <w:rPr>
                <w:rFonts w:asciiTheme="minorHAnsi" w:hAnsiTheme="minorHAnsi"/>
                <w:szCs w:val="18"/>
              </w:rPr>
              <w:t xml:space="preserve"> prevyšujú alokáciu</w:t>
            </w:r>
            <w:r w:rsidR="00402CBB" w:rsidRPr="00DD6590">
              <w:rPr>
                <w:rFonts w:asciiTheme="minorHAnsi" w:hAnsiTheme="minorHAnsi"/>
                <w:szCs w:val="18"/>
              </w:rPr>
              <w:t xml:space="preserve"> prioritnej osi</w:t>
            </w:r>
            <w:r w:rsidR="003B76EC">
              <w:rPr>
                <w:rFonts w:asciiTheme="minorHAnsi" w:hAnsiTheme="minorHAnsi"/>
                <w:szCs w:val="18"/>
              </w:rPr>
              <w:t>,</w:t>
            </w:r>
            <w:r w:rsidR="009B2B48" w:rsidRPr="00DD6590">
              <w:rPr>
                <w:rFonts w:asciiTheme="minorHAnsi" w:hAnsiTheme="minorHAnsi"/>
                <w:szCs w:val="18"/>
              </w:rPr>
              <w:t xml:space="preserve"> </w:t>
            </w:r>
            <w:r w:rsidR="003B76EC">
              <w:rPr>
                <w:rFonts w:asciiTheme="minorHAnsi" w:hAnsiTheme="minorHAnsi"/>
                <w:szCs w:val="18"/>
              </w:rPr>
              <w:t>ale</w:t>
            </w:r>
            <w:r w:rsidR="00640E86" w:rsidRPr="00DD6590">
              <w:rPr>
                <w:rFonts w:asciiTheme="minorHAnsi" w:hAnsiTheme="minorHAnsi"/>
                <w:szCs w:val="18"/>
              </w:rPr>
              <w:t xml:space="preserve"> nie sú pripravené na realizáciu, najmä z dôvodu zdĺhavého procesu verejného obstarávania. </w:t>
            </w:r>
          </w:p>
          <w:p w14:paraId="4F216604" w14:textId="77777777" w:rsidR="0023699A" w:rsidRPr="00DD6590" w:rsidRDefault="0023699A" w:rsidP="00F431E3">
            <w:pPr>
              <w:spacing w:before="60" w:after="0" w:line="240" w:lineRule="auto"/>
              <w:contextualSpacing/>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V rámci prioritnej osi odporúčame:</w:t>
            </w:r>
          </w:p>
          <w:p w14:paraId="4F5387A9" w14:textId="77777777" w:rsidR="0023699A" w:rsidRPr="00DD6590" w:rsidRDefault="0023699A" w:rsidP="00B01CA5">
            <w:pPr>
              <w:pStyle w:val="ListParagraph"/>
              <w:numPr>
                <w:ilvl w:val="0"/>
                <w:numId w:val="36"/>
              </w:numPr>
              <w:spacing w:before="60" w:after="0" w:line="240" w:lineRule="auto"/>
              <w:ind w:left="324" w:hanging="270"/>
              <w:contextualSpacing/>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szCs w:val="18"/>
                <w:lang w:eastAsia="cs-CZ"/>
              </w:rPr>
            </w:pPr>
            <w:r w:rsidRPr="00DD6590">
              <w:rPr>
                <w:rFonts w:asciiTheme="minorHAnsi" w:eastAsia="Verdana" w:hAnsiTheme="minorHAnsi"/>
                <w:szCs w:val="18"/>
                <w:lang w:eastAsia="cs-CZ"/>
              </w:rPr>
              <w:t>Urýchlenie schvaľovania plánovaných projektov vedúcich k naplneniu finančného ukazovateľa, aby sa projekty, prípadne ich fázy</w:t>
            </w:r>
            <w:r w:rsidR="003B76EC">
              <w:rPr>
                <w:rFonts w:asciiTheme="minorHAnsi" w:eastAsia="Verdana" w:hAnsiTheme="minorHAnsi"/>
                <w:szCs w:val="18"/>
                <w:lang w:eastAsia="cs-CZ"/>
              </w:rPr>
              <w:t>,</w:t>
            </w:r>
            <w:r w:rsidRPr="00DD6590">
              <w:rPr>
                <w:rFonts w:asciiTheme="minorHAnsi" w:eastAsia="Verdana" w:hAnsiTheme="minorHAnsi"/>
                <w:szCs w:val="18"/>
                <w:lang w:eastAsia="cs-CZ"/>
              </w:rPr>
              <w:t xml:space="preserve"> stihli zrealizovať v súlade s pravidlom n</w:t>
            </w:r>
            <w:r w:rsidR="003B76EC">
              <w:rPr>
                <w:rFonts w:asciiTheme="minorHAnsi" w:eastAsia="Verdana" w:hAnsiTheme="minorHAnsi"/>
                <w:szCs w:val="18"/>
                <w:lang w:eastAsia="cs-CZ"/>
              </w:rPr>
              <w:t xml:space="preserve"> </w:t>
            </w:r>
            <w:r w:rsidRPr="00DD6590">
              <w:rPr>
                <w:rFonts w:asciiTheme="minorHAnsi" w:eastAsia="Verdana" w:hAnsiTheme="minorHAnsi"/>
                <w:szCs w:val="18"/>
                <w:lang w:eastAsia="cs-CZ"/>
              </w:rPr>
              <w:t>+</w:t>
            </w:r>
            <w:r w:rsidR="003B76EC">
              <w:rPr>
                <w:rFonts w:asciiTheme="minorHAnsi" w:eastAsia="Verdana" w:hAnsiTheme="minorHAnsi"/>
                <w:szCs w:val="18"/>
                <w:lang w:eastAsia="cs-CZ"/>
              </w:rPr>
              <w:t xml:space="preserve"> </w:t>
            </w:r>
            <w:r w:rsidRPr="00DD6590">
              <w:rPr>
                <w:rFonts w:asciiTheme="minorHAnsi" w:eastAsia="Verdana" w:hAnsiTheme="minorHAnsi"/>
                <w:szCs w:val="18"/>
                <w:lang w:eastAsia="cs-CZ"/>
              </w:rPr>
              <w:t>3.</w:t>
            </w:r>
          </w:p>
          <w:p w14:paraId="528840ED" w14:textId="5628BD81" w:rsidR="007F0629" w:rsidRPr="00DD6590" w:rsidRDefault="00F10582" w:rsidP="007F0629">
            <w:pPr>
              <w:pStyle w:val="ListParagraph"/>
              <w:numPr>
                <w:ilvl w:val="0"/>
                <w:numId w:val="36"/>
              </w:numPr>
              <w:spacing w:before="60" w:after="0" w:line="240" w:lineRule="auto"/>
              <w:ind w:left="330" w:hanging="270"/>
              <w:contextualSpacing/>
              <w:cnfStyle w:val="000000100000" w:firstRow="0" w:lastRow="0" w:firstColumn="0" w:lastColumn="0" w:oddVBand="0" w:evenVBand="0" w:oddHBand="1" w:evenHBand="0" w:firstRowFirstColumn="0" w:firstRowLastColumn="0" w:lastRowFirstColumn="0" w:lastRowLastColumn="0"/>
              <w:rPr>
                <w:rFonts w:eastAsia="Verdana"/>
                <w:szCs w:val="18"/>
                <w:lang w:eastAsia="cs-CZ"/>
              </w:rPr>
            </w:pPr>
            <w:r>
              <w:rPr>
                <w:rFonts w:eastAsia="Verdana"/>
                <w:szCs w:val="18"/>
                <w:lang w:eastAsia="cs-CZ"/>
              </w:rPr>
              <w:t>V rámci schválených projektov odporúčame zamerať sa na</w:t>
            </w:r>
            <w:r w:rsidR="007F0629" w:rsidRPr="00DD6590">
              <w:rPr>
                <w:rFonts w:eastAsia="Verdana"/>
                <w:szCs w:val="18"/>
                <w:lang w:eastAsia="cs-CZ"/>
              </w:rPr>
              <w:t xml:space="preserve"> projekty umožňujúce naplnenie kľúčových ukazovateľov prioritnej osi 7</w:t>
            </w:r>
            <w:r w:rsidR="002867E7">
              <w:rPr>
                <w:rFonts w:eastAsia="Verdana"/>
                <w:szCs w:val="18"/>
                <w:lang w:eastAsia="cs-CZ"/>
              </w:rPr>
              <w:t xml:space="preserve"> (výstupové a finančné ukazovatele výkonnostného rámca)</w:t>
            </w:r>
            <w:r w:rsidR="007F0629" w:rsidRPr="00DD6590">
              <w:rPr>
                <w:rFonts w:eastAsia="Verdana"/>
                <w:szCs w:val="18"/>
                <w:lang w:eastAsia="cs-CZ"/>
              </w:rPr>
              <w:t>.</w:t>
            </w:r>
          </w:p>
          <w:p w14:paraId="502F9877" w14:textId="77777777" w:rsidR="000B1D31" w:rsidRPr="00DD6590" w:rsidRDefault="00570C44" w:rsidP="00B01CA5">
            <w:pPr>
              <w:pStyle w:val="ListParagraph"/>
              <w:numPr>
                <w:ilvl w:val="0"/>
                <w:numId w:val="36"/>
              </w:numPr>
              <w:spacing w:before="60" w:after="0" w:line="240" w:lineRule="auto"/>
              <w:ind w:left="324" w:hanging="270"/>
              <w:contextualSpacing/>
              <w:cnfStyle w:val="000000100000" w:firstRow="0" w:lastRow="0" w:firstColumn="0" w:lastColumn="0" w:oddVBand="0" w:evenVBand="0" w:oddHBand="1" w:evenHBand="0" w:firstRowFirstColumn="0" w:firstRowLastColumn="0" w:lastRowFirstColumn="0" w:lastRowLastColumn="0"/>
              <w:rPr>
                <w:rFonts w:eastAsia="Verdana"/>
                <w:szCs w:val="18"/>
                <w:lang w:eastAsia="cs-CZ"/>
              </w:rPr>
            </w:pPr>
            <w:r w:rsidRPr="00DD6590">
              <w:rPr>
                <w:rFonts w:asciiTheme="minorHAnsi" w:hAnsiTheme="minorHAnsi"/>
                <w:szCs w:val="18"/>
              </w:rPr>
              <w:t>Vzhľadom na nedostatky a pripravenosť projektov odporúčame vypracovať akčný plán implementácie projektov, ktorý povedie k posunu implementácie kľúčových projektov smerujúcich k naplneniu cieľov OPII. V</w:t>
            </w:r>
            <w:r w:rsidR="003B76EC">
              <w:rPr>
                <w:rFonts w:asciiTheme="minorHAnsi" w:hAnsiTheme="minorHAnsi"/>
                <w:szCs w:val="18"/>
              </w:rPr>
              <w:t> </w:t>
            </w:r>
            <w:r w:rsidRPr="00DD6590">
              <w:rPr>
                <w:rFonts w:asciiTheme="minorHAnsi" w:hAnsiTheme="minorHAnsi"/>
                <w:szCs w:val="18"/>
              </w:rPr>
              <w:t>prípade</w:t>
            </w:r>
            <w:r w:rsidR="003B76EC">
              <w:rPr>
                <w:rFonts w:asciiTheme="minorHAnsi" w:hAnsiTheme="minorHAnsi"/>
                <w:szCs w:val="18"/>
              </w:rPr>
              <w:t>,</w:t>
            </w:r>
            <w:r w:rsidRPr="00DD6590">
              <w:rPr>
                <w:rFonts w:asciiTheme="minorHAnsi" w:hAnsiTheme="minorHAnsi"/>
                <w:szCs w:val="18"/>
              </w:rPr>
              <w:t xml:space="preserve"> ak nebudú ciele stanovené akčným plánom </w:t>
            </w:r>
            <w:r w:rsidR="003B76EC" w:rsidRPr="00DD6590">
              <w:rPr>
                <w:rFonts w:asciiTheme="minorHAnsi" w:hAnsiTheme="minorHAnsi"/>
                <w:szCs w:val="18"/>
              </w:rPr>
              <w:t xml:space="preserve">splnené </w:t>
            </w:r>
            <w:r w:rsidRPr="00DD6590">
              <w:rPr>
                <w:rFonts w:asciiTheme="minorHAnsi" w:hAnsiTheme="minorHAnsi"/>
                <w:szCs w:val="18"/>
              </w:rPr>
              <w:t>v stanovenom termíne, bude potrebné iniciovať presun voľných finančných prostriedkov z PO7 do PO6.</w:t>
            </w:r>
          </w:p>
        </w:tc>
      </w:tr>
    </w:tbl>
    <w:p w14:paraId="06CD8C4C" w14:textId="77777777" w:rsidR="00DC7AC4" w:rsidRPr="00DD6590" w:rsidRDefault="00DC7AC4" w:rsidP="00255B0C">
      <w:pPr>
        <w:pStyle w:val="Heading1"/>
      </w:pPr>
      <w:bookmarkStart w:id="54" w:name="_Toc10709721"/>
      <w:r w:rsidRPr="00DD6590">
        <w:t>Hodnotiaca otázka 3</w:t>
      </w:r>
      <w:bookmarkEnd w:id="54"/>
    </w:p>
    <w:p w14:paraId="168BF27D" w14:textId="77777777" w:rsidR="00F41009" w:rsidRPr="00DD6590" w:rsidRDefault="00F41009" w:rsidP="00DC7AC4">
      <w:pPr>
        <w:rPr>
          <w:b/>
        </w:rPr>
      </w:pPr>
      <w:r w:rsidRPr="00DD6590">
        <w:rPr>
          <w:b/>
        </w:rPr>
        <w:t xml:space="preserve">V ktorých prioritných osiach existuje riziko nenaplnenia výkonnostného rámca? Pre ktoré prioritné osi by bolo vhodné vypracovať návrh na úpravu zámerov (pre rok 2023) </w:t>
      </w:r>
      <w:r w:rsidR="000D1B02" w:rsidRPr="00DD6590">
        <w:rPr>
          <w:b/>
        </w:rPr>
        <w:t xml:space="preserve">a v akých hodnotách a sumách s následným predložením na posúdenie EK v rámci zmeny OPII </w:t>
      </w:r>
      <w:r w:rsidRPr="00DD6590">
        <w:rPr>
          <w:b/>
        </w:rPr>
        <w:t xml:space="preserve"> podľa čl. 30 všeobecného nariadenia?</w:t>
      </w:r>
    </w:p>
    <w:p w14:paraId="11E265B4" w14:textId="77777777" w:rsidR="003B6522" w:rsidRPr="00DD6590" w:rsidRDefault="005D05CF" w:rsidP="00DC7AC4">
      <w:r w:rsidRPr="00DD6590">
        <w:t xml:space="preserve">Riziko nenaplnenia výkonnostného rámca na základe záverov analýzy a dotazníkov </w:t>
      </w:r>
      <w:r w:rsidR="003B76EC">
        <w:t>platí</w:t>
      </w:r>
      <w:r w:rsidR="003B76EC" w:rsidRPr="00DD6590">
        <w:t xml:space="preserve"> </w:t>
      </w:r>
      <w:r w:rsidRPr="00DD6590">
        <w:t>najmä pre prioritnú os 4</w:t>
      </w:r>
      <w:r w:rsidR="0099461B" w:rsidRPr="00DD6590">
        <w:t>, 5</w:t>
      </w:r>
      <w:r w:rsidRPr="00DD6590">
        <w:t xml:space="preserve"> a</w:t>
      </w:r>
      <w:r w:rsidR="008A4CAC" w:rsidRPr="00DD6590">
        <w:t> </w:t>
      </w:r>
      <w:r w:rsidRPr="00DD6590">
        <w:t>7</w:t>
      </w:r>
      <w:r w:rsidR="008A4CAC" w:rsidRPr="00DD6590">
        <w:t>, pri ktorých sú ohrozené nie len finančné ukazovatele</w:t>
      </w:r>
      <w:r w:rsidR="003B76EC">
        <w:t>,</w:t>
      </w:r>
      <w:r w:rsidR="008A4CAC" w:rsidRPr="00DD6590">
        <w:t xml:space="preserve"> ale aj výstupové ukazovatele</w:t>
      </w:r>
      <w:r w:rsidR="003B76EC">
        <w:t>,</w:t>
      </w:r>
      <w:r w:rsidR="008A4CAC" w:rsidRPr="00DD6590">
        <w:t xml:space="preserve">  a to až do takej miery, že by RO OPII mohla hroziť korekcia</w:t>
      </w:r>
      <w:r w:rsidRPr="00DD6590">
        <w:t xml:space="preserve">. </w:t>
      </w:r>
      <w:r w:rsidR="0099461B" w:rsidRPr="00DD6590">
        <w:t xml:space="preserve">V týchto prioritných osiach nebol naplnený ani cieľ </w:t>
      </w:r>
      <w:r w:rsidR="003B76EC">
        <w:t>na</w:t>
      </w:r>
      <w:r w:rsidR="0099461B" w:rsidRPr="00DD6590">
        <w:t xml:space="preserve"> rok 2018.</w:t>
      </w:r>
    </w:p>
    <w:p w14:paraId="35645806" w14:textId="77777777" w:rsidR="00AA6542" w:rsidRPr="00DD6590" w:rsidRDefault="00827A4F" w:rsidP="00AA6542">
      <w:pPr>
        <w:rPr>
          <w:rFonts w:ascii="Verdana" w:hAnsi="Verdana"/>
        </w:rPr>
      </w:pPr>
      <w:r w:rsidRPr="00DD6590">
        <w:rPr>
          <w:rFonts w:ascii="Verdana" w:hAnsi="Verdana"/>
        </w:rPr>
        <w:t>V súlade s</w:t>
      </w:r>
      <w:r w:rsidR="0005400F" w:rsidRPr="00DD6590">
        <w:rPr>
          <w:rFonts w:ascii="Verdana" w:hAnsi="Verdana"/>
        </w:rPr>
        <w:t> </w:t>
      </w:r>
      <w:r w:rsidRPr="00DD6590">
        <w:rPr>
          <w:rFonts w:ascii="Verdana" w:hAnsi="Verdana"/>
        </w:rPr>
        <w:t>legislatívou</w:t>
      </w:r>
      <w:r w:rsidR="0005400F" w:rsidRPr="00DD6590">
        <w:rPr>
          <w:rFonts w:ascii="Verdana" w:hAnsi="Verdana"/>
        </w:rPr>
        <w:t xml:space="preserve"> </w:t>
      </w:r>
      <w:r w:rsidR="00F84690" w:rsidRPr="00DD6590">
        <w:rPr>
          <w:rFonts w:ascii="Verdana" w:hAnsi="Verdana"/>
        </w:rPr>
        <w:t>EÚ</w:t>
      </w:r>
      <w:r w:rsidR="0005400F" w:rsidRPr="00DD6590">
        <w:rPr>
          <w:rFonts w:ascii="Verdana" w:hAnsi="Verdana"/>
        </w:rPr>
        <w:t xml:space="preserve"> (všeobecné</w:t>
      </w:r>
      <w:r w:rsidR="00F84690" w:rsidRPr="00DD6590">
        <w:rPr>
          <w:rFonts w:ascii="Verdana" w:hAnsi="Verdana"/>
        </w:rPr>
        <w:t xml:space="preserve"> nariadenie č. 1303/2013</w:t>
      </w:r>
      <w:r w:rsidR="0005400F" w:rsidRPr="00DD6590">
        <w:rPr>
          <w:rFonts w:ascii="Verdana" w:hAnsi="Verdana"/>
        </w:rPr>
        <w:t xml:space="preserve"> </w:t>
      </w:r>
      <w:r w:rsidR="00F84690" w:rsidRPr="00DD6590">
        <w:rPr>
          <w:rFonts w:ascii="Verdana" w:hAnsi="Verdana"/>
        </w:rPr>
        <w:t xml:space="preserve">vykonávacie nariadenie Komisie č.  215/2014, usmernením EK </w:t>
      </w:r>
      <w:r w:rsidR="00F84690" w:rsidRPr="00DD6590">
        <w:rPr>
          <w:rFonts w:ascii="Verdana" w:hAnsi="Verdana"/>
          <w:lang w:val="en-US"/>
        </w:rPr>
        <w:t>„Guidance for Member States on Performance, review and reserve“)</w:t>
      </w:r>
      <w:r w:rsidR="00F84690" w:rsidRPr="00DD6590">
        <w:rPr>
          <w:rFonts w:ascii="Verdana" w:hAnsi="Verdana"/>
        </w:rPr>
        <w:t xml:space="preserve"> a metodickým pokynom CKO č. 2 </w:t>
      </w:r>
      <w:r w:rsidR="00E41D21" w:rsidRPr="00DD6590">
        <w:rPr>
          <w:rFonts w:ascii="Verdana" w:hAnsi="Verdana"/>
        </w:rPr>
        <w:t>sa zámery považujú za splnené, ak všetky ukazovatele vybrané pre výkonnostný rámec dosiahli aspoň 85 % hodnoty zámeru v termíne do 31. 12. 2023.</w:t>
      </w:r>
    </w:p>
    <w:p w14:paraId="6591A968" w14:textId="77777777" w:rsidR="00E41D21" w:rsidRPr="00DD6590" w:rsidRDefault="00E41D21" w:rsidP="00AA6542">
      <w:pPr>
        <w:rPr>
          <w:rFonts w:ascii="Verdana" w:hAnsi="Verdana"/>
        </w:rPr>
      </w:pPr>
      <w:r w:rsidRPr="00DD6590">
        <w:rPr>
          <w:rFonts w:ascii="Verdana" w:hAnsi="Verdana"/>
        </w:rPr>
        <w:t>Za závažné nedostatky v plnení výkonnostného rámca na úrovni prioritnej osi programu, pri ktorých zo strany EK hrozia finančné opravy, sa považuje:</w:t>
      </w:r>
    </w:p>
    <w:p w14:paraId="201CE2B6" w14:textId="77777777" w:rsidR="00E41D21" w:rsidRPr="00DD6590" w:rsidRDefault="00E41D21" w:rsidP="003E761D">
      <w:pPr>
        <w:pStyle w:val="ListParagraph"/>
        <w:numPr>
          <w:ilvl w:val="0"/>
          <w:numId w:val="81"/>
        </w:numPr>
        <w:ind w:left="450" w:hanging="450"/>
        <w:rPr>
          <w:szCs w:val="18"/>
        </w:rPr>
      </w:pPr>
      <w:r w:rsidRPr="00DD6590">
        <w:rPr>
          <w:szCs w:val="18"/>
        </w:rPr>
        <w:t>v prípade prioritnej osi programu, ktorej výkonnostný rámec tvoria najviac dva ukazovatele, ak ktorýkoľvek ukazovateľ dosiahol menej ako 65 % hodnoty zámeru v termíne do 31. 12. 2023</w:t>
      </w:r>
      <w:r w:rsidR="003B76EC">
        <w:rPr>
          <w:szCs w:val="18"/>
        </w:rPr>
        <w:t>,</w:t>
      </w:r>
    </w:p>
    <w:p w14:paraId="0F321120" w14:textId="77777777" w:rsidR="00E41D21" w:rsidRPr="00DD6590" w:rsidRDefault="00E41D21" w:rsidP="003E761D">
      <w:pPr>
        <w:pStyle w:val="ListParagraph"/>
        <w:numPr>
          <w:ilvl w:val="0"/>
          <w:numId w:val="81"/>
        </w:numPr>
        <w:ind w:left="450" w:hanging="450"/>
        <w:rPr>
          <w:szCs w:val="18"/>
        </w:rPr>
      </w:pPr>
      <w:r w:rsidRPr="00DD6590">
        <w:rPr>
          <w:szCs w:val="18"/>
        </w:rPr>
        <w:t>v prípade prioritnej osi programu, ktorej výkonnostný rámec tvoria viac ako dva ukazovatele, ak aspoň dva ukazovatele dosiahli menej ako 65 % hodnoty zámeru v termíne do 31. 12. 2023.</w:t>
      </w:r>
    </w:p>
    <w:p w14:paraId="0EC7A429" w14:textId="77777777" w:rsidR="00055C2E" w:rsidRPr="00DD6590" w:rsidRDefault="00055C2E" w:rsidP="00451C51">
      <w:pPr>
        <w:rPr>
          <w:rFonts w:ascii="Verdana" w:hAnsi="Verdana"/>
          <w:szCs w:val="18"/>
        </w:rPr>
      </w:pPr>
      <w:r w:rsidRPr="00DD6590">
        <w:rPr>
          <w:rFonts w:ascii="Verdana" w:hAnsi="Verdana"/>
          <w:szCs w:val="18"/>
        </w:rPr>
        <w:t xml:space="preserve">K finančným opravám však pristúpi EK v prípade, ak na základe preskúmania záverečnej správy zistí závažné nedostatky plnenia zámerov a podmienkou je </w:t>
      </w:r>
      <w:r w:rsidR="003B76EC">
        <w:rPr>
          <w:rFonts w:ascii="Verdana" w:hAnsi="Verdana"/>
          <w:szCs w:val="18"/>
        </w:rPr>
        <w:t>tiež</w:t>
      </w:r>
      <w:r w:rsidRPr="00DD6590">
        <w:rPr>
          <w:rFonts w:ascii="Verdana" w:hAnsi="Verdana"/>
          <w:szCs w:val="18"/>
        </w:rPr>
        <w:t>, že tieto nedostatky sa vyskytli  z dôvodu jasne identifikovaných nedostatkov vo vykonávaní, ktoré EK vopred oznámila podľa článku 50, ods. 8 všeobecného nariadenia po dôkladných konzultáciách s príslušným RO.</w:t>
      </w:r>
      <w:r w:rsidRPr="00DD6590">
        <w:rPr>
          <w:rFonts w:ascii="Verdana" w:hAnsi="Verdana"/>
        </w:rPr>
        <w:t xml:space="preserve"> </w:t>
      </w:r>
      <w:r w:rsidRPr="00DD6590">
        <w:rPr>
          <w:rFonts w:ascii="Verdana" w:hAnsi="Verdana"/>
          <w:szCs w:val="18"/>
        </w:rPr>
        <w:t>Ak RO neprijal nápravné opatrenie potrebné na odstránenie týchto nedostatkov, môže EK uplatniť finančné opravy týkajúce sa dotknutých prioritných osí programu.</w:t>
      </w:r>
    </w:p>
    <w:p w14:paraId="1BF180D4" w14:textId="77777777" w:rsidR="00451C51" w:rsidRPr="00DD6590" w:rsidRDefault="00055C2E" w:rsidP="00451C51">
      <w:pPr>
        <w:rPr>
          <w:rFonts w:ascii="Verdana" w:hAnsi="Verdana"/>
          <w:szCs w:val="18"/>
        </w:rPr>
      </w:pPr>
      <w:r w:rsidRPr="00DD6590">
        <w:rPr>
          <w:rFonts w:ascii="Verdana" w:hAnsi="Verdana"/>
          <w:szCs w:val="18"/>
        </w:rPr>
        <w:t xml:space="preserve">Pri uplatňovaní finančných opráv berie EK do úvahy úroveň absorpcie a vonkajšie faktory, ktoré prispeli k neúspechu, pričom náležite zohľadní zásadu proporcionality. Finančné opravy sa neuplatňujú, ak </w:t>
      </w:r>
      <w:r w:rsidRPr="00DD6590">
        <w:rPr>
          <w:rFonts w:ascii="Verdana" w:hAnsi="Verdana"/>
          <w:szCs w:val="18"/>
        </w:rPr>
        <w:lastRenderedPageBreak/>
        <w:t>nesplnenie zámerov vyplýva z pôsobenia sociálno-ekonomických alebo environmentálnych faktorov, závažných zmien v hospodárskych alebo environmentálnych podmienkach v Slovenskej republike, alebo z dôvodov vyššej moci, ktoré závažným spôsobom ovplyvňujú realizáciu príslušných prioritných osí programu. Úrovne finančných opráv sú</w:t>
      </w:r>
      <w:r w:rsidR="00DC4A60" w:rsidRPr="00DD6590">
        <w:rPr>
          <w:rFonts w:ascii="Verdana" w:hAnsi="Verdana"/>
          <w:szCs w:val="18"/>
        </w:rPr>
        <w:t xml:space="preserve"> nasledovné:</w:t>
      </w:r>
    </w:p>
    <w:tbl>
      <w:tblPr>
        <w:tblStyle w:val="Svetlzoznamzvraznenie11"/>
        <w:tblW w:w="0" w:type="auto"/>
        <w:tblLook w:val="04A0" w:firstRow="1" w:lastRow="0" w:firstColumn="1" w:lastColumn="0" w:noHBand="0" w:noVBand="1"/>
      </w:tblPr>
      <w:tblGrid>
        <w:gridCol w:w="4670"/>
        <w:gridCol w:w="4667"/>
      </w:tblGrid>
      <w:tr w:rsidR="009F1507" w:rsidRPr="00DD6590" w14:paraId="493D18D0" w14:textId="77777777" w:rsidTr="00DC4A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right w:val="single" w:sz="4" w:space="0" w:color="86BC25" w:themeColor="accent1"/>
            </w:tcBorders>
          </w:tcPr>
          <w:p w14:paraId="1AE806E1" w14:textId="77777777" w:rsidR="00DC4A60" w:rsidRPr="00DD6590" w:rsidRDefault="00DC4A60" w:rsidP="004B34E8">
            <w:pPr>
              <w:jc w:val="center"/>
              <w:rPr>
                <w:rFonts w:ascii="Verdana" w:hAnsi="Verdana"/>
                <w:color w:val="auto"/>
                <w:szCs w:val="18"/>
              </w:rPr>
            </w:pPr>
            <w:r w:rsidRPr="00DD6590">
              <w:rPr>
                <w:rFonts w:ascii="Verdana" w:hAnsi="Verdana"/>
                <w:color w:val="auto"/>
                <w:szCs w:val="18"/>
              </w:rPr>
              <w:t>Výška koeficientu úspešnosti/čerpania</w:t>
            </w:r>
          </w:p>
        </w:tc>
        <w:tc>
          <w:tcPr>
            <w:tcW w:w="4679" w:type="dxa"/>
            <w:tcBorders>
              <w:left w:val="single" w:sz="4" w:space="0" w:color="86BC25" w:themeColor="accent1"/>
            </w:tcBorders>
          </w:tcPr>
          <w:p w14:paraId="525CB29D" w14:textId="77777777" w:rsidR="00DC4A60" w:rsidRPr="00DD6590" w:rsidRDefault="00DC4A60" w:rsidP="00DC4A60">
            <w:pPr>
              <w:jc w:val="center"/>
              <w:cnfStyle w:val="100000000000" w:firstRow="1" w:lastRow="0" w:firstColumn="0" w:lastColumn="0" w:oddVBand="0" w:evenVBand="0" w:oddHBand="0" w:evenHBand="0" w:firstRowFirstColumn="0" w:firstRowLastColumn="0" w:lastRowFirstColumn="0" w:lastRowLastColumn="0"/>
              <w:rPr>
                <w:rFonts w:ascii="Verdana" w:hAnsi="Verdana"/>
                <w:color w:val="auto"/>
                <w:szCs w:val="18"/>
              </w:rPr>
            </w:pPr>
            <w:r w:rsidRPr="00DD6590">
              <w:rPr>
                <w:rFonts w:ascii="Verdana" w:hAnsi="Verdana"/>
                <w:color w:val="auto"/>
                <w:szCs w:val="18"/>
              </w:rPr>
              <w:t>Finančná oprava</w:t>
            </w:r>
          </w:p>
        </w:tc>
      </w:tr>
      <w:tr w:rsidR="009F1507" w:rsidRPr="00DD6590" w14:paraId="50EFB7B0" w14:textId="77777777" w:rsidTr="00DC4A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right w:val="single" w:sz="4" w:space="0" w:color="86BC25" w:themeColor="accent1"/>
            </w:tcBorders>
          </w:tcPr>
          <w:p w14:paraId="47EDACFE" w14:textId="77777777" w:rsidR="00DC4A60" w:rsidRPr="00DD6590" w:rsidRDefault="00DC4A60" w:rsidP="00DC4A60">
            <w:pPr>
              <w:jc w:val="center"/>
              <w:rPr>
                <w:rFonts w:ascii="Verdana" w:hAnsi="Verdana"/>
                <w:b w:val="0"/>
                <w:szCs w:val="18"/>
              </w:rPr>
            </w:pPr>
            <w:r w:rsidRPr="00DD6590">
              <w:rPr>
                <w:rFonts w:ascii="Verdana" w:hAnsi="Verdana"/>
                <w:b w:val="0"/>
                <w:szCs w:val="18"/>
              </w:rPr>
              <w:t>65</w:t>
            </w:r>
            <w:r w:rsidR="004B34E8">
              <w:rPr>
                <w:rFonts w:ascii="Verdana" w:hAnsi="Verdana"/>
                <w:b w:val="0"/>
                <w:szCs w:val="18"/>
              </w:rPr>
              <w:t xml:space="preserve"> </w:t>
            </w:r>
            <w:r w:rsidRPr="00DD6590">
              <w:rPr>
                <w:rFonts w:ascii="Verdana" w:hAnsi="Verdana"/>
                <w:b w:val="0"/>
                <w:szCs w:val="18"/>
              </w:rPr>
              <w:t>% ≤ x</w:t>
            </w:r>
          </w:p>
        </w:tc>
        <w:tc>
          <w:tcPr>
            <w:tcW w:w="4679" w:type="dxa"/>
            <w:tcBorders>
              <w:left w:val="single" w:sz="4" w:space="0" w:color="86BC25" w:themeColor="accent1"/>
            </w:tcBorders>
          </w:tcPr>
          <w:p w14:paraId="0412666B" w14:textId="77777777" w:rsidR="00DC4A60" w:rsidRPr="00DD6590" w:rsidRDefault="00DC4A60" w:rsidP="00DC4A60">
            <w:pPr>
              <w:jc w:val="center"/>
              <w:cnfStyle w:val="000000100000" w:firstRow="0" w:lastRow="0" w:firstColumn="0" w:lastColumn="0" w:oddVBand="0" w:evenVBand="0" w:oddHBand="1" w:evenHBand="0" w:firstRowFirstColumn="0" w:firstRowLastColumn="0" w:lastRowFirstColumn="0" w:lastRowLastColumn="0"/>
              <w:rPr>
                <w:rFonts w:ascii="Verdana" w:hAnsi="Verdana"/>
                <w:szCs w:val="18"/>
              </w:rPr>
            </w:pPr>
            <w:r w:rsidRPr="00DD6590">
              <w:rPr>
                <w:rFonts w:ascii="Verdana" w:hAnsi="Verdana"/>
                <w:szCs w:val="18"/>
              </w:rPr>
              <w:t>0</w:t>
            </w:r>
          </w:p>
        </w:tc>
      </w:tr>
      <w:tr w:rsidR="009F1507" w:rsidRPr="00DD6590" w14:paraId="7F12B4D9" w14:textId="77777777" w:rsidTr="00DC4A60">
        <w:tc>
          <w:tcPr>
            <w:cnfStyle w:val="001000000000" w:firstRow="0" w:lastRow="0" w:firstColumn="1" w:lastColumn="0" w:oddVBand="0" w:evenVBand="0" w:oddHBand="0" w:evenHBand="0" w:firstRowFirstColumn="0" w:firstRowLastColumn="0" w:lastRowFirstColumn="0" w:lastRowLastColumn="0"/>
            <w:tcW w:w="4678" w:type="dxa"/>
            <w:tcBorders>
              <w:right w:val="single" w:sz="4" w:space="0" w:color="86BC25" w:themeColor="accent1"/>
            </w:tcBorders>
          </w:tcPr>
          <w:p w14:paraId="1766CA35" w14:textId="77777777" w:rsidR="00DC4A60" w:rsidRPr="00DD6590" w:rsidRDefault="00DC4A60" w:rsidP="00DC4A60">
            <w:pPr>
              <w:jc w:val="center"/>
              <w:rPr>
                <w:rFonts w:ascii="Verdana" w:hAnsi="Verdana"/>
                <w:b w:val="0"/>
                <w:szCs w:val="18"/>
              </w:rPr>
            </w:pPr>
            <w:r w:rsidRPr="00DD6590">
              <w:rPr>
                <w:rFonts w:ascii="Verdana" w:hAnsi="Verdana"/>
                <w:b w:val="0"/>
                <w:szCs w:val="18"/>
              </w:rPr>
              <w:t>60</w:t>
            </w:r>
            <w:r w:rsidR="004B34E8">
              <w:rPr>
                <w:rFonts w:ascii="Verdana" w:hAnsi="Verdana"/>
                <w:b w:val="0"/>
                <w:szCs w:val="18"/>
              </w:rPr>
              <w:t xml:space="preserve"> </w:t>
            </w:r>
            <w:r w:rsidRPr="00DD6590">
              <w:rPr>
                <w:rFonts w:ascii="Verdana" w:hAnsi="Verdana"/>
                <w:b w:val="0"/>
                <w:szCs w:val="18"/>
              </w:rPr>
              <w:t>% ≤ x &lt; 65</w:t>
            </w:r>
            <w:r w:rsidR="004B34E8">
              <w:rPr>
                <w:rFonts w:ascii="Verdana" w:hAnsi="Verdana"/>
                <w:b w:val="0"/>
                <w:szCs w:val="18"/>
              </w:rPr>
              <w:t xml:space="preserve"> </w:t>
            </w:r>
            <w:r w:rsidRPr="00DD6590">
              <w:rPr>
                <w:rFonts w:ascii="Verdana" w:hAnsi="Verdana"/>
                <w:b w:val="0"/>
                <w:szCs w:val="18"/>
              </w:rPr>
              <w:t>%</w:t>
            </w:r>
          </w:p>
        </w:tc>
        <w:tc>
          <w:tcPr>
            <w:tcW w:w="4679" w:type="dxa"/>
            <w:tcBorders>
              <w:left w:val="single" w:sz="4" w:space="0" w:color="86BC25" w:themeColor="accent1"/>
            </w:tcBorders>
          </w:tcPr>
          <w:p w14:paraId="5D6822FA" w14:textId="77777777" w:rsidR="00DC4A60" w:rsidRPr="00DD6590" w:rsidRDefault="00DC4A60" w:rsidP="00DC4A60">
            <w:pPr>
              <w:jc w:val="center"/>
              <w:cnfStyle w:val="000000000000" w:firstRow="0" w:lastRow="0" w:firstColumn="0" w:lastColumn="0" w:oddVBand="0" w:evenVBand="0" w:oddHBand="0" w:evenHBand="0" w:firstRowFirstColumn="0" w:firstRowLastColumn="0" w:lastRowFirstColumn="0" w:lastRowLastColumn="0"/>
              <w:rPr>
                <w:rFonts w:ascii="Verdana" w:hAnsi="Verdana"/>
                <w:szCs w:val="18"/>
              </w:rPr>
            </w:pPr>
            <w:r w:rsidRPr="00DD6590">
              <w:rPr>
                <w:rFonts w:ascii="Verdana" w:hAnsi="Verdana"/>
                <w:szCs w:val="18"/>
              </w:rPr>
              <w:t>5</w:t>
            </w:r>
            <w:r w:rsidR="004B34E8">
              <w:rPr>
                <w:rFonts w:ascii="Verdana" w:hAnsi="Verdana"/>
                <w:szCs w:val="18"/>
              </w:rPr>
              <w:t xml:space="preserve"> </w:t>
            </w:r>
            <w:r w:rsidRPr="00DD6590">
              <w:rPr>
                <w:rFonts w:ascii="Verdana" w:hAnsi="Verdana"/>
                <w:szCs w:val="18"/>
              </w:rPr>
              <w:t>%</w:t>
            </w:r>
          </w:p>
        </w:tc>
      </w:tr>
      <w:tr w:rsidR="009F1507" w:rsidRPr="00DD6590" w14:paraId="3CB9F438" w14:textId="77777777" w:rsidTr="00DC4A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right w:val="single" w:sz="4" w:space="0" w:color="86BC25" w:themeColor="accent1"/>
            </w:tcBorders>
          </w:tcPr>
          <w:p w14:paraId="0BB0D57B" w14:textId="77777777" w:rsidR="00DC4A60" w:rsidRPr="00DD6590" w:rsidRDefault="00DC4A60" w:rsidP="00DC4A60">
            <w:pPr>
              <w:jc w:val="center"/>
              <w:rPr>
                <w:rFonts w:ascii="Verdana" w:hAnsi="Verdana"/>
                <w:b w:val="0"/>
                <w:szCs w:val="18"/>
              </w:rPr>
            </w:pPr>
            <w:r w:rsidRPr="00DD6590">
              <w:rPr>
                <w:rFonts w:ascii="Verdana" w:hAnsi="Verdana"/>
                <w:b w:val="0"/>
                <w:szCs w:val="18"/>
              </w:rPr>
              <w:t>50</w:t>
            </w:r>
            <w:r w:rsidR="004B34E8">
              <w:rPr>
                <w:rFonts w:ascii="Verdana" w:hAnsi="Verdana"/>
                <w:b w:val="0"/>
                <w:szCs w:val="18"/>
              </w:rPr>
              <w:t xml:space="preserve"> </w:t>
            </w:r>
            <w:r w:rsidRPr="00DD6590">
              <w:rPr>
                <w:rFonts w:ascii="Verdana" w:hAnsi="Verdana"/>
                <w:b w:val="0"/>
                <w:szCs w:val="18"/>
              </w:rPr>
              <w:t>% ≤ x &lt; 60</w:t>
            </w:r>
            <w:r w:rsidR="004B34E8">
              <w:rPr>
                <w:rFonts w:ascii="Verdana" w:hAnsi="Verdana"/>
                <w:b w:val="0"/>
                <w:szCs w:val="18"/>
              </w:rPr>
              <w:t xml:space="preserve"> </w:t>
            </w:r>
            <w:r w:rsidRPr="00DD6590">
              <w:rPr>
                <w:rFonts w:ascii="Verdana" w:hAnsi="Verdana"/>
                <w:b w:val="0"/>
                <w:szCs w:val="18"/>
              </w:rPr>
              <w:t>%</w:t>
            </w:r>
          </w:p>
        </w:tc>
        <w:tc>
          <w:tcPr>
            <w:tcW w:w="4679" w:type="dxa"/>
            <w:tcBorders>
              <w:left w:val="single" w:sz="4" w:space="0" w:color="86BC25" w:themeColor="accent1"/>
            </w:tcBorders>
          </w:tcPr>
          <w:p w14:paraId="19FA91D9" w14:textId="77777777" w:rsidR="00DC4A60" w:rsidRPr="00DD6590" w:rsidRDefault="00DC4A60" w:rsidP="00DC4A60">
            <w:pPr>
              <w:jc w:val="center"/>
              <w:cnfStyle w:val="000000100000" w:firstRow="0" w:lastRow="0" w:firstColumn="0" w:lastColumn="0" w:oddVBand="0" w:evenVBand="0" w:oddHBand="1" w:evenHBand="0" w:firstRowFirstColumn="0" w:firstRowLastColumn="0" w:lastRowFirstColumn="0" w:lastRowLastColumn="0"/>
              <w:rPr>
                <w:rFonts w:ascii="Verdana" w:hAnsi="Verdana"/>
                <w:szCs w:val="18"/>
              </w:rPr>
            </w:pPr>
            <w:r w:rsidRPr="00DD6590">
              <w:rPr>
                <w:rFonts w:ascii="Verdana" w:hAnsi="Verdana"/>
                <w:szCs w:val="18"/>
              </w:rPr>
              <w:t>10</w:t>
            </w:r>
            <w:r w:rsidR="004B34E8">
              <w:rPr>
                <w:rFonts w:ascii="Verdana" w:hAnsi="Verdana"/>
                <w:szCs w:val="18"/>
              </w:rPr>
              <w:t xml:space="preserve"> </w:t>
            </w:r>
            <w:r w:rsidRPr="00DD6590">
              <w:rPr>
                <w:rFonts w:ascii="Verdana" w:hAnsi="Verdana"/>
                <w:szCs w:val="18"/>
              </w:rPr>
              <w:t>%</w:t>
            </w:r>
          </w:p>
        </w:tc>
      </w:tr>
      <w:tr w:rsidR="009F1507" w:rsidRPr="00DD6590" w14:paraId="0563C67F" w14:textId="77777777" w:rsidTr="00DC4A60">
        <w:tc>
          <w:tcPr>
            <w:cnfStyle w:val="001000000000" w:firstRow="0" w:lastRow="0" w:firstColumn="1" w:lastColumn="0" w:oddVBand="0" w:evenVBand="0" w:oddHBand="0" w:evenHBand="0" w:firstRowFirstColumn="0" w:firstRowLastColumn="0" w:lastRowFirstColumn="0" w:lastRowLastColumn="0"/>
            <w:tcW w:w="4678" w:type="dxa"/>
            <w:tcBorders>
              <w:right w:val="single" w:sz="4" w:space="0" w:color="86BC25" w:themeColor="accent1"/>
            </w:tcBorders>
          </w:tcPr>
          <w:p w14:paraId="44DADFA3" w14:textId="77777777" w:rsidR="00DC4A60" w:rsidRPr="00DD6590" w:rsidRDefault="00DC4A60" w:rsidP="00DC4A60">
            <w:pPr>
              <w:jc w:val="center"/>
              <w:rPr>
                <w:rFonts w:ascii="Verdana" w:hAnsi="Verdana"/>
                <w:b w:val="0"/>
                <w:szCs w:val="18"/>
              </w:rPr>
            </w:pPr>
            <w:r w:rsidRPr="00DD6590">
              <w:rPr>
                <w:rFonts w:ascii="Verdana" w:hAnsi="Verdana"/>
                <w:b w:val="0"/>
                <w:szCs w:val="18"/>
              </w:rPr>
              <w:t>x &lt; 50</w:t>
            </w:r>
            <w:r w:rsidR="004B34E8">
              <w:rPr>
                <w:rFonts w:ascii="Verdana" w:hAnsi="Verdana"/>
                <w:b w:val="0"/>
                <w:szCs w:val="18"/>
              </w:rPr>
              <w:t xml:space="preserve"> </w:t>
            </w:r>
            <w:r w:rsidRPr="00DD6590">
              <w:rPr>
                <w:rFonts w:ascii="Verdana" w:hAnsi="Verdana"/>
                <w:b w:val="0"/>
                <w:szCs w:val="18"/>
              </w:rPr>
              <w:t>%</w:t>
            </w:r>
          </w:p>
        </w:tc>
        <w:tc>
          <w:tcPr>
            <w:tcW w:w="4679" w:type="dxa"/>
            <w:tcBorders>
              <w:left w:val="single" w:sz="4" w:space="0" w:color="86BC25" w:themeColor="accent1"/>
            </w:tcBorders>
          </w:tcPr>
          <w:p w14:paraId="1BC23B25" w14:textId="77777777" w:rsidR="00DC4A60" w:rsidRPr="00DD6590" w:rsidRDefault="00DC4A60" w:rsidP="00DC4A60">
            <w:pPr>
              <w:jc w:val="center"/>
              <w:cnfStyle w:val="000000000000" w:firstRow="0" w:lastRow="0" w:firstColumn="0" w:lastColumn="0" w:oddVBand="0" w:evenVBand="0" w:oddHBand="0" w:evenHBand="0" w:firstRowFirstColumn="0" w:firstRowLastColumn="0" w:lastRowFirstColumn="0" w:lastRowLastColumn="0"/>
              <w:rPr>
                <w:rFonts w:ascii="Verdana" w:hAnsi="Verdana"/>
                <w:szCs w:val="18"/>
              </w:rPr>
            </w:pPr>
            <w:r w:rsidRPr="00DD6590">
              <w:rPr>
                <w:rFonts w:ascii="Verdana" w:hAnsi="Verdana"/>
                <w:szCs w:val="18"/>
              </w:rPr>
              <w:t>25</w:t>
            </w:r>
            <w:r w:rsidR="004B34E8">
              <w:rPr>
                <w:rFonts w:ascii="Verdana" w:hAnsi="Verdana"/>
                <w:szCs w:val="18"/>
              </w:rPr>
              <w:t xml:space="preserve"> </w:t>
            </w:r>
            <w:r w:rsidRPr="00DD6590">
              <w:rPr>
                <w:rFonts w:ascii="Verdana" w:hAnsi="Verdana"/>
                <w:szCs w:val="18"/>
              </w:rPr>
              <w:t>%</w:t>
            </w:r>
          </w:p>
        </w:tc>
      </w:tr>
    </w:tbl>
    <w:p w14:paraId="5FC2B79F" w14:textId="77777777" w:rsidR="00DC4A60" w:rsidRPr="00DD6590" w:rsidRDefault="00DC4A60" w:rsidP="00451C51">
      <w:pPr>
        <w:rPr>
          <w:rFonts w:ascii="Verdana" w:hAnsi="Verdana"/>
          <w:szCs w:val="18"/>
        </w:rPr>
      </w:pPr>
      <w:r w:rsidRPr="00DD6590">
        <w:rPr>
          <w:rFonts w:ascii="Verdana" w:hAnsi="Verdana"/>
          <w:szCs w:val="18"/>
        </w:rPr>
        <w:t xml:space="preserve">Napĺňanie výkonnostného rámca </w:t>
      </w:r>
      <w:r w:rsidR="00F024A8" w:rsidRPr="00DD6590">
        <w:rPr>
          <w:rFonts w:ascii="Verdana" w:hAnsi="Verdana"/>
          <w:szCs w:val="18"/>
        </w:rPr>
        <w:t xml:space="preserve">jednotlivých prioritných osí </w:t>
      </w:r>
      <w:r w:rsidRPr="00DD6590">
        <w:rPr>
          <w:rFonts w:ascii="Verdana" w:hAnsi="Verdana"/>
          <w:szCs w:val="18"/>
        </w:rPr>
        <w:t>v rámci OPII</w:t>
      </w:r>
      <w:r w:rsidR="004B34E8">
        <w:rPr>
          <w:rFonts w:ascii="Verdana" w:hAnsi="Verdana"/>
          <w:szCs w:val="18"/>
        </w:rPr>
        <w:t>,</w:t>
      </w:r>
      <w:r w:rsidR="00F024A8" w:rsidRPr="00DD6590">
        <w:rPr>
          <w:rFonts w:ascii="Verdana" w:hAnsi="Verdana"/>
          <w:szCs w:val="18"/>
        </w:rPr>
        <w:t xml:space="preserve"> ako aj zhodnotenie rizík prípadného nenaplnenia finančných a výstupových ukazovateľov</w:t>
      </w:r>
      <w:r w:rsidRPr="00DD6590">
        <w:rPr>
          <w:rFonts w:ascii="Verdana" w:hAnsi="Verdana"/>
          <w:szCs w:val="18"/>
        </w:rPr>
        <w:t xml:space="preserve"> je znázornené v </w:t>
      </w:r>
      <w:r w:rsidR="008476FF">
        <w:rPr>
          <w:rFonts w:ascii="Verdana" w:hAnsi="Verdana"/>
          <w:szCs w:val="18"/>
        </w:rPr>
        <w:t>nasledujúcej</w:t>
      </w:r>
      <w:r w:rsidR="008476FF" w:rsidRPr="00DD6590">
        <w:rPr>
          <w:rFonts w:ascii="Verdana" w:hAnsi="Verdana"/>
          <w:szCs w:val="18"/>
        </w:rPr>
        <w:t xml:space="preserve"> </w:t>
      </w:r>
      <w:r w:rsidRPr="00DD6590">
        <w:rPr>
          <w:rFonts w:ascii="Verdana" w:hAnsi="Verdana"/>
          <w:szCs w:val="18"/>
        </w:rPr>
        <w:t>tabuľke.</w:t>
      </w:r>
    </w:p>
    <w:p w14:paraId="4C0B4586" w14:textId="77777777" w:rsidR="00FA40EA" w:rsidRPr="00DD6590" w:rsidRDefault="00FA40EA" w:rsidP="00745DF4">
      <w:pPr>
        <w:spacing w:before="60" w:after="0" w:line="240" w:lineRule="auto"/>
        <w:rPr>
          <w:b/>
          <w:bCs/>
          <w:color w:val="FF0000"/>
          <w:sz w:val="16"/>
          <w:szCs w:val="16"/>
        </w:rPr>
        <w:sectPr w:rsidR="00FA40EA" w:rsidRPr="00DD6590" w:rsidSect="00847AD7">
          <w:pgSz w:w="11906" w:h="16838" w:code="9"/>
          <w:pgMar w:top="1987" w:right="1138" w:bottom="1138" w:left="1411" w:header="677" w:footer="562" w:gutter="0"/>
          <w:cols w:space="9"/>
          <w:titlePg/>
          <w:docGrid w:linePitch="360"/>
        </w:sectPr>
      </w:pPr>
    </w:p>
    <w:p w14:paraId="6776FBB2" w14:textId="74F82B24" w:rsidR="00294819" w:rsidRPr="00DD6590" w:rsidRDefault="00294819" w:rsidP="009A5B1A">
      <w:pPr>
        <w:pStyle w:val="Caption"/>
      </w:pPr>
      <w:bookmarkStart w:id="55" w:name="_Ref7084400"/>
      <w:bookmarkStart w:id="56" w:name="_Ref7084393"/>
      <w:bookmarkStart w:id="57" w:name="_Toc9855883"/>
      <w:r w:rsidRPr="00DD6590">
        <w:lastRenderedPageBreak/>
        <w:t xml:space="preserve">Tabuľka </w:t>
      </w:r>
      <w:r w:rsidRPr="00DD6590">
        <w:fldChar w:fldCharType="begin"/>
      </w:r>
      <w:r w:rsidRPr="00DD6590">
        <w:instrText xml:space="preserve"> SEQ Tabuľka \* ARABIC </w:instrText>
      </w:r>
      <w:r w:rsidRPr="00DD6590">
        <w:fldChar w:fldCharType="separate"/>
      </w:r>
      <w:r w:rsidR="00DC3C97">
        <w:rPr>
          <w:noProof/>
        </w:rPr>
        <w:t>6</w:t>
      </w:r>
      <w:r w:rsidRPr="00DD6590">
        <w:fldChar w:fldCharType="end"/>
      </w:r>
      <w:bookmarkEnd w:id="55"/>
      <w:r w:rsidRPr="00DD6590">
        <w:t xml:space="preserve"> Vyhodnotenie napĺňania výkonnostného rámca jednotlivých PO</w:t>
      </w:r>
      <w:bookmarkEnd w:id="56"/>
      <w:bookmarkEnd w:id="57"/>
    </w:p>
    <w:tbl>
      <w:tblPr>
        <w:tblStyle w:val="ListTable3-Accent1"/>
        <w:tblW w:w="0" w:type="auto"/>
        <w:tblLayout w:type="fixed"/>
        <w:tblLook w:val="04A0" w:firstRow="1" w:lastRow="0" w:firstColumn="1" w:lastColumn="0" w:noHBand="0" w:noVBand="1"/>
      </w:tblPr>
      <w:tblGrid>
        <w:gridCol w:w="1006"/>
        <w:gridCol w:w="1469"/>
        <w:gridCol w:w="1822"/>
        <w:gridCol w:w="1010"/>
        <w:gridCol w:w="855"/>
        <w:gridCol w:w="1148"/>
        <w:gridCol w:w="1107"/>
        <w:gridCol w:w="1603"/>
        <w:gridCol w:w="1945"/>
        <w:gridCol w:w="1738"/>
      </w:tblGrid>
      <w:tr w:rsidR="00EC0331" w:rsidRPr="00DD6590" w14:paraId="622C8AA7" w14:textId="77777777" w:rsidTr="008476F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06" w:type="dxa"/>
            <w:tcBorders>
              <w:right w:val="single" w:sz="4" w:space="0" w:color="86BC25" w:themeColor="accent1"/>
            </w:tcBorders>
            <w:vAlign w:val="center"/>
          </w:tcPr>
          <w:p w14:paraId="5AA2C995" w14:textId="77777777" w:rsidR="00EC0331" w:rsidRPr="00DD6590" w:rsidRDefault="00EC0331" w:rsidP="00FA40EA">
            <w:pPr>
              <w:spacing w:before="60" w:after="0" w:line="240" w:lineRule="auto"/>
              <w:rPr>
                <w:rFonts w:asciiTheme="minorHAnsi" w:hAnsiTheme="minorHAnsi"/>
                <w:sz w:val="16"/>
                <w:szCs w:val="16"/>
              </w:rPr>
            </w:pPr>
            <w:r w:rsidRPr="00DD6590">
              <w:rPr>
                <w:rFonts w:asciiTheme="minorHAnsi" w:hAnsiTheme="minorHAnsi"/>
                <w:sz w:val="16"/>
                <w:szCs w:val="16"/>
              </w:rPr>
              <w:t>Prioritná os</w:t>
            </w:r>
          </w:p>
        </w:tc>
        <w:tc>
          <w:tcPr>
            <w:tcW w:w="1469" w:type="dxa"/>
            <w:tcBorders>
              <w:right w:val="single" w:sz="4" w:space="0" w:color="86BC25" w:themeColor="accent1"/>
            </w:tcBorders>
            <w:vAlign w:val="center"/>
          </w:tcPr>
          <w:p w14:paraId="321C44E1" w14:textId="77777777" w:rsidR="00EC0331" w:rsidRPr="00DD6590" w:rsidRDefault="00EC0331" w:rsidP="00FA40EA">
            <w:pPr>
              <w:spacing w:before="60"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Typ ukazovateľa</w:t>
            </w:r>
          </w:p>
        </w:tc>
        <w:tc>
          <w:tcPr>
            <w:tcW w:w="1822" w:type="dxa"/>
            <w:tcBorders>
              <w:left w:val="single" w:sz="4" w:space="0" w:color="86BC25" w:themeColor="accent1"/>
              <w:right w:val="single" w:sz="4" w:space="0" w:color="86BC25" w:themeColor="accent1"/>
            </w:tcBorders>
            <w:vAlign w:val="center"/>
          </w:tcPr>
          <w:p w14:paraId="018B26DC" w14:textId="77777777" w:rsidR="00EC0331" w:rsidRPr="00DD6590" w:rsidRDefault="00EC0331" w:rsidP="00FA40EA">
            <w:pPr>
              <w:spacing w:before="60"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Definícia ukazovateľa alebo implementačného kroku</w:t>
            </w:r>
          </w:p>
        </w:tc>
        <w:tc>
          <w:tcPr>
            <w:tcW w:w="1010" w:type="dxa"/>
            <w:tcBorders>
              <w:left w:val="single" w:sz="4" w:space="0" w:color="86BC25" w:themeColor="accent1"/>
              <w:right w:val="single" w:sz="4" w:space="0" w:color="86BC25" w:themeColor="accent1"/>
            </w:tcBorders>
            <w:vAlign w:val="center"/>
          </w:tcPr>
          <w:p w14:paraId="525E8576" w14:textId="77777777" w:rsidR="00EC0331" w:rsidRPr="00DD6590" w:rsidRDefault="00EC0331" w:rsidP="00FA40EA">
            <w:pPr>
              <w:spacing w:before="60"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Merná jednotka</w:t>
            </w:r>
          </w:p>
        </w:tc>
        <w:tc>
          <w:tcPr>
            <w:tcW w:w="855" w:type="dxa"/>
            <w:tcBorders>
              <w:left w:val="single" w:sz="4" w:space="0" w:color="86BC25" w:themeColor="accent1"/>
              <w:right w:val="single" w:sz="4" w:space="0" w:color="86BC25" w:themeColor="accent1"/>
            </w:tcBorders>
            <w:vAlign w:val="center"/>
          </w:tcPr>
          <w:p w14:paraId="0F32DAE9" w14:textId="77777777" w:rsidR="00EC0331" w:rsidRPr="00DD6590" w:rsidRDefault="00EC0331" w:rsidP="00FA40EA">
            <w:pPr>
              <w:spacing w:before="60"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Zámer (2023)</w:t>
            </w:r>
          </w:p>
        </w:tc>
        <w:tc>
          <w:tcPr>
            <w:tcW w:w="1148" w:type="dxa"/>
            <w:tcBorders>
              <w:left w:val="single" w:sz="4" w:space="0" w:color="86BC25" w:themeColor="accent1"/>
              <w:right w:val="single" w:sz="4" w:space="0" w:color="86BC25" w:themeColor="accent1"/>
            </w:tcBorders>
            <w:vAlign w:val="center"/>
          </w:tcPr>
          <w:p w14:paraId="2D04CFD2" w14:textId="77777777" w:rsidR="00EC0331" w:rsidRPr="00DD6590" w:rsidRDefault="00EC0331" w:rsidP="00FA40EA">
            <w:pPr>
              <w:spacing w:before="60"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Minimálna hodnota plnenia (85</w:t>
            </w:r>
            <w:r w:rsidR="001D52E4">
              <w:rPr>
                <w:rFonts w:asciiTheme="minorHAnsi" w:hAnsiTheme="minorHAnsi"/>
                <w:sz w:val="16"/>
                <w:szCs w:val="16"/>
              </w:rPr>
              <w:t> </w:t>
            </w:r>
            <w:r w:rsidRPr="00DD6590">
              <w:rPr>
                <w:rFonts w:asciiTheme="minorHAnsi" w:hAnsiTheme="minorHAnsi"/>
                <w:sz w:val="16"/>
                <w:szCs w:val="16"/>
              </w:rPr>
              <w:t>%)</w:t>
            </w:r>
          </w:p>
        </w:tc>
        <w:tc>
          <w:tcPr>
            <w:tcW w:w="1107" w:type="dxa"/>
            <w:tcBorders>
              <w:left w:val="single" w:sz="4" w:space="0" w:color="86BC25" w:themeColor="accent1"/>
              <w:right w:val="single" w:sz="4" w:space="0" w:color="86BC25" w:themeColor="accent1"/>
            </w:tcBorders>
            <w:vAlign w:val="center"/>
          </w:tcPr>
          <w:p w14:paraId="2CA58774" w14:textId="77777777" w:rsidR="00EC0331" w:rsidRPr="00DD6590" w:rsidRDefault="00EC0331" w:rsidP="00FA40EA">
            <w:pPr>
              <w:spacing w:before="60" w:after="0" w:line="240" w:lineRule="auto"/>
              <w:cnfStyle w:val="100000000000" w:firstRow="1" w:lastRow="0" w:firstColumn="0" w:lastColumn="0" w:oddVBand="0" w:evenVBand="0" w:oddHBand="0" w:evenHBand="0" w:firstRowFirstColumn="0" w:firstRowLastColumn="0" w:lastRowFirstColumn="0" w:lastRowLastColumn="0"/>
              <w:rPr>
                <w:sz w:val="16"/>
                <w:szCs w:val="16"/>
              </w:rPr>
            </w:pPr>
            <w:r w:rsidRPr="00DD6590">
              <w:rPr>
                <w:sz w:val="16"/>
                <w:szCs w:val="16"/>
              </w:rPr>
              <w:t>Limit naplnenia pre finančnú opravu (65</w:t>
            </w:r>
            <w:r w:rsidR="001D52E4">
              <w:rPr>
                <w:sz w:val="16"/>
                <w:szCs w:val="16"/>
              </w:rPr>
              <w:t> </w:t>
            </w:r>
            <w:r w:rsidRPr="00DD6590">
              <w:rPr>
                <w:sz w:val="16"/>
                <w:szCs w:val="16"/>
              </w:rPr>
              <w:t>%)</w:t>
            </w:r>
          </w:p>
        </w:tc>
        <w:tc>
          <w:tcPr>
            <w:tcW w:w="1603" w:type="dxa"/>
            <w:tcBorders>
              <w:left w:val="single" w:sz="4" w:space="0" w:color="86BC25" w:themeColor="accent1"/>
            </w:tcBorders>
            <w:vAlign w:val="center"/>
          </w:tcPr>
          <w:p w14:paraId="654A30A6" w14:textId="77777777" w:rsidR="00EC0331" w:rsidRPr="00DD6590" w:rsidRDefault="00EC0331" w:rsidP="00FA40EA">
            <w:pPr>
              <w:spacing w:before="60"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 xml:space="preserve">Cieľová hodnota zazmluvnených projektov </w:t>
            </w:r>
          </w:p>
        </w:tc>
        <w:tc>
          <w:tcPr>
            <w:tcW w:w="1945" w:type="dxa"/>
            <w:tcBorders>
              <w:left w:val="single" w:sz="4" w:space="0" w:color="86BC25" w:themeColor="accent1"/>
            </w:tcBorders>
            <w:vAlign w:val="center"/>
          </w:tcPr>
          <w:p w14:paraId="6A394364" w14:textId="77777777" w:rsidR="00EC0331" w:rsidRPr="00DD6590" w:rsidRDefault="00EC0331" w:rsidP="00FA40EA">
            <w:pPr>
              <w:spacing w:before="60" w:after="0" w:line="240" w:lineRule="auto"/>
              <w:cnfStyle w:val="100000000000" w:firstRow="1" w:lastRow="0" w:firstColumn="0" w:lastColumn="0" w:oddVBand="0" w:evenVBand="0" w:oddHBand="0" w:evenHBand="0" w:firstRowFirstColumn="0" w:firstRowLastColumn="0" w:lastRowFirstColumn="0" w:lastRowLastColumn="0"/>
              <w:rPr>
                <w:sz w:val="16"/>
                <w:szCs w:val="16"/>
              </w:rPr>
            </w:pPr>
            <w:r w:rsidRPr="00DD6590">
              <w:rPr>
                <w:rFonts w:asciiTheme="minorHAnsi" w:hAnsiTheme="minorHAnsi"/>
                <w:sz w:val="16"/>
                <w:szCs w:val="16"/>
              </w:rPr>
              <w:t>Predpokladaná hodnota projektov (2023)</w:t>
            </w:r>
          </w:p>
        </w:tc>
        <w:tc>
          <w:tcPr>
            <w:tcW w:w="1738" w:type="dxa"/>
            <w:tcBorders>
              <w:left w:val="single" w:sz="4" w:space="0" w:color="86BC25" w:themeColor="accent1"/>
            </w:tcBorders>
            <w:vAlign w:val="center"/>
          </w:tcPr>
          <w:p w14:paraId="31DB5388" w14:textId="77777777" w:rsidR="00EC0331" w:rsidRPr="00DD6590" w:rsidRDefault="00EC0331" w:rsidP="00FA40EA">
            <w:pPr>
              <w:spacing w:before="60" w:after="0" w:line="240" w:lineRule="auto"/>
              <w:cnfStyle w:val="100000000000" w:firstRow="1" w:lastRow="0" w:firstColumn="0" w:lastColumn="0" w:oddVBand="0" w:evenVBand="0" w:oddHBand="0" w:evenHBand="0" w:firstRowFirstColumn="0" w:firstRowLastColumn="0" w:lastRowFirstColumn="0" w:lastRowLastColumn="0"/>
              <w:rPr>
                <w:sz w:val="16"/>
                <w:szCs w:val="16"/>
              </w:rPr>
            </w:pPr>
            <w:r w:rsidRPr="00DD6590">
              <w:rPr>
                <w:sz w:val="16"/>
                <w:szCs w:val="16"/>
              </w:rPr>
              <w:t xml:space="preserve">Riziko </w:t>
            </w:r>
          </w:p>
          <w:p w14:paraId="46205A14" w14:textId="77777777" w:rsidR="00DF41FD" w:rsidRPr="00DD6590" w:rsidRDefault="00DF41FD" w:rsidP="00FA40EA">
            <w:pPr>
              <w:spacing w:before="60" w:after="0" w:line="240" w:lineRule="auto"/>
              <w:cnfStyle w:val="100000000000" w:firstRow="1" w:lastRow="0" w:firstColumn="0" w:lastColumn="0" w:oddVBand="0" w:evenVBand="0" w:oddHBand="0" w:evenHBand="0" w:firstRowFirstColumn="0" w:firstRowLastColumn="0" w:lastRowFirstColumn="0" w:lastRowLastColumn="0"/>
              <w:rPr>
                <w:sz w:val="16"/>
                <w:szCs w:val="16"/>
              </w:rPr>
            </w:pPr>
            <w:r w:rsidRPr="00DD6590">
              <w:rPr>
                <w:sz w:val="16"/>
                <w:szCs w:val="16"/>
              </w:rPr>
              <w:t>Finančná oprava v % a EUR</w:t>
            </w:r>
          </w:p>
        </w:tc>
      </w:tr>
      <w:tr w:rsidR="00EC0331" w:rsidRPr="00DD6590" w14:paraId="0320D75A" w14:textId="77777777" w:rsidTr="00847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6" w:type="dxa"/>
            <w:vMerge w:val="restart"/>
            <w:tcBorders>
              <w:right w:val="single" w:sz="4" w:space="0" w:color="86BC25" w:themeColor="accent1"/>
            </w:tcBorders>
            <w:vAlign w:val="center"/>
          </w:tcPr>
          <w:p w14:paraId="61D01D41" w14:textId="77777777" w:rsidR="00EC0331" w:rsidRPr="00DD6590" w:rsidRDefault="00EC0331" w:rsidP="00EC0331">
            <w:pPr>
              <w:spacing w:before="60" w:after="0" w:line="240" w:lineRule="auto"/>
              <w:rPr>
                <w:rFonts w:asciiTheme="minorHAnsi" w:hAnsiTheme="minorHAnsi"/>
                <w:b w:val="0"/>
                <w:bCs w:val="0"/>
                <w:sz w:val="16"/>
                <w:szCs w:val="16"/>
              </w:rPr>
            </w:pPr>
            <w:r w:rsidRPr="00DD6590">
              <w:rPr>
                <w:rFonts w:asciiTheme="minorHAnsi" w:hAnsiTheme="minorHAnsi"/>
                <w:sz w:val="16"/>
                <w:szCs w:val="16"/>
              </w:rPr>
              <w:t>PO1</w:t>
            </w:r>
          </w:p>
        </w:tc>
        <w:tc>
          <w:tcPr>
            <w:tcW w:w="1469" w:type="dxa"/>
            <w:tcBorders>
              <w:right w:val="single" w:sz="4" w:space="0" w:color="86BC25" w:themeColor="accent1"/>
            </w:tcBorders>
            <w:vAlign w:val="center"/>
          </w:tcPr>
          <w:p w14:paraId="07FF38BC"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Finančný ukazovateľ</w:t>
            </w:r>
          </w:p>
        </w:tc>
        <w:tc>
          <w:tcPr>
            <w:tcW w:w="1822" w:type="dxa"/>
            <w:tcBorders>
              <w:left w:val="single" w:sz="4" w:space="0" w:color="86BC25" w:themeColor="accent1"/>
              <w:right w:val="single" w:sz="4" w:space="0" w:color="86BC25" w:themeColor="accent1"/>
            </w:tcBorders>
            <w:vAlign w:val="center"/>
          </w:tcPr>
          <w:p w14:paraId="653029E9" w14:textId="77777777" w:rsidR="00EC0331" w:rsidRPr="00DD6590" w:rsidRDefault="00EC0331" w:rsidP="00EC0331">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Celková suma oprávnených výdavkov po ich certifikácii CO a predložení ŽoP na EK</w:t>
            </w:r>
          </w:p>
        </w:tc>
        <w:tc>
          <w:tcPr>
            <w:tcW w:w="1010" w:type="dxa"/>
            <w:tcBorders>
              <w:left w:val="single" w:sz="4" w:space="0" w:color="86BC25" w:themeColor="accent1"/>
              <w:right w:val="single" w:sz="4" w:space="0" w:color="86BC25" w:themeColor="accent1"/>
            </w:tcBorders>
            <w:vAlign w:val="center"/>
          </w:tcPr>
          <w:p w14:paraId="03C4B088"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EUR</w:t>
            </w:r>
          </w:p>
        </w:tc>
        <w:tc>
          <w:tcPr>
            <w:tcW w:w="855" w:type="dxa"/>
            <w:tcBorders>
              <w:left w:val="single" w:sz="4" w:space="0" w:color="86BC25" w:themeColor="accent1"/>
              <w:right w:val="single" w:sz="4" w:space="0" w:color="86BC25" w:themeColor="accent1"/>
            </w:tcBorders>
            <w:vAlign w:val="center"/>
          </w:tcPr>
          <w:p w14:paraId="2BB4FF90"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853 928 431</w:t>
            </w:r>
          </w:p>
        </w:tc>
        <w:tc>
          <w:tcPr>
            <w:tcW w:w="1148" w:type="dxa"/>
            <w:tcBorders>
              <w:left w:val="single" w:sz="4" w:space="0" w:color="86BC25" w:themeColor="accent1"/>
              <w:right w:val="single" w:sz="4" w:space="0" w:color="86BC25" w:themeColor="accent1"/>
            </w:tcBorders>
            <w:vAlign w:val="center"/>
          </w:tcPr>
          <w:p w14:paraId="59BD0CF4"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725 839 166</w:t>
            </w:r>
          </w:p>
        </w:tc>
        <w:tc>
          <w:tcPr>
            <w:tcW w:w="1107" w:type="dxa"/>
            <w:tcBorders>
              <w:left w:val="single" w:sz="4" w:space="0" w:color="86BC25" w:themeColor="accent1"/>
              <w:right w:val="single" w:sz="4" w:space="0" w:color="86BC25" w:themeColor="accent1"/>
            </w:tcBorders>
            <w:vAlign w:val="center"/>
          </w:tcPr>
          <w:p w14:paraId="44A6DE15"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lang w:val="en-US"/>
              </w:rPr>
              <w:t>555 053 480</w:t>
            </w:r>
          </w:p>
        </w:tc>
        <w:tc>
          <w:tcPr>
            <w:tcW w:w="1603" w:type="dxa"/>
            <w:tcBorders>
              <w:left w:val="single" w:sz="4" w:space="0" w:color="86BC25" w:themeColor="accent1"/>
            </w:tcBorders>
            <w:vAlign w:val="center"/>
          </w:tcPr>
          <w:p w14:paraId="50A2A59E"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660 175 263</w:t>
            </w:r>
          </w:p>
        </w:tc>
        <w:tc>
          <w:tcPr>
            <w:tcW w:w="1945" w:type="dxa"/>
            <w:tcBorders>
              <w:left w:val="single" w:sz="4" w:space="0" w:color="86BC25" w:themeColor="accent1"/>
            </w:tcBorders>
            <w:vAlign w:val="center"/>
          </w:tcPr>
          <w:p w14:paraId="0AB87E03"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853 928 431</w:t>
            </w:r>
          </w:p>
        </w:tc>
        <w:tc>
          <w:tcPr>
            <w:tcW w:w="1738" w:type="dxa"/>
            <w:tcBorders>
              <w:left w:val="single" w:sz="4" w:space="0" w:color="86BC25" w:themeColor="accent1"/>
            </w:tcBorders>
            <w:shd w:val="clear" w:color="auto" w:fill="D0EC9F"/>
            <w:vAlign w:val="center"/>
          </w:tcPr>
          <w:p w14:paraId="62C6E3DF"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p>
        </w:tc>
      </w:tr>
      <w:tr w:rsidR="00EC0331" w:rsidRPr="00DD6590" w14:paraId="3E27C913" w14:textId="77777777" w:rsidTr="008476FF">
        <w:tc>
          <w:tcPr>
            <w:cnfStyle w:val="001000000000" w:firstRow="0" w:lastRow="0" w:firstColumn="1" w:lastColumn="0" w:oddVBand="0" w:evenVBand="0" w:oddHBand="0" w:evenHBand="0" w:firstRowFirstColumn="0" w:firstRowLastColumn="0" w:lastRowFirstColumn="0" w:lastRowLastColumn="0"/>
            <w:tcW w:w="1006" w:type="dxa"/>
            <w:vMerge/>
            <w:tcBorders>
              <w:right w:val="single" w:sz="4" w:space="0" w:color="86BC25" w:themeColor="accent1"/>
            </w:tcBorders>
            <w:vAlign w:val="center"/>
          </w:tcPr>
          <w:p w14:paraId="1DF25C68" w14:textId="77777777" w:rsidR="00EC0331" w:rsidRPr="00DD6590" w:rsidRDefault="00EC0331" w:rsidP="00EC0331">
            <w:pPr>
              <w:spacing w:before="60" w:after="0" w:line="240" w:lineRule="auto"/>
              <w:rPr>
                <w:rFonts w:asciiTheme="minorHAnsi" w:hAnsiTheme="minorHAnsi"/>
                <w:sz w:val="16"/>
                <w:szCs w:val="16"/>
              </w:rPr>
            </w:pPr>
          </w:p>
        </w:tc>
        <w:tc>
          <w:tcPr>
            <w:tcW w:w="1469" w:type="dxa"/>
            <w:tcBorders>
              <w:right w:val="single" w:sz="4" w:space="0" w:color="86BC25" w:themeColor="accent1"/>
            </w:tcBorders>
            <w:vAlign w:val="center"/>
          </w:tcPr>
          <w:p w14:paraId="75CFCAE9"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Výstupový ukazovateľ</w:t>
            </w:r>
          </w:p>
        </w:tc>
        <w:tc>
          <w:tcPr>
            <w:tcW w:w="1822" w:type="dxa"/>
            <w:tcBorders>
              <w:left w:val="single" w:sz="4" w:space="0" w:color="86BC25" w:themeColor="accent1"/>
              <w:right w:val="single" w:sz="4" w:space="0" w:color="86BC25" w:themeColor="accent1"/>
            </w:tcBorders>
            <w:vAlign w:val="center"/>
          </w:tcPr>
          <w:p w14:paraId="3FA84847" w14:textId="77777777" w:rsidR="00EC0331" w:rsidRPr="00DD6590" w:rsidRDefault="00EC0331" w:rsidP="00EC0331">
            <w:pPr>
              <w:spacing w:before="60" w:after="0" w:line="240"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Celková dĺžka rekonštruovaných alebo zrenovovaných železničných tratí v sieti TEN-T</w:t>
            </w:r>
          </w:p>
        </w:tc>
        <w:tc>
          <w:tcPr>
            <w:tcW w:w="1010" w:type="dxa"/>
            <w:tcBorders>
              <w:left w:val="single" w:sz="4" w:space="0" w:color="86BC25" w:themeColor="accent1"/>
              <w:right w:val="single" w:sz="4" w:space="0" w:color="86BC25" w:themeColor="accent1"/>
            </w:tcBorders>
            <w:vAlign w:val="center"/>
          </w:tcPr>
          <w:p w14:paraId="35E99A8B"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km</w:t>
            </w:r>
          </w:p>
        </w:tc>
        <w:tc>
          <w:tcPr>
            <w:tcW w:w="855" w:type="dxa"/>
            <w:tcBorders>
              <w:left w:val="single" w:sz="4" w:space="0" w:color="86BC25" w:themeColor="accent1"/>
              <w:right w:val="single" w:sz="4" w:space="0" w:color="86BC25" w:themeColor="accent1"/>
            </w:tcBorders>
            <w:vAlign w:val="center"/>
          </w:tcPr>
          <w:p w14:paraId="5DDA9CAA"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34,8</w:t>
            </w:r>
          </w:p>
        </w:tc>
        <w:tc>
          <w:tcPr>
            <w:tcW w:w="1148" w:type="dxa"/>
            <w:tcBorders>
              <w:left w:val="single" w:sz="4" w:space="0" w:color="86BC25" w:themeColor="accent1"/>
              <w:right w:val="single" w:sz="4" w:space="0" w:color="86BC25" w:themeColor="accent1"/>
            </w:tcBorders>
            <w:vAlign w:val="center"/>
          </w:tcPr>
          <w:p w14:paraId="26B8FB41"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29,58</w:t>
            </w:r>
          </w:p>
        </w:tc>
        <w:tc>
          <w:tcPr>
            <w:tcW w:w="1107" w:type="dxa"/>
            <w:tcBorders>
              <w:left w:val="single" w:sz="4" w:space="0" w:color="86BC25" w:themeColor="accent1"/>
              <w:right w:val="single" w:sz="4" w:space="0" w:color="86BC25" w:themeColor="accent1"/>
            </w:tcBorders>
            <w:vAlign w:val="center"/>
          </w:tcPr>
          <w:p w14:paraId="218BA9C2"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22,62</w:t>
            </w:r>
          </w:p>
        </w:tc>
        <w:tc>
          <w:tcPr>
            <w:tcW w:w="1603" w:type="dxa"/>
            <w:tcBorders>
              <w:left w:val="single" w:sz="4" w:space="0" w:color="86BC25" w:themeColor="accent1"/>
            </w:tcBorders>
            <w:vAlign w:val="center"/>
          </w:tcPr>
          <w:p w14:paraId="05FC3359"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24,69</w:t>
            </w:r>
          </w:p>
        </w:tc>
        <w:tc>
          <w:tcPr>
            <w:tcW w:w="1945" w:type="dxa"/>
            <w:tcBorders>
              <w:left w:val="single" w:sz="4" w:space="0" w:color="86BC25" w:themeColor="accent1"/>
            </w:tcBorders>
            <w:vAlign w:val="center"/>
          </w:tcPr>
          <w:p w14:paraId="374A95D4"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34,8</w:t>
            </w:r>
          </w:p>
        </w:tc>
        <w:tc>
          <w:tcPr>
            <w:tcW w:w="1738" w:type="dxa"/>
            <w:tcBorders>
              <w:left w:val="single" w:sz="4" w:space="0" w:color="86BC25" w:themeColor="accent1"/>
            </w:tcBorders>
            <w:shd w:val="clear" w:color="auto" w:fill="FFD653"/>
            <w:vAlign w:val="center"/>
          </w:tcPr>
          <w:p w14:paraId="4362BE35" w14:textId="77777777" w:rsidR="00EC0331" w:rsidRPr="00DD6590" w:rsidRDefault="000B4403" w:rsidP="000B4403">
            <w:pPr>
              <w:spacing w:before="60" w:after="0" w:line="240"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 xml:space="preserve">V prípade neschválenia ďalšieho projektu bude potrebné vysvetliť nenaplnenie, nehrozí </w:t>
            </w:r>
            <w:r w:rsidR="008476FF" w:rsidRPr="00DD6590">
              <w:rPr>
                <w:sz w:val="16"/>
                <w:szCs w:val="16"/>
              </w:rPr>
              <w:t>korekcia</w:t>
            </w:r>
          </w:p>
        </w:tc>
      </w:tr>
      <w:tr w:rsidR="00EC0331" w:rsidRPr="00DD6590" w14:paraId="14C396E0" w14:textId="77777777" w:rsidTr="00847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6" w:type="dxa"/>
            <w:vMerge w:val="restart"/>
            <w:tcBorders>
              <w:right w:val="single" w:sz="4" w:space="0" w:color="86BC25" w:themeColor="accent1"/>
            </w:tcBorders>
            <w:vAlign w:val="center"/>
          </w:tcPr>
          <w:p w14:paraId="1759C53B" w14:textId="77777777" w:rsidR="00EC0331" w:rsidRPr="00DD6590" w:rsidRDefault="00EC0331" w:rsidP="00EC0331">
            <w:pPr>
              <w:spacing w:before="60" w:after="0" w:line="240" w:lineRule="auto"/>
              <w:rPr>
                <w:rFonts w:asciiTheme="minorHAnsi" w:hAnsiTheme="minorHAnsi"/>
                <w:sz w:val="16"/>
                <w:szCs w:val="16"/>
              </w:rPr>
            </w:pPr>
            <w:r w:rsidRPr="00DD6590">
              <w:rPr>
                <w:rFonts w:asciiTheme="minorHAnsi" w:hAnsiTheme="minorHAnsi"/>
                <w:sz w:val="16"/>
                <w:szCs w:val="16"/>
              </w:rPr>
              <w:t>PO2</w:t>
            </w:r>
          </w:p>
        </w:tc>
        <w:tc>
          <w:tcPr>
            <w:tcW w:w="1469" w:type="dxa"/>
            <w:tcBorders>
              <w:right w:val="single" w:sz="4" w:space="0" w:color="86BC25" w:themeColor="accent1"/>
            </w:tcBorders>
            <w:vAlign w:val="center"/>
          </w:tcPr>
          <w:p w14:paraId="69F02E6A"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Finančný ukazovateľ</w:t>
            </w:r>
          </w:p>
        </w:tc>
        <w:tc>
          <w:tcPr>
            <w:tcW w:w="1822" w:type="dxa"/>
            <w:tcBorders>
              <w:left w:val="single" w:sz="4" w:space="0" w:color="86BC25" w:themeColor="accent1"/>
              <w:right w:val="single" w:sz="4" w:space="0" w:color="86BC25" w:themeColor="accent1"/>
            </w:tcBorders>
            <w:vAlign w:val="center"/>
          </w:tcPr>
          <w:p w14:paraId="3E318B60" w14:textId="77777777" w:rsidR="00EC0331" w:rsidRPr="00DD6590" w:rsidRDefault="00EC0331" w:rsidP="00EC0331">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Celková suma oprávnených výdavkov po ich certifikácii CO a predložení ŽoP na EK</w:t>
            </w:r>
          </w:p>
        </w:tc>
        <w:tc>
          <w:tcPr>
            <w:tcW w:w="1010" w:type="dxa"/>
            <w:tcBorders>
              <w:left w:val="single" w:sz="4" w:space="0" w:color="86BC25" w:themeColor="accent1"/>
              <w:right w:val="single" w:sz="4" w:space="0" w:color="86BC25" w:themeColor="accent1"/>
            </w:tcBorders>
            <w:vAlign w:val="center"/>
          </w:tcPr>
          <w:p w14:paraId="0DBCA6D0"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EUR</w:t>
            </w:r>
          </w:p>
        </w:tc>
        <w:tc>
          <w:tcPr>
            <w:tcW w:w="855" w:type="dxa"/>
            <w:tcBorders>
              <w:left w:val="single" w:sz="4" w:space="0" w:color="86BC25" w:themeColor="accent1"/>
              <w:right w:val="single" w:sz="4" w:space="0" w:color="86BC25" w:themeColor="accent1"/>
            </w:tcBorders>
            <w:vAlign w:val="center"/>
          </w:tcPr>
          <w:p w14:paraId="1958313D"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1 344 117 648</w:t>
            </w:r>
          </w:p>
        </w:tc>
        <w:tc>
          <w:tcPr>
            <w:tcW w:w="1148" w:type="dxa"/>
            <w:tcBorders>
              <w:left w:val="single" w:sz="4" w:space="0" w:color="86BC25" w:themeColor="accent1"/>
              <w:right w:val="single" w:sz="4" w:space="0" w:color="86BC25" w:themeColor="accent1"/>
            </w:tcBorders>
            <w:vAlign w:val="center"/>
          </w:tcPr>
          <w:p w14:paraId="6765A30F"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1 142 500 000</w:t>
            </w:r>
          </w:p>
        </w:tc>
        <w:tc>
          <w:tcPr>
            <w:tcW w:w="1107" w:type="dxa"/>
            <w:tcBorders>
              <w:left w:val="single" w:sz="4" w:space="0" w:color="86BC25" w:themeColor="accent1"/>
              <w:right w:val="single" w:sz="4" w:space="0" w:color="86BC25" w:themeColor="accent1"/>
            </w:tcBorders>
            <w:vAlign w:val="center"/>
          </w:tcPr>
          <w:p w14:paraId="412D759A"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873 676 471</w:t>
            </w:r>
          </w:p>
        </w:tc>
        <w:tc>
          <w:tcPr>
            <w:tcW w:w="1603" w:type="dxa"/>
            <w:tcBorders>
              <w:left w:val="single" w:sz="4" w:space="0" w:color="86BC25" w:themeColor="accent1"/>
            </w:tcBorders>
            <w:vAlign w:val="center"/>
          </w:tcPr>
          <w:p w14:paraId="08057827"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1 547 105 271</w:t>
            </w:r>
          </w:p>
        </w:tc>
        <w:tc>
          <w:tcPr>
            <w:tcW w:w="1945" w:type="dxa"/>
            <w:tcBorders>
              <w:left w:val="single" w:sz="4" w:space="0" w:color="86BC25" w:themeColor="accent1"/>
            </w:tcBorders>
            <w:vAlign w:val="center"/>
          </w:tcPr>
          <w:p w14:paraId="54DF3686"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1 344 117 648</w:t>
            </w:r>
          </w:p>
        </w:tc>
        <w:tc>
          <w:tcPr>
            <w:tcW w:w="1738" w:type="dxa"/>
            <w:tcBorders>
              <w:left w:val="single" w:sz="4" w:space="0" w:color="86BC25" w:themeColor="accent1"/>
            </w:tcBorders>
            <w:shd w:val="clear" w:color="auto" w:fill="D0EC9F"/>
            <w:vAlign w:val="center"/>
          </w:tcPr>
          <w:p w14:paraId="123BA207"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p>
        </w:tc>
      </w:tr>
      <w:tr w:rsidR="00EC0331" w:rsidRPr="00DD6590" w14:paraId="38E0974C" w14:textId="77777777" w:rsidTr="008476FF">
        <w:tc>
          <w:tcPr>
            <w:cnfStyle w:val="001000000000" w:firstRow="0" w:lastRow="0" w:firstColumn="1" w:lastColumn="0" w:oddVBand="0" w:evenVBand="0" w:oddHBand="0" w:evenHBand="0" w:firstRowFirstColumn="0" w:firstRowLastColumn="0" w:lastRowFirstColumn="0" w:lastRowLastColumn="0"/>
            <w:tcW w:w="1006" w:type="dxa"/>
            <w:vMerge/>
            <w:tcBorders>
              <w:right w:val="single" w:sz="4" w:space="0" w:color="86BC25" w:themeColor="accent1"/>
            </w:tcBorders>
            <w:vAlign w:val="center"/>
          </w:tcPr>
          <w:p w14:paraId="2E7FC8EC" w14:textId="77777777" w:rsidR="00EC0331" w:rsidRPr="00DD6590" w:rsidRDefault="00EC0331" w:rsidP="00EC0331">
            <w:pPr>
              <w:spacing w:before="60" w:after="0" w:line="240" w:lineRule="auto"/>
              <w:rPr>
                <w:rFonts w:asciiTheme="minorHAnsi" w:hAnsiTheme="minorHAnsi"/>
                <w:sz w:val="16"/>
                <w:szCs w:val="16"/>
              </w:rPr>
            </w:pPr>
          </w:p>
        </w:tc>
        <w:tc>
          <w:tcPr>
            <w:tcW w:w="1469" w:type="dxa"/>
            <w:tcBorders>
              <w:right w:val="single" w:sz="4" w:space="0" w:color="86BC25" w:themeColor="accent1"/>
            </w:tcBorders>
            <w:vAlign w:val="center"/>
          </w:tcPr>
          <w:p w14:paraId="774BCC64"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Výstupový ukazovateľ</w:t>
            </w:r>
          </w:p>
        </w:tc>
        <w:tc>
          <w:tcPr>
            <w:tcW w:w="1822" w:type="dxa"/>
            <w:tcBorders>
              <w:left w:val="single" w:sz="4" w:space="0" w:color="86BC25" w:themeColor="accent1"/>
              <w:right w:val="single" w:sz="4" w:space="0" w:color="86BC25" w:themeColor="accent1"/>
            </w:tcBorders>
            <w:vAlign w:val="center"/>
          </w:tcPr>
          <w:p w14:paraId="31ECFD2F" w14:textId="77777777" w:rsidR="00EC0331" w:rsidRPr="00DD6590" w:rsidRDefault="00EC0331" w:rsidP="00EC0331">
            <w:pPr>
              <w:spacing w:before="60" w:after="0" w:line="240"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Celková dĺžka novo</w:t>
            </w:r>
            <w:r w:rsidR="004B34E8">
              <w:rPr>
                <w:rFonts w:asciiTheme="minorHAnsi" w:hAnsiTheme="minorHAnsi"/>
                <w:sz w:val="16"/>
                <w:szCs w:val="16"/>
              </w:rPr>
              <w:t>-</w:t>
            </w:r>
            <w:r w:rsidRPr="00DD6590">
              <w:rPr>
                <w:rFonts w:asciiTheme="minorHAnsi" w:hAnsiTheme="minorHAnsi"/>
                <w:sz w:val="16"/>
                <w:szCs w:val="16"/>
              </w:rPr>
              <w:t xml:space="preserve"> vybudovaných ciest v sieti TEN-T</w:t>
            </w:r>
          </w:p>
        </w:tc>
        <w:tc>
          <w:tcPr>
            <w:tcW w:w="1010" w:type="dxa"/>
            <w:tcBorders>
              <w:left w:val="single" w:sz="4" w:space="0" w:color="86BC25" w:themeColor="accent1"/>
              <w:right w:val="single" w:sz="4" w:space="0" w:color="86BC25" w:themeColor="accent1"/>
            </w:tcBorders>
            <w:vAlign w:val="center"/>
          </w:tcPr>
          <w:p w14:paraId="6BB9BA6E"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km</w:t>
            </w:r>
          </w:p>
        </w:tc>
        <w:tc>
          <w:tcPr>
            <w:tcW w:w="855" w:type="dxa"/>
            <w:tcBorders>
              <w:left w:val="single" w:sz="4" w:space="0" w:color="86BC25" w:themeColor="accent1"/>
              <w:right w:val="single" w:sz="4" w:space="0" w:color="86BC25" w:themeColor="accent1"/>
            </w:tcBorders>
            <w:vAlign w:val="center"/>
          </w:tcPr>
          <w:p w14:paraId="4F31FD4E"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111,7</w:t>
            </w:r>
          </w:p>
        </w:tc>
        <w:tc>
          <w:tcPr>
            <w:tcW w:w="1148" w:type="dxa"/>
            <w:tcBorders>
              <w:left w:val="single" w:sz="4" w:space="0" w:color="86BC25" w:themeColor="accent1"/>
              <w:right w:val="single" w:sz="4" w:space="0" w:color="86BC25" w:themeColor="accent1"/>
            </w:tcBorders>
            <w:vAlign w:val="center"/>
          </w:tcPr>
          <w:p w14:paraId="4BCF702D"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94,95</w:t>
            </w:r>
          </w:p>
        </w:tc>
        <w:tc>
          <w:tcPr>
            <w:tcW w:w="1107" w:type="dxa"/>
            <w:tcBorders>
              <w:left w:val="single" w:sz="4" w:space="0" w:color="86BC25" w:themeColor="accent1"/>
              <w:right w:val="single" w:sz="4" w:space="0" w:color="86BC25" w:themeColor="accent1"/>
            </w:tcBorders>
            <w:vAlign w:val="center"/>
          </w:tcPr>
          <w:p w14:paraId="700F5C31"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72,60</w:t>
            </w:r>
          </w:p>
        </w:tc>
        <w:tc>
          <w:tcPr>
            <w:tcW w:w="1603" w:type="dxa"/>
            <w:tcBorders>
              <w:left w:val="single" w:sz="4" w:space="0" w:color="86BC25" w:themeColor="accent1"/>
            </w:tcBorders>
            <w:vAlign w:val="center"/>
          </w:tcPr>
          <w:p w14:paraId="1850A895"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96,29</w:t>
            </w:r>
          </w:p>
        </w:tc>
        <w:tc>
          <w:tcPr>
            <w:tcW w:w="1945" w:type="dxa"/>
            <w:tcBorders>
              <w:left w:val="single" w:sz="4" w:space="0" w:color="86BC25" w:themeColor="accent1"/>
            </w:tcBorders>
            <w:vAlign w:val="center"/>
          </w:tcPr>
          <w:p w14:paraId="69601B71"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111,7</w:t>
            </w:r>
          </w:p>
        </w:tc>
        <w:tc>
          <w:tcPr>
            <w:tcW w:w="1738" w:type="dxa"/>
            <w:tcBorders>
              <w:left w:val="single" w:sz="4" w:space="0" w:color="86BC25" w:themeColor="accent1"/>
            </w:tcBorders>
            <w:shd w:val="clear" w:color="auto" w:fill="D0EC9F"/>
            <w:vAlign w:val="center"/>
          </w:tcPr>
          <w:p w14:paraId="2709AA8C"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EC0331" w:rsidRPr="00DD6590" w14:paraId="5B173EC2" w14:textId="77777777" w:rsidTr="00847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6" w:type="dxa"/>
            <w:vMerge w:val="restart"/>
            <w:tcBorders>
              <w:right w:val="single" w:sz="4" w:space="0" w:color="86BC25" w:themeColor="accent1"/>
            </w:tcBorders>
            <w:vAlign w:val="center"/>
          </w:tcPr>
          <w:p w14:paraId="1B1921AB" w14:textId="77777777" w:rsidR="00EC0331" w:rsidRPr="00DD6590" w:rsidRDefault="00EC0331" w:rsidP="00EC0331">
            <w:pPr>
              <w:spacing w:before="60" w:after="0" w:line="240" w:lineRule="auto"/>
              <w:rPr>
                <w:rFonts w:asciiTheme="minorHAnsi" w:hAnsiTheme="minorHAnsi"/>
                <w:sz w:val="16"/>
                <w:szCs w:val="16"/>
              </w:rPr>
            </w:pPr>
            <w:r w:rsidRPr="00DD6590">
              <w:rPr>
                <w:rFonts w:asciiTheme="minorHAnsi" w:hAnsiTheme="minorHAnsi"/>
                <w:sz w:val="16"/>
                <w:szCs w:val="16"/>
              </w:rPr>
              <w:t>PO3</w:t>
            </w:r>
          </w:p>
        </w:tc>
        <w:tc>
          <w:tcPr>
            <w:tcW w:w="1469" w:type="dxa"/>
            <w:tcBorders>
              <w:right w:val="single" w:sz="4" w:space="0" w:color="86BC25" w:themeColor="accent1"/>
            </w:tcBorders>
            <w:vAlign w:val="center"/>
          </w:tcPr>
          <w:p w14:paraId="2E2D558B"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Finančný ukazovateľ</w:t>
            </w:r>
          </w:p>
        </w:tc>
        <w:tc>
          <w:tcPr>
            <w:tcW w:w="1822" w:type="dxa"/>
            <w:tcBorders>
              <w:left w:val="single" w:sz="4" w:space="0" w:color="86BC25" w:themeColor="accent1"/>
              <w:right w:val="single" w:sz="4" w:space="0" w:color="86BC25" w:themeColor="accent1"/>
            </w:tcBorders>
            <w:vAlign w:val="center"/>
          </w:tcPr>
          <w:p w14:paraId="1C3786B9" w14:textId="77777777" w:rsidR="00EC0331" w:rsidRPr="00DD6590" w:rsidRDefault="00EC0331" w:rsidP="00EC0331">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Celková suma oprávnených výdavkov po ich certifikácii CO a predložení ŽoP na EK</w:t>
            </w:r>
          </w:p>
        </w:tc>
        <w:tc>
          <w:tcPr>
            <w:tcW w:w="1010" w:type="dxa"/>
            <w:tcBorders>
              <w:left w:val="single" w:sz="4" w:space="0" w:color="86BC25" w:themeColor="accent1"/>
              <w:right w:val="single" w:sz="4" w:space="0" w:color="86BC25" w:themeColor="accent1"/>
            </w:tcBorders>
            <w:vAlign w:val="center"/>
          </w:tcPr>
          <w:p w14:paraId="193816CA"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EUR</w:t>
            </w:r>
          </w:p>
        </w:tc>
        <w:tc>
          <w:tcPr>
            <w:tcW w:w="855" w:type="dxa"/>
            <w:tcBorders>
              <w:left w:val="single" w:sz="4" w:space="0" w:color="86BC25" w:themeColor="accent1"/>
              <w:right w:val="single" w:sz="4" w:space="0" w:color="86BC25" w:themeColor="accent1"/>
            </w:tcBorders>
            <w:vAlign w:val="center"/>
          </w:tcPr>
          <w:p w14:paraId="17CF03F9"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379 235 295</w:t>
            </w:r>
          </w:p>
        </w:tc>
        <w:tc>
          <w:tcPr>
            <w:tcW w:w="1148" w:type="dxa"/>
            <w:tcBorders>
              <w:left w:val="single" w:sz="4" w:space="0" w:color="86BC25" w:themeColor="accent1"/>
              <w:right w:val="single" w:sz="4" w:space="0" w:color="86BC25" w:themeColor="accent1"/>
            </w:tcBorders>
            <w:vAlign w:val="center"/>
          </w:tcPr>
          <w:p w14:paraId="7BD830F5"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322 350 000</w:t>
            </w:r>
          </w:p>
        </w:tc>
        <w:tc>
          <w:tcPr>
            <w:tcW w:w="1107" w:type="dxa"/>
            <w:tcBorders>
              <w:left w:val="single" w:sz="4" w:space="0" w:color="86BC25" w:themeColor="accent1"/>
              <w:right w:val="single" w:sz="4" w:space="0" w:color="86BC25" w:themeColor="accent1"/>
            </w:tcBorders>
            <w:vAlign w:val="center"/>
          </w:tcPr>
          <w:p w14:paraId="2FDB2E7A"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246 502 942</w:t>
            </w:r>
          </w:p>
        </w:tc>
        <w:tc>
          <w:tcPr>
            <w:tcW w:w="1603" w:type="dxa"/>
            <w:tcBorders>
              <w:left w:val="single" w:sz="4" w:space="0" w:color="86BC25" w:themeColor="accent1"/>
            </w:tcBorders>
            <w:vAlign w:val="center"/>
          </w:tcPr>
          <w:p w14:paraId="0692C163"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379 235 295</w:t>
            </w:r>
          </w:p>
        </w:tc>
        <w:tc>
          <w:tcPr>
            <w:tcW w:w="1945" w:type="dxa"/>
            <w:tcBorders>
              <w:left w:val="single" w:sz="4" w:space="0" w:color="86BC25" w:themeColor="accent1"/>
            </w:tcBorders>
            <w:vAlign w:val="center"/>
          </w:tcPr>
          <w:p w14:paraId="471195E2"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379 235 295</w:t>
            </w:r>
          </w:p>
        </w:tc>
        <w:tc>
          <w:tcPr>
            <w:tcW w:w="1738" w:type="dxa"/>
            <w:tcBorders>
              <w:left w:val="single" w:sz="4" w:space="0" w:color="86BC25" w:themeColor="accent1"/>
            </w:tcBorders>
            <w:shd w:val="clear" w:color="auto" w:fill="D0EC9F"/>
            <w:vAlign w:val="center"/>
          </w:tcPr>
          <w:p w14:paraId="08AFCB4F"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p>
        </w:tc>
      </w:tr>
      <w:tr w:rsidR="00EC0331" w:rsidRPr="00DD6590" w14:paraId="52B006C1" w14:textId="77777777" w:rsidTr="008476FF">
        <w:tc>
          <w:tcPr>
            <w:cnfStyle w:val="001000000000" w:firstRow="0" w:lastRow="0" w:firstColumn="1" w:lastColumn="0" w:oddVBand="0" w:evenVBand="0" w:oddHBand="0" w:evenHBand="0" w:firstRowFirstColumn="0" w:firstRowLastColumn="0" w:lastRowFirstColumn="0" w:lastRowLastColumn="0"/>
            <w:tcW w:w="1006" w:type="dxa"/>
            <w:vMerge/>
            <w:tcBorders>
              <w:right w:val="single" w:sz="4" w:space="0" w:color="86BC25" w:themeColor="accent1"/>
            </w:tcBorders>
            <w:vAlign w:val="center"/>
          </w:tcPr>
          <w:p w14:paraId="25CF86FF" w14:textId="77777777" w:rsidR="00EC0331" w:rsidRPr="00DD6590" w:rsidRDefault="00EC0331" w:rsidP="00EC0331">
            <w:pPr>
              <w:spacing w:before="60" w:after="0" w:line="240" w:lineRule="auto"/>
              <w:rPr>
                <w:rFonts w:asciiTheme="minorHAnsi" w:hAnsiTheme="minorHAnsi"/>
                <w:sz w:val="16"/>
                <w:szCs w:val="16"/>
              </w:rPr>
            </w:pPr>
          </w:p>
        </w:tc>
        <w:tc>
          <w:tcPr>
            <w:tcW w:w="1469" w:type="dxa"/>
            <w:tcBorders>
              <w:right w:val="single" w:sz="4" w:space="0" w:color="86BC25" w:themeColor="accent1"/>
            </w:tcBorders>
            <w:vAlign w:val="center"/>
          </w:tcPr>
          <w:p w14:paraId="257ABB68"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Výstupový ukazovateľ</w:t>
            </w:r>
          </w:p>
        </w:tc>
        <w:tc>
          <w:tcPr>
            <w:tcW w:w="1822" w:type="dxa"/>
            <w:tcBorders>
              <w:left w:val="single" w:sz="4" w:space="0" w:color="86BC25" w:themeColor="accent1"/>
              <w:right w:val="single" w:sz="4" w:space="0" w:color="86BC25" w:themeColor="accent1"/>
            </w:tcBorders>
            <w:vAlign w:val="center"/>
          </w:tcPr>
          <w:p w14:paraId="7074454B" w14:textId="77777777" w:rsidR="00EC0331" w:rsidRPr="00DD6590" w:rsidRDefault="00EC0331" w:rsidP="00EC0331">
            <w:pPr>
              <w:spacing w:before="60" w:after="0" w:line="240"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Celková dĺžka nových alebo zmodernizovaných tratí pre električky alebo metro</w:t>
            </w:r>
          </w:p>
        </w:tc>
        <w:tc>
          <w:tcPr>
            <w:tcW w:w="1010" w:type="dxa"/>
            <w:tcBorders>
              <w:left w:val="single" w:sz="4" w:space="0" w:color="86BC25" w:themeColor="accent1"/>
              <w:right w:val="single" w:sz="4" w:space="0" w:color="86BC25" w:themeColor="accent1"/>
            </w:tcBorders>
            <w:vAlign w:val="center"/>
          </w:tcPr>
          <w:p w14:paraId="37933726"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km</w:t>
            </w:r>
          </w:p>
        </w:tc>
        <w:tc>
          <w:tcPr>
            <w:tcW w:w="855" w:type="dxa"/>
            <w:tcBorders>
              <w:left w:val="single" w:sz="4" w:space="0" w:color="86BC25" w:themeColor="accent1"/>
              <w:right w:val="single" w:sz="4" w:space="0" w:color="86BC25" w:themeColor="accent1"/>
            </w:tcBorders>
            <w:vAlign w:val="center"/>
          </w:tcPr>
          <w:p w14:paraId="25B76BAC"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18,5</w:t>
            </w:r>
          </w:p>
        </w:tc>
        <w:tc>
          <w:tcPr>
            <w:tcW w:w="1148" w:type="dxa"/>
            <w:tcBorders>
              <w:left w:val="single" w:sz="4" w:space="0" w:color="86BC25" w:themeColor="accent1"/>
              <w:right w:val="single" w:sz="4" w:space="0" w:color="86BC25" w:themeColor="accent1"/>
            </w:tcBorders>
            <w:vAlign w:val="center"/>
          </w:tcPr>
          <w:p w14:paraId="08AA682D"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15,7</w:t>
            </w:r>
          </w:p>
        </w:tc>
        <w:tc>
          <w:tcPr>
            <w:tcW w:w="1107" w:type="dxa"/>
            <w:tcBorders>
              <w:left w:val="single" w:sz="4" w:space="0" w:color="86BC25" w:themeColor="accent1"/>
              <w:right w:val="single" w:sz="4" w:space="0" w:color="86BC25" w:themeColor="accent1"/>
            </w:tcBorders>
            <w:vAlign w:val="center"/>
          </w:tcPr>
          <w:p w14:paraId="0C6B2CCA"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12,03</w:t>
            </w:r>
          </w:p>
        </w:tc>
        <w:tc>
          <w:tcPr>
            <w:tcW w:w="1603" w:type="dxa"/>
            <w:tcBorders>
              <w:left w:val="single" w:sz="4" w:space="0" w:color="86BC25" w:themeColor="accent1"/>
            </w:tcBorders>
            <w:vAlign w:val="center"/>
          </w:tcPr>
          <w:p w14:paraId="06A1FBD5"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7,9</w:t>
            </w:r>
          </w:p>
        </w:tc>
        <w:tc>
          <w:tcPr>
            <w:tcW w:w="1945" w:type="dxa"/>
            <w:tcBorders>
              <w:left w:val="single" w:sz="4" w:space="0" w:color="86BC25" w:themeColor="accent1"/>
            </w:tcBorders>
            <w:vAlign w:val="center"/>
          </w:tcPr>
          <w:p w14:paraId="0F46C192"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18,45</w:t>
            </w:r>
          </w:p>
        </w:tc>
        <w:tc>
          <w:tcPr>
            <w:tcW w:w="1738" w:type="dxa"/>
            <w:tcBorders>
              <w:left w:val="single" w:sz="4" w:space="0" w:color="86BC25" w:themeColor="accent1"/>
            </w:tcBorders>
            <w:shd w:val="clear" w:color="auto" w:fill="D0EC9F"/>
            <w:vAlign w:val="center"/>
          </w:tcPr>
          <w:p w14:paraId="287CB171"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DF41FD" w:rsidRPr="00DD6590" w14:paraId="3D908947" w14:textId="77777777" w:rsidTr="00847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6" w:type="dxa"/>
            <w:vMerge w:val="restart"/>
            <w:tcBorders>
              <w:right w:val="single" w:sz="4" w:space="0" w:color="86BC25" w:themeColor="accent1"/>
            </w:tcBorders>
            <w:vAlign w:val="center"/>
          </w:tcPr>
          <w:p w14:paraId="45FFF7A0" w14:textId="77777777" w:rsidR="00DF41FD" w:rsidRPr="00DD6590" w:rsidRDefault="00DF41FD" w:rsidP="00EC0331">
            <w:pPr>
              <w:spacing w:before="60" w:after="0" w:line="240" w:lineRule="auto"/>
              <w:rPr>
                <w:rFonts w:asciiTheme="minorHAnsi" w:hAnsiTheme="minorHAnsi"/>
                <w:sz w:val="16"/>
                <w:szCs w:val="16"/>
              </w:rPr>
            </w:pPr>
            <w:r w:rsidRPr="00DD6590">
              <w:rPr>
                <w:rFonts w:asciiTheme="minorHAnsi" w:hAnsiTheme="minorHAnsi"/>
                <w:sz w:val="16"/>
                <w:szCs w:val="16"/>
              </w:rPr>
              <w:lastRenderedPageBreak/>
              <w:t>PO4</w:t>
            </w:r>
          </w:p>
        </w:tc>
        <w:tc>
          <w:tcPr>
            <w:tcW w:w="1469" w:type="dxa"/>
            <w:tcBorders>
              <w:right w:val="single" w:sz="4" w:space="0" w:color="86BC25" w:themeColor="accent1"/>
            </w:tcBorders>
            <w:vAlign w:val="center"/>
          </w:tcPr>
          <w:p w14:paraId="07CB82FB" w14:textId="77777777" w:rsidR="00DF41FD" w:rsidRPr="00DD6590" w:rsidRDefault="00DF41FD"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Finančný ukazovateľ</w:t>
            </w:r>
          </w:p>
        </w:tc>
        <w:tc>
          <w:tcPr>
            <w:tcW w:w="1822" w:type="dxa"/>
            <w:tcBorders>
              <w:left w:val="single" w:sz="4" w:space="0" w:color="86BC25" w:themeColor="accent1"/>
              <w:right w:val="single" w:sz="4" w:space="0" w:color="86BC25" w:themeColor="accent1"/>
            </w:tcBorders>
            <w:vAlign w:val="center"/>
          </w:tcPr>
          <w:p w14:paraId="256C8019" w14:textId="77777777" w:rsidR="00DF41FD" w:rsidRPr="00DD6590" w:rsidRDefault="00DF41FD" w:rsidP="00EC0331">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Celková suma oprávnených výdavkov po ich certifikácii CO a predložení ŽoP na EK</w:t>
            </w:r>
          </w:p>
        </w:tc>
        <w:tc>
          <w:tcPr>
            <w:tcW w:w="1010" w:type="dxa"/>
            <w:tcBorders>
              <w:left w:val="single" w:sz="4" w:space="0" w:color="86BC25" w:themeColor="accent1"/>
              <w:right w:val="single" w:sz="4" w:space="0" w:color="86BC25" w:themeColor="accent1"/>
            </w:tcBorders>
            <w:vAlign w:val="center"/>
          </w:tcPr>
          <w:p w14:paraId="4E7AF94D" w14:textId="77777777" w:rsidR="00DF41FD" w:rsidRPr="00DD6590" w:rsidRDefault="00DF41FD"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EUR</w:t>
            </w:r>
          </w:p>
        </w:tc>
        <w:tc>
          <w:tcPr>
            <w:tcW w:w="855" w:type="dxa"/>
            <w:tcBorders>
              <w:left w:val="single" w:sz="4" w:space="0" w:color="86BC25" w:themeColor="accent1"/>
              <w:right w:val="single" w:sz="4" w:space="0" w:color="86BC25" w:themeColor="accent1"/>
            </w:tcBorders>
            <w:vAlign w:val="center"/>
          </w:tcPr>
          <w:p w14:paraId="5EBADDFB" w14:textId="77777777" w:rsidR="00DF41FD" w:rsidRPr="00DD6590" w:rsidRDefault="00DF41FD"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137 000 000</w:t>
            </w:r>
          </w:p>
        </w:tc>
        <w:tc>
          <w:tcPr>
            <w:tcW w:w="1148" w:type="dxa"/>
            <w:tcBorders>
              <w:left w:val="single" w:sz="4" w:space="0" w:color="86BC25" w:themeColor="accent1"/>
              <w:right w:val="single" w:sz="4" w:space="0" w:color="86BC25" w:themeColor="accent1"/>
            </w:tcBorders>
            <w:vAlign w:val="center"/>
          </w:tcPr>
          <w:p w14:paraId="41E2CC50" w14:textId="77777777" w:rsidR="00DF41FD" w:rsidRPr="00DD6590" w:rsidRDefault="00DF41FD"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116 450 000</w:t>
            </w:r>
          </w:p>
        </w:tc>
        <w:tc>
          <w:tcPr>
            <w:tcW w:w="1107" w:type="dxa"/>
            <w:tcBorders>
              <w:left w:val="single" w:sz="4" w:space="0" w:color="86BC25" w:themeColor="accent1"/>
              <w:right w:val="single" w:sz="4" w:space="0" w:color="86BC25" w:themeColor="accent1"/>
            </w:tcBorders>
            <w:vAlign w:val="center"/>
          </w:tcPr>
          <w:p w14:paraId="34C4E2A5" w14:textId="77777777" w:rsidR="00DF41FD" w:rsidRPr="00DD6590" w:rsidRDefault="00DF41FD"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89 050 000</w:t>
            </w:r>
          </w:p>
        </w:tc>
        <w:tc>
          <w:tcPr>
            <w:tcW w:w="1603" w:type="dxa"/>
            <w:tcBorders>
              <w:left w:val="single" w:sz="4" w:space="0" w:color="86BC25" w:themeColor="accent1"/>
            </w:tcBorders>
            <w:vAlign w:val="center"/>
          </w:tcPr>
          <w:p w14:paraId="003795A8" w14:textId="77777777" w:rsidR="00DF41FD" w:rsidRPr="00DD6590" w:rsidRDefault="00DF41FD"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D6590">
              <w:rPr>
                <w:rFonts w:asciiTheme="minorHAnsi" w:hAnsiTheme="minorHAnsi"/>
                <w:sz w:val="16"/>
                <w:szCs w:val="16"/>
              </w:rPr>
              <w:t>485 475</w:t>
            </w:r>
            <w:r w:rsidRPr="00DD6590">
              <w:rPr>
                <w:rStyle w:val="FootnoteReference"/>
                <w:rFonts w:asciiTheme="minorHAnsi" w:hAnsiTheme="minorHAnsi"/>
                <w:sz w:val="16"/>
                <w:szCs w:val="16"/>
              </w:rPr>
              <w:footnoteReference w:id="8"/>
            </w:r>
            <w:r w:rsidRPr="00DD6590">
              <w:rPr>
                <w:rFonts w:asciiTheme="minorHAnsi" w:hAnsiTheme="minorHAnsi"/>
                <w:sz w:val="16"/>
                <w:szCs w:val="16"/>
              </w:rPr>
              <w:t xml:space="preserve"> </w:t>
            </w:r>
          </w:p>
        </w:tc>
        <w:tc>
          <w:tcPr>
            <w:tcW w:w="1945" w:type="dxa"/>
            <w:tcBorders>
              <w:left w:val="single" w:sz="4" w:space="0" w:color="86BC25" w:themeColor="accent1"/>
            </w:tcBorders>
            <w:vAlign w:val="center"/>
          </w:tcPr>
          <w:p w14:paraId="6F750CF8" w14:textId="77777777" w:rsidR="00DF41FD" w:rsidRPr="00DD6590" w:rsidRDefault="00DF41FD" w:rsidP="0075094A">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lang w:val="en-US"/>
              </w:rPr>
            </w:pPr>
            <w:r w:rsidRPr="00DD6590">
              <w:rPr>
                <w:sz w:val="16"/>
                <w:szCs w:val="16"/>
              </w:rPr>
              <w:t xml:space="preserve">149 520 170 </w:t>
            </w:r>
            <w:r w:rsidRPr="00DD6590">
              <w:rPr>
                <w:rStyle w:val="FootnoteReference"/>
                <w:color w:val="BCBCB9" w:themeColor="background2" w:themeShade="E6"/>
                <w:sz w:val="16"/>
                <w:szCs w:val="16"/>
              </w:rPr>
              <w:footnoteReference w:id="9"/>
            </w:r>
          </w:p>
        </w:tc>
        <w:tc>
          <w:tcPr>
            <w:tcW w:w="1738" w:type="dxa"/>
            <w:vMerge w:val="restart"/>
            <w:tcBorders>
              <w:left w:val="single" w:sz="4" w:space="0" w:color="86BC25" w:themeColor="accent1"/>
            </w:tcBorders>
            <w:shd w:val="clear" w:color="auto" w:fill="EF858F"/>
            <w:vAlign w:val="center"/>
          </w:tcPr>
          <w:p w14:paraId="787F761C" w14:textId="77777777" w:rsidR="00DF41FD" w:rsidRPr="00DD6590" w:rsidRDefault="00DF41FD" w:rsidP="00DF41FD">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25</w:t>
            </w:r>
            <w:r w:rsidR="004B34E8">
              <w:rPr>
                <w:sz w:val="16"/>
                <w:szCs w:val="16"/>
              </w:rPr>
              <w:t xml:space="preserve"> </w:t>
            </w:r>
            <w:r w:rsidRPr="00DD6590">
              <w:rPr>
                <w:sz w:val="16"/>
                <w:szCs w:val="16"/>
              </w:rPr>
              <w:t>%</w:t>
            </w:r>
            <w:r w:rsidRPr="00DD6590">
              <w:rPr>
                <w:rStyle w:val="FootnoteReference"/>
                <w:sz w:val="16"/>
                <w:szCs w:val="16"/>
              </w:rPr>
              <w:footnoteReference w:id="10"/>
            </w:r>
          </w:p>
          <w:p w14:paraId="4CE30DAD" w14:textId="77777777" w:rsidR="00DF41FD" w:rsidRPr="00DD6590" w:rsidRDefault="00DF41FD" w:rsidP="00DF41FD">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34 250 000</w:t>
            </w:r>
          </w:p>
        </w:tc>
      </w:tr>
      <w:tr w:rsidR="00DF41FD" w:rsidRPr="00DD6590" w14:paraId="0661E633" w14:textId="77777777" w:rsidTr="008476FF">
        <w:tc>
          <w:tcPr>
            <w:cnfStyle w:val="001000000000" w:firstRow="0" w:lastRow="0" w:firstColumn="1" w:lastColumn="0" w:oddVBand="0" w:evenVBand="0" w:oddHBand="0" w:evenHBand="0" w:firstRowFirstColumn="0" w:firstRowLastColumn="0" w:lastRowFirstColumn="0" w:lastRowLastColumn="0"/>
            <w:tcW w:w="1006" w:type="dxa"/>
            <w:vMerge/>
            <w:tcBorders>
              <w:right w:val="single" w:sz="4" w:space="0" w:color="86BC25" w:themeColor="accent1"/>
            </w:tcBorders>
            <w:vAlign w:val="center"/>
          </w:tcPr>
          <w:p w14:paraId="6CEF440E" w14:textId="77777777" w:rsidR="00DF41FD" w:rsidRPr="00DD6590" w:rsidRDefault="00DF41FD" w:rsidP="00EC0331">
            <w:pPr>
              <w:spacing w:before="60" w:after="0" w:line="240" w:lineRule="auto"/>
              <w:rPr>
                <w:sz w:val="16"/>
                <w:szCs w:val="16"/>
              </w:rPr>
            </w:pPr>
          </w:p>
        </w:tc>
        <w:tc>
          <w:tcPr>
            <w:tcW w:w="1469" w:type="dxa"/>
            <w:tcBorders>
              <w:right w:val="single" w:sz="4" w:space="0" w:color="86BC25" w:themeColor="accent1"/>
            </w:tcBorders>
            <w:vAlign w:val="center"/>
          </w:tcPr>
          <w:p w14:paraId="3212B011" w14:textId="77777777" w:rsidR="00DF41FD" w:rsidRPr="00DD6590" w:rsidRDefault="00DF41FD"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rFonts w:asciiTheme="minorHAnsi" w:hAnsiTheme="minorHAnsi"/>
                <w:sz w:val="16"/>
                <w:szCs w:val="16"/>
              </w:rPr>
              <w:t>Výstupový ukazovateľ</w:t>
            </w:r>
          </w:p>
        </w:tc>
        <w:tc>
          <w:tcPr>
            <w:tcW w:w="1822" w:type="dxa"/>
            <w:tcBorders>
              <w:left w:val="single" w:sz="4" w:space="0" w:color="86BC25" w:themeColor="accent1"/>
              <w:right w:val="single" w:sz="4" w:space="0" w:color="86BC25" w:themeColor="accent1"/>
            </w:tcBorders>
            <w:vAlign w:val="center"/>
          </w:tcPr>
          <w:p w14:paraId="11F95412" w14:textId="77777777" w:rsidR="00DF41FD" w:rsidRPr="00DD6590" w:rsidRDefault="00DF41FD" w:rsidP="00EC0331">
            <w:pPr>
              <w:spacing w:before="60" w:after="0" w:line="240"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Počet zmodernizovaných verejných prístavov na sieti TEN-T CORE</w:t>
            </w:r>
          </w:p>
        </w:tc>
        <w:tc>
          <w:tcPr>
            <w:tcW w:w="1010" w:type="dxa"/>
            <w:tcBorders>
              <w:left w:val="single" w:sz="4" w:space="0" w:color="86BC25" w:themeColor="accent1"/>
              <w:right w:val="single" w:sz="4" w:space="0" w:color="86BC25" w:themeColor="accent1"/>
            </w:tcBorders>
            <w:vAlign w:val="center"/>
          </w:tcPr>
          <w:p w14:paraId="251AEC7D" w14:textId="77777777" w:rsidR="00DF41FD" w:rsidRPr="00DD6590" w:rsidRDefault="00DF41FD"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počet</w:t>
            </w:r>
          </w:p>
        </w:tc>
        <w:tc>
          <w:tcPr>
            <w:tcW w:w="855" w:type="dxa"/>
            <w:tcBorders>
              <w:left w:val="single" w:sz="4" w:space="0" w:color="86BC25" w:themeColor="accent1"/>
              <w:right w:val="single" w:sz="4" w:space="0" w:color="86BC25" w:themeColor="accent1"/>
            </w:tcBorders>
            <w:vAlign w:val="center"/>
          </w:tcPr>
          <w:p w14:paraId="14EF48DC" w14:textId="77777777" w:rsidR="00DF41FD" w:rsidRPr="00DD6590" w:rsidRDefault="00DF41FD"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1</w:t>
            </w:r>
          </w:p>
        </w:tc>
        <w:tc>
          <w:tcPr>
            <w:tcW w:w="1148" w:type="dxa"/>
            <w:tcBorders>
              <w:left w:val="single" w:sz="4" w:space="0" w:color="86BC25" w:themeColor="accent1"/>
              <w:right w:val="single" w:sz="4" w:space="0" w:color="86BC25" w:themeColor="accent1"/>
            </w:tcBorders>
            <w:vAlign w:val="center"/>
          </w:tcPr>
          <w:p w14:paraId="3ACAE468" w14:textId="77777777" w:rsidR="00DF41FD" w:rsidRPr="00DD6590" w:rsidRDefault="00DF41FD"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1</w:t>
            </w:r>
          </w:p>
        </w:tc>
        <w:tc>
          <w:tcPr>
            <w:tcW w:w="1107" w:type="dxa"/>
            <w:tcBorders>
              <w:left w:val="single" w:sz="4" w:space="0" w:color="86BC25" w:themeColor="accent1"/>
              <w:right w:val="single" w:sz="4" w:space="0" w:color="86BC25" w:themeColor="accent1"/>
            </w:tcBorders>
            <w:vAlign w:val="center"/>
          </w:tcPr>
          <w:p w14:paraId="14A9445F" w14:textId="77777777" w:rsidR="00DF41FD" w:rsidRPr="00DD6590" w:rsidRDefault="00DF41FD"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1</w:t>
            </w:r>
          </w:p>
        </w:tc>
        <w:tc>
          <w:tcPr>
            <w:tcW w:w="1603" w:type="dxa"/>
            <w:tcBorders>
              <w:left w:val="single" w:sz="4" w:space="0" w:color="86BC25" w:themeColor="accent1"/>
            </w:tcBorders>
            <w:vAlign w:val="center"/>
          </w:tcPr>
          <w:p w14:paraId="3CB0BB24" w14:textId="77777777" w:rsidR="00DF41FD" w:rsidRPr="00DD6590" w:rsidRDefault="00DF41FD"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0</w:t>
            </w:r>
          </w:p>
        </w:tc>
        <w:tc>
          <w:tcPr>
            <w:tcW w:w="1945" w:type="dxa"/>
            <w:tcBorders>
              <w:left w:val="single" w:sz="4" w:space="0" w:color="86BC25" w:themeColor="accent1"/>
            </w:tcBorders>
            <w:vAlign w:val="center"/>
          </w:tcPr>
          <w:p w14:paraId="63082A9E" w14:textId="77777777" w:rsidR="00DF41FD" w:rsidRPr="00DD6590" w:rsidRDefault="00402CBB"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1</w:t>
            </w:r>
            <w:r w:rsidR="00DF41FD" w:rsidRPr="00DD6590">
              <w:rPr>
                <w:rStyle w:val="FootnoteReference"/>
                <w:sz w:val="16"/>
                <w:szCs w:val="16"/>
              </w:rPr>
              <w:footnoteReference w:id="11"/>
            </w:r>
          </w:p>
        </w:tc>
        <w:tc>
          <w:tcPr>
            <w:tcW w:w="1738" w:type="dxa"/>
            <w:vMerge/>
            <w:tcBorders>
              <w:left w:val="single" w:sz="4" w:space="0" w:color="86BC25" w:themeColor="accent1"/>
            </w:tcBorders>
            <w:shd w:val="clear" w:color="auto" w:fill="EF858F"/>
            <w:vAlign w:val="center"/>
          </w:tcPr>
          <w:p w14:paraId="4B57E7BC" w14:textId="77777777" w:rsidR="00DF41FD" w:rsidRPr="00DD6590" w:rsidRDefault="00DF41FD" w:rsidP="00DF41FD">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DF41FD" w:rsidRPr="00DD6590" w14:paraId="0E5BDF1B" w14:textId="77777777" w:rsidTr="00847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6" w:type="dxa"/>
            <w:vMerge/>
            <w:tcBorders>
              <w:right w:val="single" w:sz="4" w:space="0" w:color="86BC25" w:themeColor="accent1"/>
            </w:tcBorders>
            <w:vAlign w:val="center"/>
          </w:tcPr>
          <w:p w14:paraId="74C8F044" w14:textId="77777777" w:rsidR="00DF41FD" w:rsidRPr="00DD6590" w:rsidRDefault="00DF41FD" w:rsidP="00EC0331">
            <w:pPr>
              <w:spacing w:before="60" w:after="0" w:line="240" w:lineRule="auto"/>
              <w:rPr>
                <w:sz w:val="16"/>
                <w:szCs w:val="16"/>
              </w:rPr>
            </w:pPr>
          </w:p>
        </w:tc>
        <w:tc>
          <w:tcPr>
            <w:tcW w:w="1469" w:type="dxa"/>
            <w:tcBorders>
              <w:right w:val="single" w:sz="4" w:space="0" w:color="86BC25" w:themeColor="accent1"/>
            </w:tcBorders>
            <w:vAlign w:val="center"/>
          </w:tcPr>
          <w:p w14:paraId="5BB65451" w14:textId="77777777" w:rsidR="00DF41FD" w:rsidRPr="00DD6590" w:rsidRDefault="00DF41FD"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Implementačný krok</w:t>
            </w:r>
          </w:p>
        </w:tc>
        <w:tc>
          <w:tcPr>
            <w:tcW w:w="1822" w:type="dxa"/>
            <w:tcBorders>
              <w:left w:val="single" w:sz="4" w:space="0" w:color="86BC25" w:themeColor="accent1"/>
              <w:right w:val="single" w:sz="4" w:space="0" w:color="86BC25" w:themeColor="accent1"/>
            </w:tcBorders>
            <w:vAlign w:val="center"/>
          </w:tcPr>
          <w:p w14:paraId="7CCD8BC0" w14:textId="77777777" w:rsidR="00DF41FD" w:rsidRPr="00DD6590" w:rsidRDefault="00DF41FD" w:rsidP="00EC0331">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Počet vyhlásených VO na projekty verejného prístavu Bratislava v súlade s vypracovanou štúdiou realizovateľnosti</w:t>
            </w:r>
          </w:p>
        </w:tc>
        <w:tc>
          <w:tcPr>
            <w:tcW w:w="1010" w:type="dxa"/>
            <w:tcBorders>
              <w:left w:val="single" w:sz="4" w:space="0" w:color="86BC25" w:themeColor="accent1"/>
              <w:right w:val="single" w:sz="4" w:space="0" w:color="86BC25" w:themeColor="accent1"/>
            </w:tcBorders>
            <w:vAlign w:val="center"/>
          </w:tcPr>
          <w:p w14:paraId="74774D44" w14:textId="77777777" w:rsidR="00DF41FD" w:rsidRPr="00DD6590" w:rsidRDefault="00DF41FD"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počet</w:t>
            </w:r>
          </w:p>
        </w:tc>
        <w:tc>
          <w:tcPr>
            <w:tcW w:w="855" w:type="dxa"/>
            <w:tcBorders>
              <w:left w:val="single" w:sz="4" w:space="0" w:color="86BC25" w:themeColor="accent1"/>
              <w:right w:val="single" w:sz="4" w:space="0" w:color="86BC25" w:themeColor="accent1"/>
            </w:tcBorders>
            <w:vAlign w:val="center"/>
          </w:tcPr>
          <w:p w14:paraId="1FDC281C" w14:textId="77777777" w:rsidR="00DF41FD" w:rsidRPr="00DD6590" w:rsidRDefault="00DF41FD"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2</w:t>
            </w:r>
          </w:p>
        </w:tc>
        <w:tc>
          <w:tcPr>
            <w:tcW w:w="1148" w:type="dxa"/>
            <w:tcBorders>
              <w:left w:val="single" w:sz="4" w:space="0" w:color="86BC25" w:themeColor="accent1"/>
              <w:right w:val="single" w:sz="4" w:space="0" w:color="86BC25" w:themeColor="accent1"/>
            </w:tcBorders>
            <w:vAlign w:val="center"/>
          </w:tcPr>
          <w:p w14:paraId="5BFB7E21" w14:textId="77777777" w:rsidR="00DF41FD" w:rsidRPr="00DD6590" w:rsidRDefault="00DF41FD"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2</w:t>
            </w:r>
          </w:p>
        </w:tc>
        <w:tc>
          <w:tcPr>
            <w:tcW w:w="1107" w:type="dxa"/>
            <w:tcBorders>
              <w:left w:val="single" w:sz="4" w:space="0" w:color="86BC25" w:themeColor="accent1"/>
              <w:right w:val="single" w:sz="4" w:space="0" w:color="86BC25" w:themeColor="accent1"/>
            </w:tcBorders>
            <w:vAlign w:val="center"/>
          </w:tcPr>
          <w:p w14:paraId="5A22AE86" w14:textId="77777777" w:rsidR="00DF41FD" w:rsidRPr="00DD6590" w:rsidRDefault="00402CBB"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2</w:t>
            </w:r>
          </w:p>
        </w:tc>
        <w:tc>
          <w:tcPr>
            <w:tcW w:w="1603" w:type="dxa"/>
            <w:tcBorders>
              <w:left w:val="single" w:sz="4" w:space="0" w:color="86BC25" w:themeColor="accent1"/>
            </w:tcBorders>
            <w:vAlign w:val="center"/>
          </w:tcPr>
          <w:p w14:paraId="7F8E3227" w14:textId="77777777" w:rsidR="00DF41FD" w:rsidRPr="00DD6590" w:rsidRDefault="00DF41FD"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0</w:t>
            </w:r>
          </w:p>
        </w:tc>
        <w:tc>
          <w:tcPr>
            <w:tcW w:w="1945" w:type="dxa"/>
            <w:tcBorders>
              <w:left w:val="single" w:sz="4" w:space="0" w:color="86BC25" w:themeColor="accent1"/>
            </w:tcBorders>
            <w:vAlign w:val="center"/>
          </w:tcPr>
          <w:p w14:paraId="0D26FC74" w14:textId="77777777" w:rsidR="00DF41FD" w:rsidRPr="00DD6590" w:rsidRDefault="00DF41FD"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2</w:t>
            </w:r>
          </w:p>
        </w:tc>
        <w:tc>
          <w:tcPr>
            <w:tcW w:w="1738" w:type="dxa"/>
            <w:vMerge/>
            <w:tcBorders>
              <w:left w:val="single" w:sz="4" w:space="0" w:color="86BC25" w:themeColor="accent1"/>
            </w:tcBorders>
            <w:shd w:val="clear" w:color="auto" w:fill="EF858F"/>
            <w:vAlign w:val="center"/>
          </w:tcPr>
          <w:p w14:paraId="2BAFB267" w14:textId="77777777" w:rsidR="00DF41FD" w:rsidRPr="00DD6590" w:rsidRDefault="00DF41FD" w:rsidP="00DF41FD">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p>
        </w:tc>
      </w:tr>
      <w:tr w:rsidR="007A3B2F" w:rsidRPr="00DD6590" w14:paraId="09084454" w14:textId="77777777" w:rsidTr="008476FF">
        <w:tc>
          <w:tcPr>
            <w:cnfStyle w:val="001000000000" w:firstRow="0" w:lastRow="0" w:firstColumn="1" w:lastColumn="0" w:oddVBand="0" w:evenVBand="0" w:oddHBand="0" w:evenHBand="0" w:firstRowFirstColumn="0" w:firstRowLastColumn="0" w:lastRowFirstColumn="0" w:lastRowLastColumn="0"/>
            <w:tcW w:w="1006" w:type="dxa"/>
            <w:vMerge w:val="restart"/>
            <w:tcBorders>
              <w:right w:val="single" w:sz="4" w:space="0" w:color="86BC25" w:themeColor="accent1"/>
            </w:tcBorders>
            <w:vAlign w:val="center"/>
          </w:tcPr>
          <w:p w14:paraId="758ABF6F" w14:textId="77777777" w:rsidR="007A3B2F" w:rsidRPr="00DD6590" w:rsidRDefault="007A3B2F" w:rsidP="00EC0331">
            <w:pPr>
              <w:spacing w:before="60" w:after="0" w:line="240" w:lineRule="auto"/>
              <w:rPr>
                <w:sz w:val="16"/>
                <w:szCs w:val="16"/>
              </w:rPr>
            </w:pPr>
            <w:r w:rsidRPr="00DD6590">
              <w:rPr>
                <w:sz w:val="16"/>
                <w:szCs w:val="16"/>
              </w:rPr>
              <w:t>PO5</w:t>
            </w:r>
          </w:p>
        </w:tc>
        <w:tc>
          <w:tcPr>
            <w:tcW w:w="1469" w:type="dxa"/>
            <w:tcBorders>
              <w:right w:val="single" w:sz="4" w:space="0" w:color="86BC25" w:themeColor="accent1"/>
            </w:tcBorders>
            <w:vAlign w:val="center"/>
          </w:tcPr>
          <w:p w14:paraId="66DF011B" w14:textId="77777777" w:rsidR="007A3B2F" w:rsidRPr="00DD6590" w:rsidRDefault="007A3B2F"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rFonts w:asciiTheme="minorHAnsi" w:hAnsiTheme="minorHAnsi"/>
                <w:sz w:val="16"/>
                <w:szCs w:val="16"/>
              </w:rPr>
              <w:t>Finančný ukazovateľ</w:t>
            </w:r>
          </w:p>
        </w:tc>
        <w:tc>
          <w:tcPr>
            <w:tcW w:w="1822" w:type="dxa"/>
            <w:tcBorders>
              <w:left w:val="single" w:sz="4" w:space="0" w:color="86BC25" w:themeColor="accent1"/>
              <w:right w:val="single" w:sz="4" w:space="0" w:color="86BC25" w:themeColor="accent1"/>
            </w:tcBorders>
            <w:vAlign w:val="center"/>
          </w:tcPr>
          <w:p w14:paraId="143A4559" w14:textId="77777777" w:rsidR="007A3B2F" w:rsidRPr="00DD6590" w:rsidRDefault="007A3B2F" w:rsidP="00EC0331">
            <w:pPr>
              <w:spacing w:before="60" w:after="0" w:line="240"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DD6590">
              <w:rPr>
                <w:rFonts w:asciiTheme="minorHAnsi" w:hAnsiTheme="minorHAnsi"/>
                <w:sz w:val="16"/>
                <w:szCs w:val="16"/>
              </w:rPr>
              <w:t>Celková suma oprávnených výdavkov po ich certifikácii CO a predložení ŽoP na EK</w:t>
            </w:r>
          </w:p>
        </w:tc>
        <w:tc>
          <w:tcPr>
            <w:tcW w:w="1010" w:type="dxa"/>
            <w:tcBorders>
              <w:left w:val="single" w:sz="4" w:space="0" w:color="86BC25" w:themeColor="accent1"/>
              <w:right w:val="single" w:sz="4" w:space="0" w:color="86BC25" w:themeColor="accent1"/>
            </w:tcBorders>
            <w:vAlign w:val="center"/>
          </w:tcPr>
          <w:p w14:paraId="1A832753" w14:textId="77777777" w:rsidR="007A3B2F" w:rsidRPr="00DD6590" w:rsidRDefault="007A3B2F"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EUR</w:t>
            </w:r>
          </w:p>
        </w:tc>
        <w:tc>
          <w:tcPr>
            <w:tcW w:w="855" w:type="dxa"/>
            <w:tcBorders>
              <w:left w:val="single" w:sz="4" w:space="0" w:color="86BC25" w:themeColor="accent1"/>
              <w:right w:val="single" w:sz="4" w:space="0" w:color="86BC25" w:themeColor="accent1"/>
            </w:tcBorders>
            <w:vAlign w:val="center"/>
          </w:tcPr>
          <w:p w14:paraId="34885346" w14:textId="77777777" w:rsidR="007A3B2F" w:rsidRPr="00DD6590" w:rsidRDefault="007A3B2F"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332 037 915</w:t>
            </w:r>
          </w:p>
        </w:tc>
        <w:tc>
          <w:tcPr>
            <w:tcW w:w="1148" w:type="dxa"/>
            <w:tcBorders>
              <w:left w:val="single" w:sz="4" w:space="0" w:color="86BC25" w:themeColor="accent1"/>
              <w:right w:val="single" w:sz="4" w:space="0" w:color="86BC25" w:themeColor="accent1"/>
            </w:tcBorders>
            <w:vAlign w:val="center"/>
          </w:tcPr>
          <w:p w14:paraId="6CEF8024" w14:textId="77777777" w:rsidR="007A3B2F" w:rsidRPr="00DD6590" w:rsidRDefault="007A3B2F"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282 232 227</w:t>
            </w:r>
          </w:p>
        </w:tc>
        <w:tc>
          <w:tcPr>
            <w:tcW w:w="1107" w:type="dxa"/>
            <w:tcBorders>
              <w:left w:val="single" w:sz="4" w:space="0" w:color="86BC25" w:themeColor="accent1"/>
              <w:right w:val="single" w:sz="4" w:space="0" w:color="86BC25" w:themeColor="accent1"/>
            </w:tcBorders>
            <w:vAlign w:val="center"/>
          </w:tcPr>
          <w:p w14:paraId="3B13CB81" w14:textId="77777777" w:rsidR="007A3B2F" w:rsidRPr="00DD6590" w:rsidRDefault="007A3B2F"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215 824 645</w:t>
            </w:r>
          </w:p>
        </w:tc>
        <w:tc>
          <w:tcPr>
            <w:tcW w:w="1603" w:type="dxa"/>
            <w:tcBorders>
              <w:left w:val="single" w:sz="4" w:space="0" w:color="86BC25" w:themeColor="accent1"/>
            </w:tcBorders>
            <w:vAlign w:val="center"/>
          </w:tcPr>
          <w:p w14:paraId="0172F965" w14:textId="77777777" w:rsidR="007A3B2F" w:rsidRPr="00DD6590" w:rsidRDefault="007A3B2F"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101 105 050</w:t>
            </w:r>
            <w:r w:rsidRPr="00DD6590">
              <w:rPr>
                <w:rStyle w:val="FootnoteReference"/>
                <w:sz w:val="16"/>
                <w:szCs w:val="16"/>
              </w:rPr>
              <w:footnoteReference w:id="12"/>
            </w:r>
          </w:p>
        </w:tc>
        <w:tc>
          <w:tcPr>
            <w:tcW w:w="1945" w:type="dxa"/>
            <w:tcBorders>
              <w:left w:val="single" w:sz="4" w:space="0" w:color="86BC25" w:themeColor="accent1"/>
            </w:tcBorders>
            <w:vAlign w:val="center"/>
          </w:tcPr>
          <w:p w14:paraId="32D64FE4" w14:textId="77777777" w:rsidR="007A3B2F" w:rsidRPr="00DD6590" w:rsidRDefault="007A3B2F"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332 037 915</w:t>
            </w:r>
          </w:p>
        </w:tc>
        <w:tc>
          <w:tcPr>
            <w:tcW w:w="1738" w:type="dxa"/>
            <w:vMerge w:val="restart"/>
            <w:tcBorders>
              <w:left w:val="single" w:sz="4" w:space="0" w:color="86BC25" w:themeColor="accent1"/>
            </w:tcBorders>
            <w:shd w:val="clear" w:color="auto" w:fill="FFD653"/>
            <w:vAlign w:val="center"/>
          </w:tcPr>
          <w:p w14:paraId="62C39A25" w14:textId="77777777" w:rsidR="007A3B2F" w:rsidRPr="00DD6590" w:rsidRDefault="007A3B2F"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5</w:t>
            </w:r>
            <w:r w:rsidR="004B34E8">
              <w:rPr>
                <w:sz w:val="16"/>
                <w:szCs w:val="16"/>
              </w:rPr>
              <w:t xml:space="preserve"> </w:t>
            </w:r>
            <w:r w:rsidRPr="00DD6590">
              <w:rPr>
                <w:sz w:val="16"/>
                <w:szCs w:val="16"/>
              </w:rPr>
              <w:t>%</w:t>
            </w:r>
          </w:p>
          <w:p w14:paraId="04FD6B41" w14:textId="77777777" w:rsidR="007A3B2F" w:rsidRPr="00DD6590" w:rsidRDefault="007A3B2F"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16 601 896</w:t>
            </w:r>
          </w:p>
        </w:tc>
      </w:tr>
      <w:tr w:rsidR="007A3B2F" w:rsidRPr="00DD6590" w14:paraId="1520CFC6" w14:textId="77777777" w:rsidTr="00847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6" w:type="dxa"/>
            <w:vMerge/>
            <w:tcBorders>
              <w:right w:val="single" w:sz="4" w:space="0" w:color="86BC25" w:themeColor="accent1"/>
            </w:tcBorders>
            <w:vAlign w:val="center"/>
          </w:tcPr>
          <w:p w14:paraId="1D320855" w14:textId="77777777" w:rsidR="007A3B2F" w:rsidRPr="00DD6590" w:rsidRDefault="007A3B2F" w:rsidP="00EC0331">
            <w:pPr>
              <w:spacing w:before="60" w:after="0" w:line="240" w:lineRule="auto"/>
              <w:rPr>
                <w:sz w:val="16"/>
                <w:szCs w:val="16"/>
              </w:rPr>
            </w:pPr>
          </w:p>
        </w:tc>
        <w:tc>
          <w:tcPr>
            <w:tcW w:w="1469" w:type="dxa"/>
            <w:tcBorders>
              <w:right w:val="single" w:sz="4" w:space="0" w:color="86BC25" w:themeColor="accent1"/>
            </w:tcBorders>
            <w:vAlign w:val="center"/>
          </w:tcPr>
          <w:p w14:paraId="2376791A" w14:textId="77777777" w:rsidR="007A3B2F" w:rsidRPr="00DD6590" w:rsidRDefault="007A3B2F"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rFonts w:asciiTheme="minorHAnsi" w:hAnsiTheme="minorHAnsi"/>
                <w:sz w:val="16"/>
                <w:szCs w:val="16"/>
              </w:rPr>
              <w:t>Výstupový ukazovateľ</w:t>
            </w:r>
          </w:p>
        </w:tc>
        <w:tc>
          <w:tcPr>
            <w:tcW w:w="1822" w:type="dxa"/>
            <w:tcBorders>
              <w:left w:val="single" w:sz="4" w:space="0" w:color="86BC25" w:themeColor="accent1"/>
              <w:right w:val="single" w:sz="4" w:space="0" w:color="86BC25" w:themeColor="accent1"/>
            </w:tcBorders>
            <w:vAlign w:val="center"/>
          </w:tcPr>
          <w:p w14:paraId="13109438" w14:textId="77777777" w:rsidR="007A3B2F" w:rsidRPr="00DD6590" w:rsidRDefault="007A3B2F" w:rsidP="00EC0331">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Celková dĺžka rekonštruovanej alebo zrenovovanej železničnej trate</w:t>
            </w:r>
          </w:p>
        </w:tc>
        <w:tc>
          <w:tcPr>
            <w:tcW w:w="1010" w:type="dxa"/>
            <w:tcBorders>
              <w:left w:val="single" w:sz="4" w:space="0" w:color="86BC25" w:themeColor="accent1"/>
              <w:right w:val="single" w:sz="4" w:space="0" w:color="86BC25" w:themeColor="accent1"/>
            </w:tcBorders>
            <w:vAlign w:val="center"/>
          </w:tcPr>
          <w:p w14:paraId="7E12DD8A" w14:textId="77777777" w:rsidR="007A3B2F" w:rsidRPr="00DD6590" w:rsidRDefault="007A3B2F"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km</w:t>
            </w:r>
          </w:p>
        </w:tc>
        <w:tc>
          <w:tcPr>
            <w:tcW w:w="855" w:type="dxa"/>
            <w:tcBorders>
              <w:left w:val="single" w:sz="4" w:space="0" w:color="86BC25" w:themeColor="accent1"/>
              <w:right w:val="single" w:sz="4" w:space="0" w:color="86BC25" w:themeColor="accent1"/>
            </w:tcBorders>
            <w:vAlign w:val="center"/>
          </w:tcPr>
          <w:p w14:paraId="34C9F5FD" w14:textId="77777777" w:rsidR="007A3B2F" w:rsidRPr="00DD6590" w:rsidRDefault="007A3B2F"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54,5</w:t>
            </w:r>
          </w:p>
        </w:tc>
        <w:tc>
          <w:tcPr>
            <w:tcW w:w="1148" w:type="dxa"/>
            <w:tcBorders>
              <w:left w:val="single" w:sz="4" w:space="0" w:color="86BC25" w:themeColor="accent1"/>
              <w:right w:val="single" w:sz="4" w:space="0" w:color="86BC25" w:themeColor="accent1"/>
            </w:tcBorders>
            <w:vAlign w:val="center"/>
          </w:tcPr>
          <w:p w14:paraId="42EEB251" w14:textId="77777777" w:rsidR="007A3B2F" w:rsidRPr="00DD6590" w:rsidRDefault="007A3B2F"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46,33</w:t>
            </w:r>
          </w:p>
        </w:tc>
        <w:tc>
          <w:tcPr>
            <w:tcW w:w="1107" w:type="dxa"/>
            <w:tcBorders>
              <w:left w:val="single" w:sz="4" w:space="0" w:color="86BC25" w:themeColor="accent1"/>
              <w:right w:val="single" w:sz="4" w:space="0" w:color="86BC25" w:themeColor="accent1"/>
            </w:tcBorders>
            <w:vAlign w:val="center"/>
          </w:tcPr>
          <w:p w14:paraId="5A3BAB3C" w14:textId="77777777" w:rsidR="007A3B2F" w:rsidRPr="00DD6590" w:rsidRDefault="007A3B2F"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35,43</w:t>
            </w:r>
          </w:p>
        </w:tc>
        <w:tc>
          <w:tcPr>
            <w:tcW w:w="1603" w:type="dxa"/>
            <w:tcBorders>
              <w:left w:val="single" w:sz="4" w:space="0" w:color="86BC25" w:themeColor="accent1"/>
            </w:tcBorders>
            <w:vAlign w:val="center"/>
          </w:tcPr>
          <w:p w14:paraId="3E250685" w14:textId="77777777" w:rsidR="007A3B2F" w:rsidRPr="00DD6590" w:rsidRDefault="007A3B2F"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0</w:t>
            </w:r>
          </w:p>
        </w:tc>
        <w:tc>
          <w:tcPr>
            <w:tcW w:w="1945" w:type="dxa"/>
            <w:tcBorders>
              <w:left w:val="single" w:sz="4" w:space="0" w:color="86BC25" w:themeColor="accent1"/>
            </w:tcBorders>
            <w:vAlign w:val="center"/>
          </w:tcPr>
          <w:p w14:paraId="2D780179" w14:textId="77777777" w:rsidR="007A3B2F" w:rsidRPr="00DD6590" w:rsidRDefault="00C0558D"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59,9</w:t>
            </w:r>
            <w:r w:rsidR="007A3B2F" w:rsidRPr="00DD6590">
              <w:rPr>
                <w:rStyle w:val="FootnoteReference"/>
                <w:sz w:val="16"/>
                <w:szCs w:val="16"/>
              </w:rPr>
              <w:footnoteReference w:id="13"/>
            </w:r>
          </w:p>
        </w:tc>
        <w:tc>
          <w:tcPr>
            <w:tcW w:w="1738" w:type="dxa"/>
            <w:vMerge/>
            <w:tcBorders>
              <w:left w:val="single" w:sz="4" w:space="0" w:color="86BC25" w:themeColor="accent1"/>
            </w:tcBorders>
            <w:shd w:val="clear" w:color="auto" w:fill="FFD653"/>
            <w:vAlign w:val="center"/>
          </w:tcPr>
          <w:p w14:paraId="6FDD3AAC" w14:textId="77777777" w:rsidR="007A3B2F" w:rsidRPr="00DD6590" w:rsidRDefault="007A3B2F"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p>
        </w:tc>
      </w:tr>
      <w:tr w:rsidR="00EC0331" w:rsidRPr="00DD6590" w14:paraId="578BEAF0" w14:textId="77777777" w:rsidTr="008476FF">
        <w:tc>
          <w:tcPr>
            <w:cnfStyle w:val="001000000000" w:firstRow="0" w:lastRow="0" w:firstColumn="1" w:lastColumn="0" w:oddVBand="0" w:evenVBand="0" w:oddHBand="0" w:evenHBand="0" w:firstRowFirstColumn="0" w:firstRowLastColumn="0" w:lastRowFirstColumn="0" w:lastRowLastColumn="0"/>
            <w:tcW w:w="1006" w:type="dxa"/>
            <w:vMerge/>
            <w:tcBorders>
              <w:right w:val="single" w:sz="4" w:space="0" w:color="86BC25" w:themeColor="accent1"/>
            </w:tcBorders>
            <w:vAlign w:val="center"/>
          </w:tcPr>
          <w:p w14:paraId="26CF9900" w14:textId="77777777" w:rsidR="00EC0331" w:rsidRPr="00DD6590" w:rsidRDefault="00EC0331" w:rsidP="00EC0331">
            <w:pPr>
              <w:spacing w:before="60" w:after="0" w:line="240" w:lineRule="auto"/>
              <w:rPr>
                <w:sz w:val="16"/>
                <w:szCs w:val="16"/>
              </w:rPr>
            </w:pPr>
          </w:p>
        </w:tc>
        <w:tc>
          <w:tcPr>
            <w:tcW w:w="1469" w:type="dxa"/>
            <w:tcBorders>
              <w:right w:val="single" w:sz="4" w:space="0" w:color="86BC25" w:themeColor="accent1"/>
            </w:tcBorders>
            <w:vAlign w:val="center"/>
          </w:tcPr>
          <w:p w14:paraId="052D6614"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rFonts w:asciiTheme="minorHAnsi" w:hAnsiTheme="minorHAnsi"/>
                <w:sz w:val="16"/>
                <w:szCs w:val="16"/>
              </w:rPr>
              <w:t>Výstupový ukazovateľ</w:t>
            </w:r>
          </w:p>
        </w:tc>
        <w:tc>
          <w:tcPr>
            <w:tcW w:w="1822" w:type="dxa"/>
            <w:tcBorders>
              <w:left w:val="single" w:sz="4" w:space="0" w:color="86BC25" w:themeColor="accent1"/>
              <w:right w:val="single" w:sz="4" w:space="0" w:color="86BC25" w:themeColor="accent1"/>
            </w:tcBorders>
            <w:vAlign w:val="center"/>
          </w:tcPr>
          <w:p w14:paraId="39B1AEE9" w14:textId="77777777" w:rsidR="00EC0331" w:rsidRPr="00DD6590" w:rsidRDefault="00EC0331" w:rsidP="00EC0331">
            <w:pPr>
              <w:spacing w:before="60" w:after="0" w:line="240"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 xml:space="preserve">Počet lokalít s odstránením environmentálnej záťaže spôsobenej </w:t>
            </w:r>
            <w:r w:rsidRPr="00DD6590">
              <w:rPr>
                <w:sz w:val="16"/>
                <w:szCs w:val="16"/>
              </w:rPr>
              <w:lastRenderedPageBreak/>
              <w:t>prevádzkou železničnej dopravy</w:t>
            </w:r>
          </w:p>
        </w:tc>
        <w:tc>
          <w:tcPr>
            <w:tcW w:w="1010" w:type="dxa"/>
            <w:tcBorders>
              <w:left w:val="single" w:sz="4" w:space="0" w:color="86BC25" w:themeColor="accent1"/>
              <w:right w:val="single" w:sz="4" w:space="0" w:color="86BC25" w:themeColor="accent1"/>
            </w:tcBorders>
            <w:vAlign w:val="center"/>
          </w:tcPr>
          <w:p w14:paraId="708FE979"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lastRenderedPageBreak/>
              <w:t>počet</w:t>
            </w:r>
          </w:p>
        </w:tc>
        <w:tc>
          <w:tcPr>
            <w:tcW w:w="855" w:type="dxa"/>
            <w:tcBorders>
              <w:left w:val="single" w:sz="4" w:space="0" w:color="86BC25" w:themeColor="accent1"/>
              <w:right w:val="single" w:sz="4" w:space="0" w:color="86BC25" w:themeColor="accent1"/>
            </w:tcBorders>
            <w:vAlign w:val="center"/>
          </w:tcPr>
          <w:p w14:paraId="5BFCB613"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3</w:t>
            </w:r>
          </w:p>
        </w:tc>
        <w:tc>
          <w:tcPr>
            <w:tcW w:w="1148" w:type="dxa"/>
            <w:tcBorders>
              <w:left w:val="single" w:sz="4" w:space="0" w:color="86BC25" w:themeColor="accent1"/>
              <w:right w:val="single" w:sz="4" w:space="0" w:color="86BC25" w:themeColor="accent1"/>
            </w:tcBorders>
            <w:vAlign w:val="center"/>
          </w:tcPr>
          <w:p w14:paraId="08E1DF22" w14:textId="77777777" w:rsidR="00EC0331" w:rsidRPr="00DD6590" w:rsidRDefault="00402CBB"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8</w:t>
            </w:r>
          </w:p>
        </w:tc>
        <w:tc>
          <w:tcPr>
            <w:tcW w:w="1107" w:type="dxa"/>
            <w:tcBorders>
              <w:left w:val="single" w:sz="4" w:space="0" w:color="86BC25" w:themeColor="accent1"/>
              <w:right w:val="single" w:sz="4" w:space="0" w:color="86BC25" w:themeColor="accent1"/>
            </w:tcBorders>
            <w:vAlign w:val="center"/>
          </w:tcPr>
          <w:p w14:paraId="5C39C1DD"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2</w:t>
            </w:r>
          </w:p>
        </w:tc>
        <w:tc>
          <w:tcPr>
            <w:tcW w:w="1603" w:type="dxa"/>
            <w:tcBorders>
              <w:left w:val="single" w:sz="4" w:space="0" w:color="86BC25" w:themeColor="accent1"/>
            </w:tcBorders>
            <w:vAlign w:val="center"/>
          </w:tcPr>
          <w:p w14:paraId="2ECF2310"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3</w:t>
            </w:r>
            <w:r w:rsidRPr="00DD6590">
              <w:rPr>
                <w:rStyle w:val="FootnoteReference"/>
                <w:sz w:val="16"/>
                <w:szCs w:val="16"/>
              </w:rPr>
              <w:footnoteReference w:id="14"/>
            </w:r>
          </w:p>
        </w:tc>
        <w:tc>
          <w:tcPr>
            <w:tcW w:w="1945" w:type="dxa"/>
            <w:tcBorders>
              <w:left w:val="single" w:sz="4" w:space="0" w:color="86BC25" w:themeColor="accent1"/>
            </w:tcBorders>
            <w:vAlign w:val="center"/>
          </w:tcPr>
          <w:p w14:paraId="5B80E63E" w14:textId="77777777" w:rsidR="00EC0331" w:rsidRPr="00DD6590" w:rsidRDefault="000A3D42"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3</w:t>
            </w:r>
          </w:p>
        </w:tc>
        <w:tc>
          <w:tcPr>
            <w:tcW w:w="1738" w:type="dxa"/>
            <w:tcBorders>
              <w:left w:val="single" w:sz="4" w:space="0" w:color="86BC25" w:themeColor="accent1"/>
            </w:tcBorders>
            <w:shd w:val="clear" w:color="auto" w:fill="D0EC9F"/>
            <w:vAlign w:val="center"/>
          </w:tcPr>
          <w:p w14:paraId="7B0DB2A9"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EC0331" w:rsidRPr="00DD6590" w14:paraId="01885993" w14:textId="77777777" w:rsidTr="00847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6" w:type="dxa"/>
            <w:vMerge w:val="restart"/>
            <w:tcBorders>
              <w:right w:val="single" w:sz="4" w:space="0" w:color="86BC25" w:themeColor="accent1"/>
            </w:tcBorders>
            <w:vAlign w:val="center"/>
          </w:tcPr>
          <w:p w14:paraId="2DC0E89B" w14:textId="77777777" w:rsidR="00EC0331" w:rsidRPr="00DD6590" w:rsidRDefault="00EC0331" w:rsidP="00EC0331">
            <w:pPr>
              <w:spacing w:before="60" w:after="0" w:line="240" w:lineRule="auto"/>
              <w:rPr>
                <w:sz w:val="16"/>
                <w:szCs w:val="16"/>
              </w:rPr>
            </w:pPr>
            <w:r w:rsidRPr="00DD6590">
              <w:rPr>
                <w:sz w:val="16"/>
                <w:szCs w:val="16"/>
              </w:rPr>
              <w:t>PO6</w:t>
            </w:r>
          </w:p>
        </w:tc>
        <w:tc>
          <w:tcPr>
            <w:tcW w:w="1469" w:type="dxa"/>
            <w:tcBorders>
              <w:right w:val="single" w:sz="4" w:space="0" w:color="86BC25" w:themeColor="accent1"/>
            </w:tcBorders>
            <w:vAlign w:val="center"/>
          </w:tcPr>
          <w:p w14:paraId="5CA85FF8"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rFonts w:asciiTheme="minorHAnsi" w:hAnsiTheme="minorHAnsi"/>
                <w:sz w:val="16"/>
                <w:szCs w:val="16"/>
              </w:rPr>
              <w:t>Finančný ukazovateľ</w:t>
            </w:r>
          </w:p>
        </w:tc>
        <w:tc>
          <w:tcPr>
            <w:tcW w:w="1822" w:type="dxa"/>
            <w:tcBorders>
              <w:left w:val="single" w:sz="4" w:space="0" w:color="86BC25" w:themeColor="accent1"/>
              <w:right w:val="single" w:sz="4" w:space="0" w:color="86BC25" w:themeColor="accent1"/>
            </w:tcBorders>
            <w:vAlign w:val="center"/>
          </w:tcPr>
          <w:p w14:paraId="427688E2" w14:textId="77777777" w:rsidR="00EC0331" w:rsidRPr="00DD6590" w:rsidRDefault="00EC0331" w:rsidP="00EC0331">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sz w:val="16"/>
                <w:szCs w:val="16"/>
              </w:rPr>
            </w:pPr>
            <w:r w:rsidRPr="00DD6590">
              <w:rPr>
                <w:rFonts w:asciiTheme="minorHAnsi" w:hAnsiTheme="minorHAnsi"/>
                <w:sz w:val="16"/>
                <w:szCs w:val="16"/>
              </w:rPr>
              <w:t>Celková suma oprávnených výdavkov po ich certifikácii CO a predložení ŽoP na EK</w:t>
            </w:r>
          </w:p>
        </w:tc>
        <w:tc>
          <w:tcPr>
            <w:tcW w:w="1010" w:type="dxa"/>
            <w:tcBorders>
              <w:left w:val="single" w:sz="4" w:space="0" w:color="86BC25" w:themeColor="accent1"/>
              <w:right w:val="single" w:sz="4" w:space="0" w:color="86BC25" w:themeColor="accent1"/>
            </w:tcBorders>
            <w:vAlign w:val="center"/>
          </w:tcPr>
          <w:p w14:paraId="586E0D22"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EUR</w:t>
            </w:r>
          </w:p>
        </w:tc>
        <w:tc>
          <w:tcPr>
            <w:tcW w:w="855" w:type="dxa"/>
            <w:tcBorders>
              <w:left w:val="single" w:sz="4" w:space="0" w:color="86BC25" w:themeColor="accent1"/>
              <w:right w:val="single" w:sz="4" w:space="0" w:color="86BC25" w:themeColor="accent1"/>
            </w:tcBorders>
            <w:vAlign w:val="center"/>
          </w:tcPr>
          <w:p w14:paraId="10FAB2B0"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570 302 622</w:t>
            </w:r>
          </w:p>
        </w:tc>
        <w:tc>
          <w:tcPr>
            <w:tcW w:w="1148" w:type="dxa"/>
            <w:tcBorders>
              <w:left w:val="single" w:sz="4" w:space="0" w:color="86BC25" w:themeColor="accent1"/>
              <w:right w:val="single" w:sz="4" w:space="0" w:color="86BC25" w:themeColor="accent1"/>
            </w:tcBorders>
            <w:vAlign w:val="center"/>
          </w:tcPr>
          <w:p w14:paraId="7CA5BB89"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484 757 228</w:t>
            </w:r>
          </w:p>
        </w:tc>
        <w:tc>
          <w:tcPr>
            <w:tcW w:w="1107" w:type="dxa"/>
            <w:tcBorders>
              <w:left w:val="single" w:sz="4" w:space="0" w:color="86BC25" w:themeColor="accent1"/>
              <w:right w:val="single" w:sz="4" w:space="0" w:color="86BC25" w:themeColor="accent1"/>
            </w:tcBorders>
            <w:vAlign w:val="center"/>
          </w:tcPr>
          <w:p w14:paraId="7D188069"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370 696 704</w:t>
            </w:r>
          </w:p>
        </w:tc>
        <w:tc>
          <w:tcPr>
            <w:tcW w:w="1603" w:type="dxa"/>
            <w:tcBorders>
              <w:left w:val="single" w:sz="4" w:space="0" w:color="86BC25" w:themeColor="accent1"/>
            </w:tcBorders>
            <w:vAlign w:val="center"/>
          </w:tcPr>
          <w:p w14:paraId="30032FE9"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208 798 037</w:t>
            </w:r>
          </w:p>
        </w:tc>
        <w:tc>
          <w:tcPr>
            <w:tcW w:w="1945" w:type="dxa"/>
            <w:tcBorders>
              <w:left w:val="single" w:sz="4" w:space="0" w:color="86BC25" w:themeColor="accent1"/>
            </w:tcBorders>
            <w:vAlign w:val="center"/>
          </w:tcPr>
          <w:p w14:paraId="0551C98D" w14:textId="77777777" w:rsidR="00EC0331" w:rsidRPr="00DD6590" w:rsidRDefault="000A3D42"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570 302 622</w:t>
            </w:r>
          </w:p>
        </w:tc>
        <w:tc>
          <w:tcPr>
            <w:tcW w:w="1738" w:type="dxa"/>
            <w:tcBorders>
              <w:left w:val="single" w:sz="4" w:space="0" w:color="86BC25" w:themeColor="accent1"/>
            </w:tcBorders>
            <w:shd w:val="clear" w:color="auto" w:fill="D0EC9F"/>
            <w:vAlign w:val="center"/>
          </w:tcPr>
          <w:p w14:paraId="2DADD9C6"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p>
        </w:tc>
      </w:tr>
      <w:tr w:rsidR="00EC0331" w:rsidRPr="00DD6590" w14:paraId="2DE682D1" w14:textId="77777777" w:rsidTr="008476FF">
        <w:tc>
          <w:tcPr>
            <w:cnfStyle w:val="001000000000" w:firstRow="0" w:lastRow="0" w:firstColumn="1" w:lastColumn="0" w:oddVBand="0" w:evenVBand="0" w:oddHBand="0" w:evenHBand="0" w:firstRowFirstColumn="0" w:firstRowLastColumn="0" w:lastRowFirstColumn="0" w:lastRowLastColumn="0"/>
            <w:tcW w:w="1006" w:type="dxa"/>
            <w:vMerge/>
            <w:tcBorders>
              <w:right w:val="single" w:sz="4" w:space="0" w:color="86BC25" w:themeColor="accent1"/>
            </w:tcBorders>
            <w:vAlign w:val="center"/>
          </w:tcPr>
          <w:p w14:paraId="66E10B4E" w14:textId="77777777" w:rsidR="00EC0331" w:rsidRPr="00DD6590" w:rsidRDefault="00EC0331" w:rsidP="00EC0331">
            <w:pPr>
              <w:spacing w:before="60" w:after="0" w:line="240" w:lineRule="auto"/>
              <w:rPr>
                <w:sz w:val="16"/>
                <w:szCs w:val="16"/>
              </w:rPr>
            </w:pPr>
          </w:p>
        </w:tc>
        <w:tc>
          <w:tcPr>
            <w:tcW w:w="1469" w:type="dxa"/>
            <w:tcBorders>
              <w:right w:val="single" w:sz="4" w:space="0" w:color="86BC25" w:themeColor="accent1"/>
            </w:tcBorders>
            <w:vAlign w:val="center"/>
          </w:tcPr>
          <w:p w14:paraId="627BA44C"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rFonts w:asciiTheme="minorHAnsi" w:hAnsiTheme="minorHAnsi"/>
                <w:sz w:val="16"/>
                <w:szCs w:val="16"/>
              </w:rPr>
              <w:t>Výstupový ukazovateľ</w:t>
            </w:r>
          </w:p>
        </w:tc>
        <w:tc>
          <w:tcPr>
            <w:tcW w:w="1822" w:type="dxa"/>
            <w:tcBorders>
              <w:left w:val="single" w:sz="4" w:space="0" w:color="86BC25" w:themeColor="accent1"/>
              <w:right w:val="single" w:sz="4" w:space="0" w:color="86BC25" w:themeColor="accent1"/>
            </w:tcBorders>
            <w:vAlign w:val="center"/>
          </w:tcPr>
          <w:p w14:paraId="3C5AF1AB" w14:textId="77777777" w:rsidR="00EC0331" w:rsidRPr="00DD6590" w:rsidRDefault="00EC0331" w:rsidP="00EC0331">
            <w:pPr>
              <w:spacing w:before="60" w:after="0" w:line="240"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Celková dĺžka novovybudovaných ciest</w:t>
            </w:r>
          </w:p>
        </w:tc>
        <w:tc>
          <w:tcPr>
            <w:tcW w:w="1010" w:type="dxa"/>
            <w:tcBorders>
              <w:left w:val="single" w:sz="4" w:space="0" w:color="86BC25" w:themeColor="accent1"/>
              <w:right w:val="single" w:sz="4" w:space="0" w:color="86BC25" w:themeColor="accent1"/>
            </w:tcBorders>
            <w:vAlign w:val="center"/>
          </w:tcPr>
          <w:p w14:paraId="07F602D8"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km</w:t>
            </w:r>
          </w:p>
        </w:tc>
        <w:tc>
          <w:tcPr>
            <w:tcW w:w="855" w:type="dxa"/>
            <w:tcBorders>
              <w:left w:val="single" w:sz="4" w:space="0" w:color="86BC25" w:themeColor="accent1"/>
              <w:right w:val="single" w:sz="4" w:space="0" w:color="86BC25" w:themeColor="accent1"/>
            </w:tcBorders>
            <w:vAlign w:val="center"/>
          </w:tcPr>
          <w:p w14:paraId="03D7C428"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31,75</w:t>
            </w:r>
          </w:p>
        </w:tc>
        <w:tc>
          <w:tcPr>
            <w:tcW w:w="1148" w:type="dxa"/>
            <w:tcBorders>
              <w:left w:val="single" w:sz="4" w:space="0" w:color="86BC25" w:themeColor="accent1"/>
              <w:right w:val="single" w:sz="4" w:space="0" w:color="86BC25" w:themeColor="accent1"/>
            </w:tcBorders>
            <w:vAlign w:val="center"/>
          </w:tcPr>
          <w:p w14:paraId="078CE20A"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26,99</w:t>
            </w:r>
          </w:p>
        </w:tc>
        <w:tc>
          <w:tcPr>
            <w:tcW w:w="1107" w:type="dxa"/>
            <w:tcBorders>
              <w:left w:val="single" w:sz="4" w:space="0" w:color="86BC25" w:themeColor="accent1"/>
              <w:right w:val="single" w:sz="4" w:space="0" w:color="86BC25" w:themeColor="accent1"/>
            </w:tcBorders>
            <w:vAlign w:val="center"/>
          </w:tcPr>
          <w:p w14:paraId="42C85341"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20,64</w:t>
            </w:r>
          </w:p>
        </w:tc>
        <w:tc>
          <w:tcPr>
            <w:tcW w:w="1603" w:type="dxa"/>
            <w:tcBorders>
              <w:left w:val="single" w:sz="4" w:space="0" w:color="86BC25" w:themeColor="accent1"/>
            </w:tcBorders>
            <w:vAlign w:val="center"/>
          </w:tcPr>
          <w:p w14:paraId="1A2EB23E"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6,26</w:t>
            </w:r>
          </w:p>
        </w:tc>
        <w:tc>
          <w:tcPr>
            <w:tcW w:w="1945" w:type="dxa"/>
            <w:tcBorders>
              <w:left w:val="single" w:sz="4" w:space="0" w:color="86BC25" w:themeColor="accent1"/>
            </w:tcBorders>
            <w:vAlign w:val="center"/>
          </w:tcPr>
          <w:p w14:paraId="0C78AEE5" w14:textId="77777777" w:rsidR="00EC0331" w:rsidRPr="00DD6590" w:rsidRDefault="000A3D42"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31,75</w:t>
            </w:r>
          </w:p>
        </w:tc>
        <w:tc>
          <w:tcPr>
            <w:tcW w:w="1738" w:type="dxa"/>
            <w:tcBorders>
              <w:left w:val="single" w:sz="4" w:space="0" w:color="86BC25" w:themeColor="accent1"/>
            </w:tcBorders>
            <w:shd w:val="clear" w:color="auto" w:fill="D0EC9F"/>
            <w:vAlign w:val="center"/>
          </w:tcPr>
          <w:p w14:paraId="0CDA4DC7"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EC0331" w:rsidRPr="00DD6590" w14:paraId="6473E0A2" w14:textId="77777777" w:rsidTr="00847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6" w:type="dxa"/>
            <w:vMerge w:val="restart"/>
            <w:tcBorders>
              <w:right w:val="single" w:sz="4" w:space="0" w:color="86BC25" w:themeColor="accent1"/>
            </w:tcBorders>
            <w:vAlign w:val="center"/>
          </w:tcPr>
          <w:p w14:paraId="7F355640" w14:textId="77777777" w:rsidR="00EC0331" w:rsidRPr="00DD6590" w:rsidRDefault="00EC0331" w:rsidP="00EC0331">
            <w:pPr>
              <w:spacing w:before="60" w:after="0" w:line="240" w:lineRule="auto"/>
              <w:rPr>
                <w:sz w:val="16"/>
                <w:szCs w:val="16"/>
              </w:rPr>
            </w:pPr>
            <w:r w:rsidRPr="00DD6590">
              <w:rPr>
                <w:sz w:val="16"/>
                <w:szCs w:val="16"/>
              </w:rPr>
              <w:t>PO7</w:t>
            </w:r>
          </w:p>
        </w:tc>
        <w:tc>
          <w:tcPr>
            <w:tcW w:w="1469" w:type="dxa"/>
            <w:tcBorders>
              <w:right w:val="single" w:sz="4" w:space="0" w:color="86BC25" w:themeColor="accent1"/>
            </w:tcBorders>
            <w:vAlign w:val="center"/>
          </w:tcPr>
          <w:p w14:paraId="3C3ADCA5"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rFonts w:asciiTheme="minorHAnsi" w:hAnsiTheme="minorHAnsi"/>
                <w:sz w:val="16"/>
                <w:szCs w:val="16"/>
              </w:rPr>
              <w:t>Finančný ukazovateľ</w:t>
            </w:r>
          </w:p>
        </w:tc>
        <w:tc>
          <w:tcPr>
            <w:tcW w:w="1822" w:type="dxa"/>
            <w:tcBorders>
              <w:left w:val="single" w:sz="4" w:space="0" w:color="86BC25" w:themeColor="accent1"/>
              <w:right w:val="single" w:sz="4" w:space="0" w:color="86BC25" w:themeColor="accent1"/>
            </w:tcBorders>
            <w:vAlign w:val="center"/>
          </w:tcPr>
          <w:p w14:paraId="392F8879" w14:textId="77777777" w:rsidR="00EC0331" w:rsidRPr="00DD6590" w:rsidRDefault="00EC0331" w:rsidP="00EC0331">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sz w:val="16"/>
                <w:szCs w:val="16"/>
              </w:rPr>
            </w:pPr>
            <w:r w:rsidRPr="00DD6590">
              <w:rPr>
                <w:rFonts w:asciiTheme="minorHAnsi" w:hAnsiTheme="minorHAnsi"/>
                <w:sz w:val="16"/>
                <w:szCs w:val="16"/>
              </w:rPr>
              <w:t>Celková suma oprávnených výdavkov po ich certifikácii CO a predložení ŽoP na EK</w:t>
            </w:r>
          </w:p>
        </w:tc>
        <w:tc>
          <w:tcPr>
            <w:tcW w:w="1010" w:type="dxa"/>
            <w:tcBorders>
              <w:left w:val="single" w:sz="4" w:space="0" w:color="86BC25" w:themeColor="accent1"/>
              <w:right w:val="single" w:sz="4" w:space="0" w:color="86BC25" w:themeColor="accent1"/>
            </w:tcBorders>
            <w:vAlign w:val="center"/>
          </w:tcPr>
          <w:p w14:paraId="6F935E53"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EUR</w:t>
            </w:r>
          </w:p>
        </w:tc>
        <w:tc>
          <w:tcPr>
            <w:tcW w:w="855" w:type="dxa"/>
            <w:tcBorders>
              <w:left w:val="single" w:sz="4" w:space="0" w:color="86BC25" w:themeColor="accent1"/>
              <w:right w:val="single" w:sz="4" w:space="0" w:color="86BC25" w:themeColor="accent1"/>
            </w:tcBorders>
            <w:vAlign w:val="center"/>
          </w:tcPr>
          <w:p w14:paraId="0396843A"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927 155 226</w:t>
            </w:r>
          </w:p>
        </w:tc>
        <w:tc>
          <w:tcPr>
            <w:tcW w:w="1148" w:type="dxa"/>
            <w:tcBorders>
              <w:left w:val="single" w:sz="4" w:space="0" w:color="86BC25" w:themeColor="accent1"/>
              <w:right w:val="single" w:sz="4" w:space="0" w:color="86BC25" w:themeColor="accent1"/>
            </w:tcBorders>
            <w:vAlign w:val="center"/>
          </w:tcPr>
          <w:p w14:paraId="405B521A"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788 081 942</w:t>
            </w:r>
          </w:p>
        </w:tc>
        <w:tc>
          <w:tcPr>
            <w:tcW w:w="1107" w:type="dxa"/>
            <w:tcBorders>
              <w:left w:val="single" w:sz="4" w:space="0" w:color="86BC25" w:themeColor="accent1"/>
              <w:right w:val="single" w:sz="4" w:space="0" w:color="86BC25" w:themeColor="accent1"/>
            </w:tcBorders>
            <w:vAlign w:val="center"/>
          </w:tcPr>
          <w:p w14:paraId="0A698FA8"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602 650 897</w:t>
            </w:r>
          </w:p>
        </w:tc>
        <w:tc>
          <w:tcPr>
            <w:tcW w:w="1603" w:type="dxa"/>
            <w:tcBorders>
              <w:left w:val="single" w:sz="4" w:space="0" w:color="86BC25" w:themeColor="accent1"/>
            </w:tcBorders>
            <w:vAlign w:val="center"/>
          </w:tcPr>
          <w:p w14:paraId="0EB8DC34"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294 253 698</w:t>
            </w:r>
          </w:p>
        </w:tc>
        <w:tc>
          <w:tcPr>
            <w:tcW w:w="1945" w:type="dxa"/>
            <w:tcBorders>
              <w:left w:val="single" w:sz="4" w:space="0" w:color="86BC25" w:themeColor="accent1"/>
            </w:tcBorders>
            <w:vAlign w:val="center"/>
          </w:tcPr>
          <w:p w14:paraId="64E464E5" w14:textId="77777777" w:rsidR="00EC0331" w:rsidRPr="00DD6590" w:rsidRDefault="0075094A"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color w:val="BCBCB9" w:themeColor="background2" w:themeShade="E6"/>
                <w:sz w:val="16"/>
                <w:szCs w:val="16"/>
              </w:rPr>
              <w:t>927 155 226</w:t>
            </w:r>
            <w:r w:rsidR="00981061" w:rsidRPr="00DD6590">
              <w:rPr>
                <w:rStyle w:val="FootnoteReference"/>
                <w:color w:val="BCBCB9" w:themeColor="background2" w:themeShade="E6"/>
                <w:sz w:val="16"/>
                <w:szCs w:val="16"/>
              </w:rPr>
              <w:footnoteReference w:id="15"/>
            </w:r>
          </w:p>
        </w:tc>
        <w:tc>
          <w:tcPr>
            <w:tcW w:w="1738" w:type="dxa"/>
            <w:tcBorders>
              <w:left w:val="single" w:sz="4" w:space="0" w:color="86BC25" w:themeColor="accent1"/>
            </w:tcBorders>
            <w:shd w:val="clear" w:color="auto" w:fill="FFD653"/>
            <w:vAlign w:val="center"/>
          </w:tcPr>
          <w:p w14:paraId="28FF9343" w14:textId="77777777" w:rsidR="0057637C" w:rsidRPr="00DD6590" w:rsidRDefault="00570C44" w:rsidP="0057637C">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10</w:t>
            </w:r>
            <w:r w:rsidR="004B34E8">
              <w:rPr>
                <w:sz w:val="16"/>
                <w:szCs w:val="16"/>
              </w:rPr>
              <w:t xml:space="preserve"> </w:t>
            </w:r>
            <w:r w:rsidR="0057637C" w:rsidRPr="00DD6590">
              <w:rPr>
                <w:sz w:val="16"/>
                <w:szCs w:val="16"/>
              </w:rPr>
              <w:t>%</w:t>
            </w:r>
          </w:p>
          <w:p w14:paraId="6FC144A8" w14:textId="77777777" w:rsidR="00EC0331" w:rsidRPr="00DD6590" w:rsidRDefault="00570C44" w:rsidP="0057637C">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92 715 522</w:t>
            </w:r>
          </w:p>
        </w:tc>
      </w:tr>
      <w:tr w:rsidR="00EC0331" w:rsidRPr="00DD6590" w14:paraId="6727C287" w14:textId="77777777" w:rsidTr="008476FF">
        <w:tc>
          <w:tcPr>
            <w:cnfStyle w:val="001000000000" w:firstRow="0" w:lastRow="0" w:firstColumn="1" w:lastColumn="0" w:oddVBand="0" w:evenVBand="0" w:oddHBand="0" w:evenHBand="0" w:firstRowFirstColumn="0" w:firstRowLastColumn="0" w:lastRowFirstColumn="0" w:lastRowLastColumn="0"/>
            <w:tcW w:w="1006" w:type="dxa"/>
            <w:vMerge/>
            <w:tcBorders>
              <w:right w:val="single" w:sz="4" w:space="0" w:color="86BC25" w:themeColor="accent1"/>
            </w:tcBorders>
            <w:vAlign w:val="center"/>
          </w:tcPr>
          <w:p w14:paraId="4C7D8D94" w14:textId="77777777" w:rsidR="00EC0331" w:rsidRPr="00DD6590" w:rsidRDefault="00EC0331" w:rsidP="00EC0331">
            <w:pPr>
              <w:spacing w:before="60" w:after="0" w:line="240" w:lineRule="auto"/>
              <w:rPr>
                <w:sz w:val="16"/>
                <w:szCs w:val="16"/>
              </w:rPr>
            </w:pPr>
          </w:p>
        </w:tc>
        <w:tc>
          <w:tcPr>
            <w:tcW w:w="1469" w:type="dxa"/>
            <w:tcBorders>
              <w:right w:val="single" w:sz="4" w:space="0" w:color="86BC25" w:themeColor="accent1"/>
            </w:tcBorders>
            <w:vAlign w:val="center"/>
          </w:tcPr>
          <w:p w14:paraId="07AD41BB"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rFonts w:asciiTheme="minorHAnsi" w:hAnsiTheme="minorHAnsi"/>
                <w:sz w:val="16"/>
                <w:szCs w:val="16"/>
              </w:rPr>
              <w:t>Výstupový ukazovateľ</w:t>
            </w:r>
          </w:p>
        </w:tc>
        <w:tc>
          <w:tcPr>
            <w:tcW w:w="1822" w:type="dxa"/>
            <w:tcBorders>
              <w:left w:val="single" w:sz="4" w:space="0" w:color="86BC25" w:themeColor="accent1"/>
              <w:right w:val="single" w:sz="4" w:space="0" w:color="86BC25" w:themeColor="accent1"/>
            </w:tcBorders>
            <w:vAlign w:val="center"/>
          </w:tcPr>
          <w:p w14:paraId="1CBF6A0B" w14:textId="77777777" w:rsidR="00EC0331" w:rsidRPr="00DD6590" w:rsidRDefault="00EC0331" w:rsidP="00EC0331">
            <w:pPr>
              <w:spacing w:before="60" w:after="0" w:line="240"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Počet dodatočných centrálne využitých podporných systémov vnútornej správy v rámci ISVS (ako služieb v cloude SaaS)</w:t>
            </w:r>
          </w:p>
        </w:tc>
        <w:tc>
          <w:tcPr>
            <w:tcW w:w="1010" w:type="dxa"/>
            <w:tcBorders>
              <w:left w:val="single" w:sz="4" w:space="0" w:color="86BC25" w:themeColor="accent1"/>
              <w:right w:val="single" w:sz="4" w:space="0" w:color="86BC25" w:themeColor="accent1"/>
            </w:tcBorders>
            <w:vAlign w:val="center"/>
          </w:tcPr>
          <w:p w14:paraId="7653E9EE"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počet</w:t>
            </w:r>
          </w:p>
        </w:tc>
        <w:tc>
          <w:tcPr>
            <w:tcW w:w="855" w:type="dxa"/>
            <w:tcBorders>
              <w:left w:val="single" w:sz="4" w:space="0" w:color="86BC25" w:themeColor="accent1"/>
              <w:right w:val="single" w:sz="4" w:space="0" w:color="86BC25" w:themeColor="accent1"/>
            </w:tcBorders>
            <w:vAlign w:val="center"/>
          </w:tcPr>
          <w:p w14:paraId="0C4249AC"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7</w:t>
            </w:r>
          </w:p>
        </w:tc>
        <w:tc>
          <w:tcPr>
            <w:tcW w:w="1148" w:type="dxa"/>
            <w:tcBorders>
              <w:left w:val="single" w:sz="4" w:space="0" w:color="86BC25" w:themeColor="accent1"/>
              <w:right w:val="single" w:sz="4" w:space="0" w:color="86BC25" w:themeColor="accent1"/>
            </w:tcBorders>
            <w:vAlign w:val="center"/>
          </w:tcPr>
          <w:p w14:paraId="661108D9"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6</w:t>
            </w:r>
          </w:p>
        </w:tc>
        <w:tc>
          <w:tcPr>
            <w:tcW w:w="1107" w:type="dxa"/>
            <w:tcBorders>
              <w:left w:val="single" w:sz="4" w:space="0" w:color="86BC25" w:themeColor="accent1"/>
              <w:right w:val="single" w:sz="4" w:space="0" w:color="86BC25" w:themeColor="accent1"/>
            </w:tcBorders>
            <w:vAlign w:val="center"/>
          </w:tcPr>
          <w:p w14:paraId="368D63F8" w14:textId="77777777" w:rsidR="00EC0331" w:rsidRPr="00DD6590" w:rsidRDefault="00EC0331"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5</w:t>
            </w:r>
          </w:p>
        </w:tc>
        <w:tc>
          <w:tcPr>
            <w:tcW w:w="1603" w:type="dxa"/>
            <w:tcBorders>
              <w:left w:val="single" w:sz="4" w:space="0" w:color="86BC25" w:themeColor="accent1"/>
            </w:tcBorders>
            <w:vAlign w:val="center"/>
          </w:tcPr>
          <w:p w14:paraId="6940F396" w14:textId="77777777" w:rsidR="00EC0331" w:rsidRPr="00DD6590" w:rsidRDefault="00A242F0"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3</w:t>
            </w:r>
          </w:p>
        </w:tc>
        <w:tc>
          <w:tcPr>
            <w:tcW w:w="1945" w:type="dxa"/>
            <w:tcBorders>
              <w:left w:val="single" w:sz="4" w:space="0" w:color="86BC25" w:themeColor="accent1"/>
            </w:tcBorders>
            <w:vAlign w:val="center"/>
          </w:tcPr>
          <w:p w14:paraId="7BCDC12B" w14:textId="77777777" w:rsidR="00EC0331" w:rsidRPr="00DD6590" w:rsidRDefault="00A242F0"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3</w:t>
            </w:r>
          </w:p>
        </w:tc>
        <w:tc>
          <w:tcPr>
            <w:tcW w:w="1738" w:type="dxa"/>
            <w:tcBorders>
              <w:left w:val="single" w:sz="4" w:space="0" w:color="86BC25" w:themeColor="accent1"/>
            </w:tcBorders>
            <w:shd w:val="clear" w:color="auto" w:fill="FFD653"/>
            <w:vAlign w:val="center"/>
          </w:tcPr>
          <w:p w14:paraId="1F787C3E" w14:textId="77777777" w:rsidR="00EC0331" w:rsidRPr="00DD6590" w:rsidRDefault="0086409B"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10</w:t>
            </w:r>
            <w:r w:rsidR="004B34E8">
              <w:rPr>
                <w:sz w:val="16"/>
                <w:szCs w:val="16"/>
              </w:rPr>
              <w:t xml:space="preserve"> </w:t>
            </w:r>
            <w:r w:rsidR="00100F61" w:rsidRPr="00DD6590">
              <w:rPr>
                <w:sz w:val="16"/>
                <w:szCs w:val="16"/>
              </w:rPr>
              <w:t>%</w:t>
            </w:r>
          </w:p>
          <w:p w14:paraId="6C432678" w14:textId="77777777" w:rsidR="00100F61" w:rsidRPr="00DD6590" w:rsidRDefault="00570C44" w:rsidP="00EC0331">
            <w:pPr>
              <w:spacing w:before="60" w:after="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DD6590">
              <w:rPr>
                <w:sz w:val="16"/>
                <w:szCs w:val="16"/>
              </w:rPr>
              <w:t>92 715 522</w:t>
            </w:r>
          </w:p>
        </w:tc>
      </w:tr>
      <w:tr w:rsidR="00EC0331" w:rsidRPr="00DD6590" w14:paraId="6C49FF58" w14:textId="77777777" w:rsidTr="00847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6" w:type="dxa"/>
            <w:vMerge/>
            <w:tcBorders>
              <w:right w:val="single" w:sz="4" w:space="0" w:color="86BC25" w:themeColor="accent1"/>
            </w:tcBorders>
            <w:vAlign w:val="center"/>
          </w:tcPr>
          <w:p w14:paraId="7B5E9579" w14:textId="77777777" w:rsidR="00EC0331" w:rsidRPr="00DD6590" w:rsidRDefault="00EC0331" w:rsidP="00EC0331">
            <w:pPr>
              <w:spacing w:before="60" w:after="0" w:line="240" w:lineRule="auto"/>
              <w:rPr>
                <w:sz w:val="16"/>
                <w:szCs w:val="16"/>
              </w:rPr>
            </w:pPr>
          </w:p>
        </w:tc>
        <w:tc>
          <w:tcPr>
            <w:tcW w:w="1469" w:type="dxa"/>
            <w:tcBorders>
              <w:right w:val="single" w:sz="4" w:space="0" w:color="86BC25" w:themeColor="accent1"/>
            </w:tcBorders>
            <w:vAlign w:val="center"/>
          </w:tcPr>
          <w:p w14:paraId="76993A64"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rFonts w:asciiTheme="minorHAnsi" w:hAnsiTheme="minorHAnsi"/>
                <w:sz w:val="16"/>
                <w:szCs w:val="16"/>
              </w:rPr>
              <w:t>Výstupový ukazovateľ</w:t>
            </w:r>
          </w:p>
        </w:tc>
        <w:tc>
          <w:tcPr>
            <w:tcW w:w="1822" w:type="dxa"/>
            <w:tcBorders>
              <w:left w:val="single" w:sz="4" w:space="0" w:color="86BC25" w:themeColor="accent1"/>
              <w:right w:val="single" w:sz="4" w:space="0" w:color="86BC25" w:themeColor="accent1"/>
            </w:tcBorders>
            <w:vAlign w:val="center"/>
          </w:tcPr>
          <w:p w14:paraId="6F61FCD8" w14:textId="77777777" w:rsidR="00EC0331" w:rsidRPr="00DD6590" w:rsidRDefault="00EC0331" w:rsidP="00EC0331">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 xml:space="preserve">Dodatočný pomer inštitúcií štátnej správy zapojených do eGovernment cloudu </w:t>
            </w:r>
          </w:p>
        </w:tc>
        <w:tc>
          <w:tcPr>
            <w:tcW w:w="1010" w:type="dxa"/>
            <w:tcBorders>
              <w:left w:val="single" w:sz="4" w:space="0" w:color="86BC25" w:themeColor="accent1"/>
              <w:right w:val="single" w:sz="4" w:space="0" w:color="86BC25" w:themeColor="accent1"/>
            </w:tcBorders>
            <w:vAlign w:val="center"/>
          </w:tcPr>
          <w:p w14:paraId="1D2DE7AD"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w:t>
            </w:r>
          </w:p>
        </w:tc>
        <w:tc>
          <w:tcPr>
            <w:tcW w:w="855" w:type="dxa"/>
            <w:tcBorders>
              <w:left w:val="single" w:sz="4" w:space="0" w:color="86BC25" w:themeColor="accent1"/>
              <w:right w:val="single" w:sz="4" w:space="0" w:color="86BC25" w:themeColor="accent1"/>
            </w:tcBorders>
            <w:vAlign w:val="center"/>
          </w:tcPr>
          <w:p w14:paraId="051D9F68"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100</w:t>
            </w:r>
          </w:p>
        </w:tc>
        <w:tc>
          <w:tcPr>
            <w:tcW w:w="1148" w:type="dxa"/>
            <w:tcBorders>
              <w:left w:val="single" w:sz="4" w:space="0" w:color="86BC25" w:themeColor="accent1"/>
              <w:right w:val="single" w:sz="4" w:space="0" w:color="86BC25" w:themeColor="accent1"/>
            </w:tcBorders>
            <w:vAlign w:val="center"/>
          </w:tcPr>
          <w:p w14:paraId="5C791E2A"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85</w:t>
            </w:r>
          </w:p>
        </w:tc>
        <w:tc>
          <w:tcPr>
            <w:tcW w:w="1107" w:type="dxa"/>
            <w:tcBorders>
              <w:left w:val="single" w:sz="4" w:space="0" w:color="86BC25" w:themeColor="accent1"/>
              <w:right w:val="single" w:sz="4" w:space="0" w:color="86BC25" w:themeColor="accent1"/>
            </w:tcBorders>
            <w:vAlign w:val="center"/>
          </w:tcPr>
          <w:p w14:paraId="2D8712BE" w14:textId="77777777" w:rsidR="00EC0331" w:rsidRPr="00DD6590" w:rsidRDefault="00EC0331"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65</w:t>
            </w:r>
          </w:p>
        </w:tc>
        <w:tc>
          <w:tcPr>
            <w:tcW w:w="1603" w:type="dxa"/>
            <w:tcBorders>
              <w:left w:val="single" w:sz="4" w:space="0" w:color="86BC25" w:themeColor="accent1"/>
            </w:tcBorders>
            <w:vAlign w:val="center"/>
          </w:tcPr>
          <w:p w14:paraId="31E6C290" w14:textId="77777777" w:rsidR="00EC0331" w:rsidRPr="00DD6590" w:rsidRDefault="00A242F0"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w:t>
            </w:r>
          </w:p>
        </w:tc>
        <w:tc>
          <w:tcPr>
            <w:tcW w:w="1945" w:type="dxa"/>
            <w:tcBorders>
              <w:left w:val="single" w:sz="4" w:space="0" w:color="86BC25" w:themeColor="accent1"/>
            </w:tcBorders>
            <w:vAlign w:val="center"/>
          </w:tcPr>
          <w:p w14:paraId="7CC2E959" w14:textId="77777777" w:rsidR="00EC0331" w:rsidRPr="00DD6590" w:rsidRDefault="00A242F0" w:rsidP="00EC0331">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w:t>
            </w:r>
          </w:p>
        </w:tc>
        <w:tc>
          <w:tcPr>
            <w:tcW w:w="1738" w:type="dxa"/>
            <w:tcBorders>
              <w:left w:val="single" w:sz="4" w:space="0" w:color="86BC25" w:themeColor="accent1"/>
            </w:tcBorders>
            <w:shd w:val="clear" w:color="auto" w:fill="EF858F"/>
            <w:vAlign w:val="center"/>
          </w:tcPr>
          <w:p w14:paraId="5C7EEFC5" w14:textId="77777777" w:rsidR="0057637C" w:rsidRPr="00DD6590" w:rsidRDefault="00570C44" w:rsidP="0057637C">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10</w:t>
            </w:r>
            <w:r w:rsidR="004B34E8">
              <w:rPr>
                <w:sz w:val="16"/>
                <w:szCs w:val="16"/>
              </w:rPr>
              <w:t xml:space="preserve"> </w:t>
            </w:r>
            <w:r w:rsidR="0057637C" w:rsidRPr="00DD6590">
              <w:rPr>
                <w:sz w:val="16"/>
                <w:szCs w:val="16"/>
              </w:rPr>
              <w:t>%</w:t>
            </w:r>
            <w:r w:rsidR="0057637C" w:rsidRPr="00DD6590">
              <w:rPr>
                <w:rStyle w:val="FootnoteReference"/>
                <w:sz w:val="16"/>
                <w:szCs w:val="16"/>
              </w:rPr>
              <w:footnoteReference w:id="16"/>
            </w:r>
          </w:p>
          <w:p w14:paraId="0CC13CE6" w14:textId="77777777" w:rsidR="00EC0331" w:rsidRPr="00DD6590" w:rsidRDefault="00570C44" w:rsidP="0057637C">
            <w:pPr>
              <w:spacing w:before="60" w:after="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DD6590">
              <w:rPr>
                <w:sz w:val="16"/>
                <w:szCs w:val="16"/>
              </w:rPr>
              <w:t>92 715 522</w:t>
            </w:r>
          </w:p>
        </w:tc>
      </w:tr>
    </w:tbl>
    <w:p w14:paraId="6DD5D138" w14:textId="77777777" w:rsidR="00FA40EA" w:rsidRPr="00DD6590" w:rsidRDefault="00FA40EA" w:rsidP="00451C51">
      <w:pPr>
        <w:rPr>
          <w:color w:val="FF0000"/>
          <w:szCs w:val="18"/>
        </w:rPr>
        <w:sectPr w:rsidR="00FA40EA" w:rsidRPr="00DD6590" w:rsidSect="00FA40EA">
          <w:pgSz w:w="16838" w:h="11906" w:orient="landscape" w:code="9"/>
          <w:pgMar w:top="1411" w:right="1987" w:bottom="1138" w:left="1138" w:header="677" w:footer="562" w:gutter="0"/>
          <w:cols w:space="9"/>
          <w:titlePg/>
          <w:docGrid w:linePitch="360"/>
        </w:sectPr>
      </w:pPr>
    </w:p>
    <w:p w14:paraId="3EC85418" w14:textId="77777777" w:rsidR="00C844EE" w:rsidRPr="00DD6590" w:rsidRDefault="00294819" w:rsidP="00451C51">
      <w:pPr>
        <w:rPr>
          <w:color w:val="FF0000"/>
          <w:szCs w:val="18"/>
        </w:rPr>
      </w:pPr>
      <w:r w:rsidRPr="00DD6590">
        <w:rPr>
          <w:szCs w:val="18"/>
        </w:rPr>
        <w:lastRenderedPageBreak/>
        <w:t xml:space="preserve">Na základe údajov z </w:t>
      </w:r>
      <w:r w:rsidR="008476FF">
        <w:rPr>
          <w:szCs w:val="18"/>
        </w:rPr>
        <w:t>tabuľky 61</w:t>
      </w:r>
      <w:r w:rsidR="00D250E5" w:rsidRPr="00DD6590">
        <w:rPr>
          <w:szCs w:val="18"/>
        </w:rPr>
        <w:t xml:space="preserve"> </w:t>
      </w:r>
      <w:r w:rsidRPr="00DD6590">
        <w:rPr>
          <w:szCs w:val="18"/>
        </w:rPr>
        <w:t xml:space="preserve">vyhodnocujúcej plnenie výkonnostného rámca odporúčame pre jednotlivé prioritné osi úpravu zámerov (pre rok 2023) </w:t>
      </w:r>
      <w:r w:rsidR="00D250E5" w:rsidRPr="00DD6590">
        <w:rPr>
          <w:szCs w:val="18"/>
        </w:rPr>
        <w:t xml:space="preserve">a zazmluvnenie plánovaných projektov napĺňajúcich výkonnostný rámec </w:t>
      </w:r>
      <w:r w:rsidRPr="00DD6590">
        <w:rPr>
          <w:szCs w:val="18"/>
        </w:rPr>
        <w:t>nasledovne:</w:t>
      </w:r>
    </w:p>
    <w:tbl>
      <w:tblPr>
        <w:tblStyle w:val="ListTable3-Accent1"/>
        <w:tblW w:w="4967" w:type="pct"/>
        <w:tblBorders>
          <w:left w:val="none" w:sz="0" w:space="0" w:color="auto"/>
          <w:right w:val="none" w:sz="0" w:space="0" w:color="auto"/>
          <w:insideH w:val="single" w:sz="4" w:space="0" w:color="86BC25" w:themeColor="accent1"/>
        </w:tblBorders>
        <w:tblCellMar>
          <w:left w:w="28" w:type="dxa"/>
          <w:right w:w="28" w:type="dxa"/>
        </w:tblCellMar>
        <w:tblLook w:val="04A0" w:firstRow="1" w:lastRow="0" w:firstColumn="1" w:lastColumn="0" w:noHBand="0" w:noVBand="1"/>
      </w:tblPr>
      <w:tblGrid>
        <w:gridCol w:w="1474"/>
        <w:gridCol w:w="1136"/>
        <w:gridCol w:w="6685"/>
      </w:tblGrid>
      <w:tr w:rsidR="00CC73BC" w:rsidRPr="00DD6590" w14:paraId="76D720BE" w14:textId="77777777" w:rsidTr="00981061">
        <w:trPr>
          <w:cnfStyle w:val="100000000000" w:firstRow="1" w:lastRow="0" w:firstColumn="0" w:lastColumn="0" w:oddVBand="0" w:evenVBand="0" w:oddHBand="0" w:evenHBand="0" w:firstRowFirstColumn="0" w:firstRowLastColumn="0" w:lastRowFirstColumn="0" w:lastRowLastColumn="0"/>
          <w:trHeight w:val="283"/>
        </w:trPr>
        <w:tc>
          <w:tcPr>
            <w:cnfStyle w:val="001000000100" w:firstRow="0" w:lastRow="0" w:firstColumn="1" w:lastColumn="0" w:oddVBand="0" w:evenVBand="0" w:oddHBand="0" w:evenHBand="0" w:firstRowFirstColumn="1" w:firstRowLastColumn="0" w:lastRowFirstColumn="0" w:lastRowLastColumn="0"/>
            <w:tcW w:w="793" w:type="pct"/>
            <w:vAlign w:val="center"/>
          </w:tcPr>
          <w:p w14:paraId="264EF536" w14:textId="77777777" w:rsidR="00CC73BC" w:rsidRPr="00DD6590" w:rsidRDefault="00CC73BC" w:rsidP="00CC73BC">
            <w:pPr>
              <w:spacing w:before="0" w:line="240" w:lineRule="auto"/>
              <w:rPr>
                <w:rFonts w:asciiTheme="minorHAnsi" w:hAnsiTheme="minorHAnsi"/>
                <w:szCs w:val="18"/>
              </w:rPr>
            </w:pPr>
            <w:r w:rsidRPr="00DD6590">
              <w:rPr>
                <w:rFonts w:asciiTheme="minorHAnsi" w:hAnsiTheme="minorHAnsi"/>
                <w:szCs w:val="18"/>
              </w:rPr>
              <w:t>Prioritná os</w:t>
            </w:r>
          </w:p>
        </w:tc>
        <w:tc>
          <w:tcPr>
            <w:tcW w:w="611" w:type="pct"/>
            <w:vAlign w:val="center"/>
          </w:tcPr>
          <w:p w14:paraId="3E21DFF3" w14:textId="77777777" w:rsidR="00CC73BC" w:rsidRPr="00DD6590" w:rsidRDefault="00CC73BC" w:rsidP="00CC73BC">
            <w:pPr>
              <w:spacing w:before="0" w:line="240" w:lineRule="auto"/>
              <w:jc w:val="left"/>
              <w:cnfStyle w:val="100000000000" w:firstRow="1"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Odpoveď na HO</w:t>
            </w:r>
          </w:p>
        </w:tc>
        <w:tc>
          <w:tcPr>
            <w:tcW w:w="3596" w:type="pct"/>
            <w:vAlign w:val="center"/>
          </w:tcPr>
          <w:p w14:paraId="3499441F" w14:textId="77777777" w:rsidR="00CC73BC" w:rsidRPr="00DD6590" w:rsidRDefault="00CC73BC" w:rsidP="00CC73BC">
            <w:pPr>
              <w:spacing w:before="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Závery a navrhované opatrenia</w:t>
            </w:r>
          </w:p>
        </w:tc>
      </w:tr>
      <w:tr w:rsidR="00F41009" w:rsidRPr="00DD6590" w14:paraId="1A089354" w14:textId="77777777" w:rsidTr="0098106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93" w:type="pct"/>
            <w:vAlign w:val="center"/>
          </w:tcPr>
          <w:p w14:paraId="360FFDCE" w14:textId="77777777" w:rsidR="00F41009" w:rsidRPr="00DD6590" w:rsidRDefault="00F41009" w:rsidP="00B726CB">
            <w:pPr>
              <w:spacing w:before="0" w:line="240" w:lineRule="auto"/>
              <w:jc w:val="left"/>
              <w:rPr>
                <w:rFonts w:asciiTheme="minorHAnsi" w:hAnsiTheme="minorHAnsi"/>
                <w:b w:val="0"/>
                <w:szCs w:val="18"/>
              </w:rPr>
            </w:pPr>
            <w:r w:rsidRPr="00DD6590">
              <w:rPr>
                <w:rFonts w:asciiTheme="minorHAnsi" w:hAnsiTheme="minorHAnsi"/>
                <w:b w:val="0"/>
                <w:szCs w:val="18"/>
              </w:rPr>
              <w:t>PO1: Železničná infraštruktúra (TEN-T CORE) a obnova mobilných prostriedkov</w:t>
            </w:r>
          </w:p>
        </w:tc>
        <w:tc>
          <w:tcPr>
            <w:tcW w:w="611" w:type="pct"/>
            <w:vAlign w:val="center"/>
          </w:tcPr>
          <w:p w14:paraId="1E888727" w14:textId="77777777" w:rsidR="00F41009" w:rsidRPr="00DD6590" w:rsidRDefault="00402CBB" w:rsidP="00C60217">
            <w:pPr>
              <w:spacing w:before="6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Áno</w:t>
            </w:r>
          </w:p>
        </w:tc>
        <w:tc>
          <w:tcPr>
            <w:tcW w:w="3594" w:type="pct"/>
            <w:vAlign w:val="center"/>
          </w:tcPr>
          <w:p w14:paraId="76B5A94C" w14:textId="77777777" w:rsidR="00F41009" w:rsidRPr="00DD6590" w:rsidRDefault="00294819" w:rsidP="00B2534C">
            <w:pPr>
              <w:spacing w:before="60" w:line="240"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Cs w:val="18"/>
              </w:rPr>
            </w:pPr>
            <w:r w:rsidRPr="00DD6590">
              <w:rPr>
                <w:rFonts w:asciiTheme="minorHAnsi" w:hAnsiTheme="minorHAnsi"/>
                <w:color w:val="000000"/>
                <w:szCs w:val="18"/>
              </w:rPr>
              <w:t>Zazmluvniť projekty, ktoré prispejú k naplneniu výkonnostného rámca.</w:t>
            </w:r>
            <w:r w:rsidR="00B2534C" w:rsidRPr="00DD6590">
              <w:rPr>
                <w:rFonts w:asciiTheme="minorHAnsi" w:hAnsiTheme="minorHAnsi"/>
                <w:color w:val="000000"/>
                <w:szCs w:val="18"/>
              </w:rPr>
              <w:t xml:space="preserve"> Takýmto projektom v PO1 je </w:t>
            </w:r>
            <w:r w:rsidR="00BD2C34" w:rsidRPr="00DD6590">
              <w:rPr>
                <w:rFonts w:asciiTheme="minorHAnsi" w:hAnsiTheme="minorHAnsi"/>
                <w:color w:val="000000"/>
                <w:szCs w:val="18"/>
              </w:rPr>
              <w:t xml:space="preserve">najmä </w:t>
            </w:r>
            <w:r w:rsidR="00B2534C" w:rsidRPr="00DD6590">
              <w:rPr>
                <w:rFonts w:asciiTheme="minorHAnsi" w:hAnsiTheme="minorHAnsi"/>
                <w:color w:val="000000"/>
                <w:szCs w:val="18"/>
              </w:rPr>
              <w:t>projekt „ŽSR, dostavba zriaďovacej stanice Žilina Teplička a nadväzujúcej železničnej infraštruktúry v uzle Žilina – realizácia“.</w:t>
            </w:r>
          </w:p>
          <w:p w14:paraId="322CC96A" w14:textId="77777777" w:rsidR="00BD2C34" w:rsidRPr="00DD6590" w:rsidRDefault="0065467D" w:rsidP="0065467D">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Cs w:val="18"/>
              </w:rPr>
            </w:pPr>
            <w:r w:rsidRPr="00DD6590">
              <w:rPr>
                <w:rFonts w:asciiTheme="minorHAnsi" w:hAnsiTheme="minorHAnsi"/>
                <w:color w:val="000000"/>
                <w:szCs w:val="18"/>
              </w:rPr>
              <w:t>Ďalšími projektami, ktoré prispejú k naplneniu ukazovateľov PO1</w:t>
            </w:r>
            <w:r w:rsidR="004B34E8">
              <w:rPr>
                <w:rFonts w:asciiTheme="minorHAnsi" w:hAnsiTheme="minorHAnsi"/>
                <w:color w:val="000000"/>
                <w:szCs w:val="18"/>
              </w:rPr>
              <w:t>,</w:t>
            </w:r>
            <w:r w:rsidRPr="00DD6590">
              <w:rPr>
                <w:rFonts w:asciiTheme="minorHAnsi" w:hAnsiTheme="minorHAnsi"/>
                <w:color w:val="000000"/>
                <w:szCs w:val="18"/>
              </w:rPr>
              <w:t xml:space="preserve"> sú:</w:t>
            </w:r>
          </w:p>
          <w:p w14:paraId="7B37A445" w14:textId="77777777" w:rsidR="0065467D" w:rsidRPr="00DD6590" w:rsidRDefault="0065467D" w:rsidP="003E761D">
            <w:pPr>
              <w:pStyle w:val="ListParagraph"/>
              <w:numPr>
                <w:ilvl w:val="0"/>
                <w:numId w:val="36"/>
              </w:numPr>
              <w:spacing w:before="60" w:after="0" w:line="240" w:lineRule="auto"/>
              <w:jc w:val="left"/>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color w:val="000000"/>
                <w:szCs w:val="18"/>
                <w:lang w:eastAsia="cs-CZ"/>
              </w:rPr>
            </w:pPr>
            <w:r w:rsidRPr="00DD6590">
              <w:rPr>
                <w:rFonts w:asciiTheme="minorHAnsi" w:eastAsia="Verdana" w:hAnsiTheme="minorHAnsi"/>
                <w:color w:val="000000"/>
                <w:szCs w:val="18"/>
                <w:lang w:eastAsia="cs-CZ"/>
              </w:rPr>
              <w:t>ŽSR, Implementácia ERTMS na úseku Devínska Nová Ves – štátna hranica SR/ČR</w:t>
            </w:r>
            <w:r w:rsidR="004B34E8">
              <w:rPr>
                <w:rFonts w:asciiTheme="minorHAnsi" w:eastAsia="Verdana" w:hAnsiTheme="minorHAnsi"/>
                <w:color w:val="000000"/>
                <w:szCs w:val="18"/>
                <w:lang w:eastAsia="cs-CZ"/>
              </w:rPr>
              <w:t>,</w:t>
            </w:r>
          </w:p>
          <w:p w14:paraId="20A5F72F" w14:textId="77777777" w:rsidR="0065467D" w:rsidRPr="00DD6590" w:rsidRDefault="0065467D" w:rsidP="003E761D">
            <w:pPr>
              <w:pStyle w:val="ListParagraph"/>
              <w:numPr>
                <w:ilvl w:val="0"/>
                <w:numId w:val="36"/>
              </w:numPr>
              <w:spacing w:before="60" w:after="0" w:line="240" w:lineRule="auto"/>
              <w:jc w:val="left"/>
              <w:cnfStyle w:val="000000100000" w:firstRow="0" w:lastRow="0" w:firstColumn="0" w:lastColumn="0" w:oddVBand="0" w:evenVBand="0" w:oddHBand="1" w:evenHBand="0" w:firstRowFirstColumn="0" w:firstRowLastColumn="0" w:lastRowFirstColumn="0" w:lastRowLastColumn="0"/>
              <w:rPr>
                <w:rFonts w:eastAsia="Verdana"/>
                <w:color w:val="000000"/>
                <w:szCs w:val="18"/>
                <w:lang w:eastAsia="cs-CZ"/>
              </w:rPr>
            </w:pPr>
            <w:r w:rsidRPr="00DD6590">
              <w:rPr>
                <w:rFonts w:asciiTheme="minorHAnsi" w:eastAsia="Verdana" w:hAnsiTheme="minorHAnsi"/>
                <w:color w:val="000000"/>
                <w:szCs w:val="18"/>
                <w:lang w:eastAsia="cs-CZ"/>
              </w:rPr>
              <w:t>Implementácia TSI v podmienkach ŽSR</w:t>
            </w:r>
          </w:p>
        </w:tc>
      </w:tr>
      <w:tr w:rsidR="00F41009" w:rsidRPr="00DD6590" w14:paraId="6268ACBE" w14:textId="77777777" w:rsidTr="00981061">
        <w:trPr>
          <w:trHeight w:val="283"/>
        </w:trPr>
        <w:tc>
          <w:tcPr>
            <w:cnfStyle w:val="001000000000" w:firstRow="0" w:lastRow="0" w:firstColumn="1" w:lastColumn="0" w:oddVBand="0" w:evenVBand="0" w:oddHBand="0" w:evenHBand="0" w:firstRowFirstColumn="0" w:firstRowLastColumn="0" w:lastRowFirstColumn="0" w:lastRowLastColumn="0"/>
            <w:tcW w:w="793" w:type="pct"/>
            <w:vAlign w:val="center"/>
          </w:tcPr>
          <w:p w14:paraId="5608BB68" w14:textId="77777777" w:rsidR="00F41009" w:rsidRPr="00DD6590" w:rsidRDefault="00F41009" w:rsidP="00B726CB">
            <w:pPr>
              <w:spacing w:before="0" w:line="240" w:lineRule="auto"/>
              <w:jc w:val="left"/>
              <w:rPr>
                <w:rFonts w:asciiTheme="minorHAnsi" w:hAnsiTheme="minorHAnsi"/>
                <w:b w:val="0"/>
                <w:szCs w:val="18"/>
              </w:rPr>
            </w:pPr>
            <w:r w:rsidRPr="00DD6590">
              <w:rPr>
                <w:rFonts w:asciiTheme="minorHAnsi" w:hAnsiTheme="minorHAnsi"/>
                <w:b w:val="0"/>
                <w:szCs w:val="18"/>
              </w:rPr>
              <w:t>PO2: Cestná infraštruktúra (TEN-T)</w:t>
            </w:r>
          </w:p>
        </w:tc>
        <w:tc>
          <w:tcPr>
            <w:tcW w:w="611" w:type="pct"/>
            <w:vAlign w:val="center"/>
          </w:tcPr>
          <w:p w14:paraId="280A5FF9" w14:textId="77777777" w:rsidR="00F41009" w:rsidRPr="00DD6590" w:rsidRDefault="00B544D6" w:rsidP="00C60217">
            <w:pPr>
              <w:spacing w:before="6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Nie</w:t>
            </w:r>
          </w:p>
        </w:tc>
        <w:tc>
          <w:tcPr>
            <w:tcW w:w="3594" w:type="pct"/>
            <w:vAlign w:val="center"/>
          </w:tcPr>
          <w:p w14:paraId="3110891B" w14:textId="77777777" w:rsidR="00F41009" w:rsidRPr="00DD6590" w:rsidRDefault="00E078DE" w:rsidP="0065467D">
            <w:p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Výstupový ukazovateľ výkonnostného rámca z realizovaných projektov </w:t>
            </w:r>
            <w:r w:rsidR="0065467D" w:rsidRPr="00DD6590">
              <w:rPr>
                <w:rFonts w:asciiTheme="minorHAnsi" w:hAnsiTheme="minorHAnsi"/>
                <w:szCs w:val="18"/>
              </w:rPr>
              <w:t xml:space="preserve">bude </w:t>
            </w:r>
            <w:r w:rsidRPr="00DD6590">
              <w:rPr>
                <w:rFonts w:asciiTheme="minorHAnsi" w:hAnsiTheme="minorHAnsi"/>
                <w:szCs w:val="18"/>
              </w:rPr>
              <w:t xml:space="preserve">naplnený na </w:t>
            </w:r>
            <w:r w:rsidR="0065467D" w:rsidRPr="00DD6590">
              <w:rPr>
                <w:rFonts w:asciiTheme="minorHAnsi" w:hAnsiTheme="minorHAnsi"/>
                <w:szCs w:val="18"/>
              </w:rPr>
              <w:t>86,20</w:t>
            </w:r>
            <w:r w:rsidR="004B34E8">
              <w:rPr>
                <w:rFonts w:asciiTheme="minorHAnsi" w:hAnsiTheme="minorHAnsi"/>
                <w:szCs w:val="18"/>
              </w:rPr>
              <w:t xml:space="preserve"> </w:t>
            </w:r>
            <w:r w:rsidR="0065467D" w:rsidRPr="00DD6590">
              <w:rPr>
                <w:rFonts w:asciiTheme="minorHAnsi" w:hAnsiTheme="minorHAnsi"/>
                <w:szCs w:val="18"/>
              </w:rPr>
              <w:t>%, preto o</w:t>
            </w:r>
            <w:r w:rsidRPr="00DD6590">
              <w:rPr>
                <w:rFonts w:asciiTheme="minorHAnsi" w:hAnsiTheme="minorHAnsi"/>
                <w:szCs w:val="18"/>
              </w:rPr>
              <w:t xml:space="preserve">dporúčame </w:t>
            </w:r>
            <w:r w:rsidR="00B544D6" w:rsidRPr="00DD6590">
              <w:rPr>
                <w:rFonts w:asciiTheme="minorHAnsi" w:hAnsiTheme="minorHAnsi"/>
                <w:szCs w:val="18"/>
              </w:rPr>
              <w:t xml:space="preserve">čo najskôr zazmluvniť projekt </w:t>
            </w:r>
            <w:r w:rsidR="004B34E8">
              <w:rPr>
                <w:rFonts w:asciiTheme="minorHAnsi" w:hAnsiTheme="minorHAnsi"/>
                <w:szCs w:val="18"/>
              </w:rPr>
              <w:t>„</w:t>
            </w:r>
            <w:r w:rsidR="00B544D6" w:rsidRPr="00DD6590">
              <w:rPr>
                <w:rFonts w:asciiTheme="minorHAnsi" w:hAnsiTheme="minorHAnsi"/>
                <w:szCs w:val="18"/>
              </w:rPr>
              <w:t>D1 Hubová – Ivachnová (2. fáza)</w:t>
            </w:r>
            <w:r w:rsidR="004B34E8">
              <w:rPr>
                <w:rFonts w:asciiTheme="minorHAnsi" w:hAnsiTheme="minorHAnsi"/>
                <w:szCs w:val="18"/>
              </w:rPr>
              <w:t>“</w:t>
            </w:r>
            <w:r w:rsidR="00B544D6" w:rsidRPr="00DD6590">
              <w:rPr>
                <w:rFonts w:asciiTheme="minorHAnsi" w:hAnsiTheme="minorHAnsi"/>
                <w:szCs w:val="18"/>
              </w:rPr>
              <w:t xml:space="preserve"> pre jeho naplnenie</w:t>
            </w:r>
            <w:r w:rsidR="0065467D" w:rsidRPr="00DD6590">
              <w:rPr>
                <w:rFonts w:asciiTheme="minorHAnsi" w:hAnsiTheme="minorHAnsi"/>
                <w:szCs w:val="18"/>
              </w:rPr>
              <w:t xml:space="preserve"> na 100</w:t>
            </w:r>
            <w:r w:rsidR="004B34E8">
              <w:rPr>
                <w:rFonts w:asciiTheme="minorHAnsi" w:hAnsiTheme="minorHAnsi"/>
                <w:szCs w:val="18"/>
              </w:rPr>
              <w:t xml:space="preserve"> </w:t>
            </w:r>
            <w:r w:rsidR="0065467D" w:rsidRPr="00DD6590">
              <w:rPr>
                <w:rFonts w:asciiTheme="minorHAnsi" w:hAnsiTheme="minorHAnsi"/>
                <w:szCs w:val="18"/>
              </w:rPr>
              <w:t>%</w:t>
            </w:r>
            <w:r w:rsidR="00B544D6" w:rsidRPr="00DD6590">
              <w:rPr>
                <w:rFonts w:asciiTheme="minorHAnsi" w:hAnsiTheme="minorHAnsi"/>
                <w:szCs w:val="18"/>
              </w:rPr>
              <w:t>.</w:t>
            </w:r>
          </w:p>
        </w:tc>
      </w:tr>
      <w:tr w:rsidR="00294819" w:rsidRPr="00DD6590" w14:paraId="393596C8" w14:textId="77777777" w:rsidTr="0098106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93" w:type="pct"/>
            <w:vAlign w:val="center"/>
          </w:tcPr>
          <w:p w14:paraId="64B7F05A" w14:textId="77777777" w:rsidR="00294819" w:rsidRPr="00DD6590" w:rsidRDefault="00294819" w:rsidP="00294819">
            <w:pPr>
              <w:spacing w:before="0" w:line="240" w:lineRule="auto"/>
              <w:jc w:val="left"/>
              <w:rPr>
                <w:rFonts w:asciiTheme="minorHAnsi" w:hAnsiTheme="minorHAnsi"/>
                <w:b w:val="0"/>
                <w:szCs w:val="18"/>
              </w:rPr>
            </w:pPr>
            <w:r w:rsidRPr="00DD6590">
              <w:rPr>
                <w:rFonts w:asciiTheme="minorHAnsi" w:hAnsiTheme="minorHAnsi"/>
                <w:b w:val="0"/>
                <w:szCs w:val="18"/>
              </w:rPr>
              <w:t>PO3: Verejná osobná doprava</w:t>
            </w:r>
          </w:p>
        </w:tc>
        <w:tc>
          <w:tcPr>
            <w:tcW w:w="611" w:type="pct"/>
            <w:vAlign w:val="center"/>
          </w:tcPr>
          <w:p w14:paraId="7F8CAC25" w14:textId="77777777" w:rsidR="00294819" w:rsidRPr="00DD6590" w:rsidRDefault="00294819" w:rsidP="00294819">
            <w:pPr>
              <w:spacing w:before="6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Nie</w:t>
            </w:r>
          </w:p>
        </w:tc>
        <w:tc>
          <w:tcPr>
            <w:tcW w:w="3594" w:type="pct"/>
            <w:vAlign w:val="center"/>
          </w:tcPr>
          <w:p w14:paraId="52B50685" w14:textId="77777777" w:rsidR="00294819" w:rsidRPr="00DD6590" w:rsidRDefault="00294819" w:rsidP="00A52411">
            <w:pPr>
              <w:spacing w:before="60"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Cs w:val="18"/>
              </w:rPr>
            </w:pPr>
            <w:r w:rsidRPr="00DD6590">
              <w:rPr>
                <w:rFonts w:asciiTheme="minorHAnsi" w:hAnsiTheme="minorHAnsi"/>
                <w:color w:val="000000"/>
                <w:szCs w:val="18"/>
              </w:rPr>
              <w:t>Zazmluvniť projekty, ktoré prispejú k naplneniu výkonnostného rámca.</w:t>
            </w:r>
            <w:r w:rsidR="00A52411" w:rsidRPr="00DD6590">
              <w:rPr>
                <w:rFonts w:asciiTheme="minorHAnsi" w:hAnsiTheme="minorHAnsi"/>
                <w:color w:val="000000"/>
                <w:szCs w:val="18"/>
              </w:rPr>
              <w:t xml:space="preserve"> Pri kontrahovaní </w:t>
            </w:r>
            <w:r w:rsidR="004B34E8">
              <w:rPr>
                <w:rFonts w:asciiTheme="minorHAnsi" w:hAnsiTheme="minorHAnsi"/>
                <w:color w:val="000000"/>
                <w:szCs w:val="18"/>
              </w:rPr>
              <w:t xml:space="preserve">sa </w:t>
            </w:r>
            <w:r w:rsidR="00A52411" w:rsidRPr="00DD6590">
              <w:rPr>
                <w:rFonts w:asciiTheme="minorHAnsi" w:hAnsiTheme="minorHAnsi"/>
                <w:color w:val="000000"/>
                <w:szCs w:val="18"/>
              </w:rPr>
              <w:t>odporúčame zamerať najmä na projekty:</w:t>
            </w:r>
          </w:p>
          <w:p w14:paraId="05C7F88F" w14:textId="77777777" w:rsidR="00A52411" w:rsidRPr="00DD6590" w:rsidRDefault="00A52411" w:rsidP="003E761D">
            <w:pPr>
              <w:pStyle w:val="ListParagraph"/>
              <w:numPr>
                <w:ilvl w:val="0"/>
                <w:numId w:val="36"/>
              </w:numPr>
              <w:spacing w:before="60" w:after="0" w:line="240" w:lineRule="auto"/>
              <w:contextualSpacing/>
              <w:cnfStyle w:val="000000100000" w:firstRow="0" w:lastRow="0" w:firstColumn="0" w:lastColumn="0" w:oddVBand="0" w:evenVBand="0" w:oddHBand="1" w:evenHBand="0" w:firstRowFirstColumn="0" w:firstRowLastColumn="0" w:lastRowFirstColumn="0" w:lastRowLastColumn="0"/>
              <w:rPr>
                <w:rFonts w:asciiTheme="minorHAnsi" w:eastAsia="Verdana" w:hAnsiTheme="minorHAnsi"/>
                <w:szCs w:val="18"/>
                <w:lang w:eastAsia="cs-CZ"/>
              </w:rPr>
            </w:pPr>
            <w:r w:rsidRPr="00DD6590">
              <w:rPr>
                <w:rFonts w:asciiTheme="minorHAnsi" w:eastAsia="Verdana" w:hAnsiTheme="minorHAnsi"/>
                <w:szCs w:val="18"/>
                <w:lang w:eastAsia="cs-CZ"/>
              </w:rPr>
              <w:t>Modernizácia električkových tratí – Dúbravsko-Karloveská radiála</w:t>
            </w:r>
            <w:r w:rsidR="004B34E8">
              <w:rPr>
                <w:rFonts w:asciiTheme="minorHAnsi" w:eastAsia="Verdana" w:hAnsiTheme="minorHAnsi"/>
                <w:szCs w:val="18"/>
                <w:lang w:eastAsia="cs-CZ"/>
              </w:rPr>
              <w:t>,</w:t>
            </w:r>
          </w:p>
          <w:p w14:paraId="63972A10" w14:textId="77777777" w:rsidR="00A52411" w:rsidRPr="00DD6590" w:rsidRDefault="00A52411" w:rsidP="003E761D">
            <w:pPr>
              <w:pStyle w:val="ListParagraph"/>
              <w:numPr>
                <w:ilvl w:val="0"/>
                <w:numId w:val="36"/>
              </w:numPr>
              <w:spacing w:before="60" w:after="0" w:line="240" w:lineRule="auto"/>
              <w:contextualSpacing/>
              <w:cnfStyle w:val="000000100000" w:firstRow="0" w:lastRow="0" w:firstColumn="0" w:lastColumn="0" w:oddVBand="0" w:evenVBand="0" w:oddHBand="1" w:evenHBand="0" w:firstRowFirstColumn="0" w:firstRowLastColumn="0" w:lastRowFirstColumn="0" w:lastRowLastColumn="0"/>
              <w:rPr>
                <w:rFonts w:eastAsia="Verdana"/>
                <w:szCs w:val="18"/>
                <w:lang w:eastAsia="cs-CZ"/>
              </w:rPr>
            </w:pPr>
            <w:r w:rsidRPr="00DD6590">
              <w:rPr>
                <w:rFonts w:asciiTheme="minorHAnsi" w:eastAsia="Verdana" w:hAnsiTheme="minorHAnsi"/>
                <w:szCs w:val="18"/>
                <w:lang w:eastAsia="cs-CZ"/>
              </w:rPr>
              <w:t>Koľajové prepojenie mestskej časti Petržalka s centrom mesta, NS MHD 1. etapa Hlavná stanica – Janíkov dvor, prevádzkový úsek Bosákova ulica – Janíkov dvor, 2. časť Bosákova – Janíkov dvor</w:t>
            </w:r>
          </w:p>
        </w:tc>
      </w:tr>
      <w:tr w:rsidR="00294819" w:rsidRPr="00DD6590" w14:paraId="66435439" w14:textId="77777777" w:rsidTr="00981061">
        <w:trPr>
          <w:trHeight w:val="283"/>
        </w:trPr>
        <w:tc>
          <w:tcPr>
            <w:cnfStyle w:val="001000000000" w:firstRow="0" w:lastRow="0" w:firstColumn="1" w:lastColumn="0" w:oddVBand="0" w:evenVBand="0" w:oddHBand="0" w:evenHBand="0" w:firstRowFirstColumn="0" w:firstRowLastColumn="0" w:lastRowFirstColumn="0" w:lastRowLastColumn="0"/>
            <w:tcW w:w="793" w:type="pct"/>
            <w:vAlign w:val="center"/>
          </w:tcPr>
          <w:p w14:paraId="57E650DE" w14:textId="77777777" w:rsidR="00294819" w:rsidRPr="00DD6590" w:rsidRDefault="00294819" w:rsidP="00294819">
            <w:pPr>
              <w:spacing w:before="0" w:line="240" w:lineRule="auto"/>
              <w:jc w:val="left"/>
              <w:rPr>
                <w:rFonts w:asciiTheme="minorHAnsi" w:hAnsiTheme="minorHAnsi"/>
                <w:szCs w:val="18"/>
              </w:rPr>
            </w:pPr>
            <w:r w:rsidRPr="00DD6590">
              <w:rPr>
                <w:rFonts w:asciiTheme="minorHAnsi" w:hAnsiTheme="minorHAnsi"/>
                <w:b w:val="0"/>
                <w:szCs w:val="18"/>
              </w:rPr>
              <w:t>PO4: Infraštruktúra vodnej dopravy (TEN-T CORE)</w:t>
            </w:r>
          </w:p>
        </w:tc>
        <w:tc>
          <w:tcPr>
            <w:tcW w:w="611" w:type="pct"/>
            <w:vAlign w:val="center"/>
          </w:tcPr>
          <w:p w14:paraId="39B9492A" w14:textId="77777777" w:rsidR="00294819" w:rsidRPr="00DD6590" w:rsidRDefault="00294819" w:rsidP="00294819">
            <w:pPr>
              <w:spacing w:before="6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Áno</w:t>
            </w:r>
          </w:p>
        </w:tc>
        <w:tc>
          <w:tcPr>
            <w:tcW w:w="3594" w:type="pct"/>
            <w:shd w:val="clear" w:color="auto" w:fill="auto"/>
            <w:vAlign w:val="center"/>
          </w:tcPr>
          <w:p w14:paraId="1438950C" w14:textId="77777777" w:rsidR="00981061" w:rsidRPr="00DD6590" w:rsidRDefault="00284D72" w:rsidP="0070591E">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Z dot</w:t>
            </w:r>
            <w:r w:rsidR="00A242F0" w:rsidRPr="00DD6590">
              <w:rPr>
                <w:rFonts w:asciiTheme="minorHAnsi" w:hAnsiTheme="minorHAnsi"/>
                <w:szCs w:val="18"/>
              </w:rPr>
              <w:t>azníka vyplýva, že v rámci PO4 sú</w:t>
            </w:r>
            <w:r w:rsidRPr="00DD6590">
              <w:rPr>
                <w:rFonts w:asciiTheme="minorHAnsi" w:hAnsiTheme="minorHAnsi"/>
                <w:szCs w:val="18"/>
              </w:rPr>
              <w:t xml:space="preserve"> naplánovan</w:t>
            </w:r>
            <w:r w:rsidR="00A242F0" w:rsidRPr="00DD6590">
              <w:rPr>
                <w:rFonts w:asciiTheme="minorHAnsi" w:hAnsiTheme="minorHAnsi"/>
                <w:szCs w:val="18"/>
              </w:rPr>
              <w:t>é</w:t>
            </w:r>
            <w:r w:rsidRPr="00DD6590">
              <w:rPr>
                <w:rFonts w:asciiTheme="minorHAnsi" w:hAnsiTheme="minorHAnsi"/>
                <w:szCs w:val="18"/>
              </w:rPr>
              <w:t xml:space="preserve"> projekt</w:t>
            </w:r>
            <w:r w:rsidR="00A242F0" w:rsidRPr="00DD6590">
              <w:rPr>
                <w:rFonts w:asciiTheme="minorHAnsi" w:hAnsiTheme="minorHAnsi"/>
                <w:szCs w:val="18"/>
              </w:rPr>
              <w:t>y</w:t>
            </w:r>
            <w:r w:rsidRPr="00DD6590">
              <w:rPr>
                <w:rFonts w:asciiTheme="minorHAnsi" w:hAnsiTheme="minorHAnsi"/>
                <w:szCs w:val="18"/>
              </w:rPr>
              <w:t xml:space="preserve"> v celkovej hodnote  </w:t>
            </w:r>
            <w:r w:rsidR="00402CBB" w:rsidRPr="00DD6590">
              <w:rPr>
                <w:rFonts w:asciiTheme="minorHAnsi" w:hAnsiTheme="minorHAnsi"/>
                <w:szCs w:val="18"/>
              </w:rPr>
              <w:t xml:space="preserve">149 </w:t>
            </w:r>
            <w:r w:rsidRPr="00DD6590">
              <w:rPr>
                <w:rFonts w:asciiTheme="minorHAnsi" w:hAnsiTheme="minorHAnsi"/>
                <w:szCs w:val="18"/>
              </w:rPr>
              <w:t>mil. EUR, čo by znamenalo</w:t>
            </w:r>
            <w:r w:rsidR="0070591E" w:rsidRPr="00DD6590">
              <w:rPr>
                <w:rFonts w:asciiTheme="minorHAnsi" w:hAnsiTheme="minorHAnsi"/>
                <w:szCs w:val="18"/>
              </w:rPr>
              <w:t xml:space="preserve"> spolu so schválenými projektami</w:t>
            </w:r>
            <w:r w:rsidRPr="00DD6590">
              <w:rPr>
                <w:rFonts w:asciiTheme="minorHAnsi" w:hAnsiTheme="minorHAnsi"/>
                <w:szCs w:val="18"/>
              </w:rPr>
              <w:t xml:space="preserve"> naplnenie finančného ukazovateľa výkonnostného rámca na </w:t>
            </w:r>
            <w:r w:rsidR="00A242F0" w:rsidRPr="00DD6590">
              <w:rPr>
                <w:rFonts w:asciiTheme="minorHAnsi" w:hAnsiTheme="minorHAnsi"/>
                <w:szCs w:val="18"/>
              </w:rPr>
              <w:t>100</w:t>
            </w:r>
            <w:r w:rsidR="004B34E8">
              <w:rPr>
                <w:rFonts w:asciiTheme="minorHAnsi" w:hAnsiTheme="minorHAnsi"/>
                <w:szCs w:val="18"/>
              </w:rPr>
              <w:t xml:space="preserve"> </w:t>
            </w:r>
            <w:r w:rsidRPr="00DD6590">
              <w:rPr>
                <w:rFonts w:asciiTheme="minorHAnsi" w:hAnsiTheme="minorHAnsi"/>
                <w:szCs w:val="18"/>
              </w:rPr>
              <w:t>%</w:t>
            </w:r>
            <w:r w:rsidR="0070591E" w:rsidRPr="00DD6590">
              <w:rPr>
                <w:rFonts w:asciiTheme="minorHAnsi" w:hAnsiTheme="minorHAnsi"/>
                <w:szCs w:val="18"/>
              </w:rPr>
              <w:t>.</w:t>
            </w:r>
            <w:r w:rsidR="00981061" w:rsidRPr="00DD6590">
              <w:rPr>
                <w:rFonts w:asciiTheme="minorHAnsi" w:hAnsiTheme="minorHAnsi"/>
                <w:szCs w:val="18"/>
              </w:rPr>
              <w:t xml:space="preserve"> </w:t>
            </w:r>
            <w:r w:rsidR="004B34E8">
              <w:rPr>
                <w:rFonts w:asciiTheme="minorHAnsi" w:hAnsiTheme="minorHAnsi"/>
                <w:szCs w:val="18"/>
              </w:rPr>
              <w:t>V</w:t>
            </w:r>
            <w:r w:rsidR="00981061" w:rsidRPr="00DD6590">
              <w:rPr>
                <w:rFonts w:asciiTheme="minorHAnsi" w:hAnsiTheme="minorHAnsi"/>
                <w:szCs w:val="18"/>
              </w:rPr>
              <w:t xml:space="preserve">šetky hodnoty projektov sú </w:t>
            </w:r>
            <w:r w:rsidR="004B34E8">
              <w:rPr>
                <w:rFonts w:asciiTheme="minorHAnsi" w:hAnsiTheme="minorHAnsi"/>
                <w:szCs w:val="18"/>
              </w:rPr>
              <w:t xml:space="preserve">však </w:t>
            </w:r>
            <w:r w:rsidR="00981061" w:rsidRPr="00DD6590">
              <w:rPr>
                <w:rFonts w:asciiTheme="minorHAnsi" w:hAnsiTheme="minorHAnsi"/>
                <w:szCs w:val="18"/>
              </w:rPr>
              <w:t>len odhadované a nemajú stanovený harmonogram realizácie, preto nie je možné vyhodnotiť, či prioritná os naplní výkonnostný rámec.</w:t>
            </w:r>
            <w:r w:rsidR="0070591E" w:rsidRPr="00DD6590">
              <w:rPr>
                <w:rFonts w:asciiTheme="minorHAnsi" w:hAnsiTheme="minorHAnsi"/>
                <w:szCs w:val="18"/>
              </w:rPr>
              <w:t xml:space="preserve"> </w:t>
            </w:r>
            <w:r w:rsidR="00981061" w:rsidRPr="00DD6590">
              <w:rPr>
                <w:rFonts w:asciiTheme="minorHAnsi" w:hAnsiTheme="minorHAnsi"/>
                <w:szCs w:val="18"/>
              </w:rPr>
              <w:t>Vzhľadom na stav pripravenosti jednotlivých projektov hodnotiteľ navrhuje zníženie zámeru 2023 približne vo výške 40 mil. EUR</w:t>
            </w:r>
            <w:r w:rsidR="001B73AD" w:rsidRPr="00DD6590">
              <w:rPr>
                <w:rFonts w:asciiTheme="minorHAnsi" w:hAnsiTheme="minorHAnsi"/>
                <w:szCs w:val="18"/>
              </w:rPr>
              <w:t>, resp. 35 mil. EUR, čo zodpovedá finančnej oprave pri nenaplnení výkonnostného rámca na 50</w:t>
            </w:r>
            <w:r w:rsidR="004B34E8">
              <w:rPr>
                <w:rFonts w:asciiTheme="minorHAnsi" w:hAnsiTheme="minorHAnsi"/>
                <w:szCs w:val="18"/>
              </w:rPr>
              <w:t xml:space="preserve"> </w:t>
            </w:r>
            <w:r w:rsidR="001B73AD" w:rsidRPr="00DD6590">
              <w:rPr>
                <w:rFonts w:asciiTheme="minorHAnsi" w:hAnsiTheme="minorHAnsi"/>
                <w:szCs w:val="18"/>
              </w:rPr>
              <w:t>% pri dvoch ukazovateľoch</w:t>
            </w:r>
            <w:r w:rsidR="00981061" w:rsidRPr="00DD6590">
              <w:rPr>
                <w:rFonts w:asciiTheme="minorHAnsi" w:hAnsiTheme="minorHAnsi"/>
                <w:szCs w:val="18"/>
              </w:rPr>
              <w:t xml:space="preserve">. </w:t>
            </w:r>
          </w:p>
          <w:p w14:paraId="59BA9718" w14:textId="77777777" w:rsidR="0070591E" w:rsidRPr="00DD6590" w:rsidRDefault="0070591E" w:rsidP="008476FF">
            <w:pPr>
              <w:spacing w:before="60"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Nosným projektom je „Pravidelná osobná lodná doprava na Dunaji </w:t>
            </w:r>
            <w:r w:rsidR="004B34E8" w:rsidRPr="00DD6590">
              <w:t>–</w:t>
            </w:r>
            <w:r w:rsidRPr="00DD6590">
              <w:rPr>
                <w:rFonts w:asciiTheme="minorHAnsi" w:hAnsiTheme="minorHAnsi"/>
                <w:szCs w:val="18"/>
              </w:rPr>
              <w:t xml:space="preserve"> Dunajbus </w:t>
            </w:r>
            <w:r w:rsidR="004B34E8" w:rsidRPr="00DD6590">
              <w:t>–</w:t>
            </w:r>
            <w:r w:rsidRPr="00DD6590">
              <w:rPr>
                <w:rFonts w:asciiTheme="minorHAnsi" w:hAnsiTheme="minorHAnsi"/>
                <w:szCs w:val="18"/>
              </w:rPr>
              <w:t xml:space="preserve"> projektová dokumentácia a realizácia“</w:t>
            </w:r>
            <w:r w:rsidR="004B34E8">
              <w:rPr>
                <w:rFonts w:asciiTheme="minorHAnsi" w:hAnsiTheme="minorHAnsi"/>
                <w:szCs w:val="18"/>
              </w:rPr>
              <w:t>,</w:t>
            </w:r>
            <w:r w:rsidRPr="00DD6590">
              <w:rPr>
                <w:rFonts w:asciiTheme="minorHAnsi" w:hAnsiTheme="minorHAnsi"/>
                <w:szCs w:val="18"/>
              </w:rPr>
              <w:t xml:space="preserve"> </w:t>
            </w:r>
            <w:r w:rsidR="004B34E8">
              <w:rPr>
                <w:rFonts w:asciiTheme="minorHAnsi" w:hAnsiTheme="minorHAnsi"/>
                <w:szCs w:val="18"/>
              </w:rPr>
              <w:t>k</w:t>
            </w:r>
            <w:r w:rsidRPr="00DD6590">
              <w:rPr>
                <w:rFonts w:asciiTheme="minorHAnsi" w:hAnsiTheme="minorHAnsi"/>
                <w:szCs w:val="18"/>
              </w:rPr>
              <w:t>torý však neprispieva k naplneniu výstupového ukazovateľa výkonnostného rámca.</w:t>
            </w:r>
            <w:r w:rsidR="00A242F0" w:rsidRPr="00DD6590">
              <w:rPr>
                <w:rFonts w:asciiTheme="minorHAnsi" w:hAnsiTheme="minorHAnsi"/>
                <w:szCs w:val="18"/>
              </w:rPr>
              <w:t xml:space="preserve"> </w:t>
            </w:r>
            <w:r w:rsidR="002D1D1E">
              <w:rPr>
                <w:rFonts w:asciiTheme="minorHAnsi" w:hAnsiTheme="minorHAnsi"/>
                <w:szCs w:val="18"/>
              </w:rPr>
              <w:t>V</w:t>
            </w:r>
            <w:r w:rsidR="00C73EF7" w:rsidRPr="00DD6590">
              <w:rPr>
                <w:rFonts w:asciiTheme="minorHAnsi" w:hAnsiTheme="minorHAnsi"/>
                <w:szCs w:val="18"/>
              </w:rPr>
              <w:t>äčšina investičných projektov, ktoré sú plánované</w:t>
            </w:r>
            <w:r w:rsidR="004B34E8">
              <w:rPr>
                <w:rFonts w:asciiTheme="minorHAnsi" w:hAnsiTheme="minorHAnsi"/>
                <w:szCs w:val="18"/>
              </w:rPr>
              <w:t>,</w:t>
            </w:r>
            <w:r w:rsidR="00C73EF7" w:rsidRPr="00DD6590">
              <w:rPr>
                <w:rFonts w:asciiTheme="minorHAnsi" w:hAnsiTheme="minorHAnsi"/>
                <w:szCs w:val="18"/>
              </w:rPr>
              <w:t xml:space="preserve"> nemá ešte vypracovanú štúdiu uskutočniteľnosti, resp. </w:t>
            </w:r>
            <w:r w:rsidR="004B34E8">
              <w:rPr>
                <w:rFonts w:asciiTheme="minorHAnsi" w:hAnsiTheme="minorHAnsi"/>
                <w:szCs w:val="18"/>
              </w:rPr>
              <w:t>p</w:t>
            </w:r>
            <w:r w:rsidR="00C73EF7" w:rsidRPr="00DD6590">
              <w:rPr>
                <w:rFonts w:asciiTheme="minorHAnsi" w:hAnsiTheme="minorHAnsi"/>
                <w:szCs w:val="18"/>
              </w:rPr>
              <w:t>ráve</w:t>
            </w:r>
            <w:r w:rsidR="004B34E8">
              <w:rPr>
                <w:rFonts w:asciiTheme="minorHAnsi" w:hAnsiTheme="minorHAnsi"/>
                <w:szCs w:val="18"/>
              </w:rPr>
              <w:t xml:space="preserve"> sa</w:t>
            </w:r>
            <w:r w:rsidR="00C73EF7" w:rsidRPr="00DD6590">
              <w:rPr>
                <w:rFonts w:asciiTheme="minorHAnsi" w:hAnsiTheme="minorHAnsi"/>
                <w:szCs w:val="18"/>
              </w:rPr>
              <w:t xml:space="preserve"> vypracováva. </w:t>
            </w:r>
            <w:r w:rsidR="008476FF">
              <w:rPr>
                <w:rFonts w:asciiTheme="minorHAnsi" w:hAnsiTheme="minorHAnsi"/>
                <w:szCs w:val="18"/>
              </w:rPr>
              <w:t>Vzhľadom na uvedenú skutočnosť</w:t>
            </w:r>
            <w:r w:rsidR="008476FF" w:rsidRPr="00DD6590">
              <w:rPr>
                <w:rFonts w:asciiTheme="minorHAnsi" w:hAnsiTheme="minorHAnsi"/>
                <w:szCs w:val="18"/>
              </w:rPr>
              <w:t xml:space="preserve"> </w:t>
            </w:r>
            <w:r w:rsidR="008476FF">
              <w:rPr>
                <w:rFonts w:asciiTheme="minorHAnsi" w:hAnsiTheme="minorHAnsi"/>
                <w:szCs w:val="18"/>
              </w:rPr>
              <w:t>možno predpokladať</w:t>
            </w:r>
            <w:r w:rsidR="00C73EF7" w:rsidRPr="00DD6590">
              <w:rPr>
                <w:rFonts w:asciiTheme="minorHAnsi" w:hAnsiTheme="minorHAnsi"/>
                <w:szCs w:val="18"/>
              </w:rPr>
              <w:t xml:space="preserve">, že investičné projekty nebudú realizované v tomto programovom období, </w:t>
            </w:r>
            <w:r w:rsidR="002D1D1E">
              <w:rPr>
                <w:rFonts w:asciiTheme="minorHAnsi" w:hAnsiTheme="minorHAnsi"/>
                <w:szCs w:val="18"/>
              </w:rPr>
              <w:t>hoci</w:t>
            </w:r>
            <w:r w:rsidR="00C73EF7" w:rsidRPr="00DD6590">
              <w:rPr>
                <w:rFonts w:asciiTheme="minorHAnsi" w:hAnsiTheme="minorHAnsi"/>
                <w:szCs w:val="18"/>
              </w:rPr>
              <w:t xml:space="preserve"> štúdie môžu byť využité ako podklad pre projekty, ktoré by mohli byť financované z ďalšieho programového obdobia. Odporúčame vypracovať akčný plán, ktorý povedie k posunu implementácie kľúčových projektov smerujúcich k naplneniu cieľov OPII. V</w:t>
            </w:r>
            <w:r w:rsidR="003B76EC">
              <w:rPr>
                <w:rFonts w:asciiTheme="minorHAnsi" w:hAnsiTheme="minorHAnsi"/>
                <w:szCs w:val="18"/>
              </w:rPr>
              <w:t> </w:t>
            </w:r>
            <w:r w:rsidR="00C73EF7" w:rsidRPr="00DD6590">
              <w:rPr>
                <w:rFonts w:asciiTheme="minorHAnsi" w:hAnsiTheme="minorHAnsi"/>
                <w:szCs w:val="18"/>
              </w:rPr>
              <w:t>prípade</w:t>
            </w:r>
            <w:r w:rsidR="003B76EC">
              <w:rPr>
                <w:rFonts w:asciiTheme="minorHAnsi" w:hAnsiTheme="minorHAnsi"/>
                <w:szCs w:val="18"/>
              </w:rPr>
              <w:t>,</w:t>
            </w:r>
            <w:r w:rsidR="00C73EF7" w:rsidRPr="00DD6590">
              <w:rPr>
                <w:rFonts w:asciiTheme="minorHAnsi" w:hAnsiTheme="minorHAnsi"/>
                <w:szCs w:val="18"/>
              </w:rPr>
              <w:t xml:space="preserve"> ak nebudú ciele stanovené akčným plánom </w:t>
            </w:r>
            <w:r w:rsidR="003B76EC" w:rsidRPr="00DD6590">
              <w:rPr>
                <w:rFonts w:asciiTheme="minorHAnsi" w:hAnsiTheme="minorHAnsi"/>
                <w:szCs w:val="18"/>
              </w:rPr>
              <w:t xml:space="preserve">splnené </w:t>
            </w:r>
            <w:r w:rsidR="00C73EF7" w:rsidRPr="00DD6590">
              <w:rPr>
                <w:rFonts w:asciiTheme="minorHAnsi" w:hAnsiTheme="minorHAnsi"/>
                <w:szCs w:val="18"/>
              </w:rPr>
              <w:t xml:space="preserve">v stanovenom termíne, bude potrebné iniciovať presun voľných finančných prostriedkov z PO4 do PO2, resp. PO3, z dôvodu  dostatočnej </w:t>
            </w:r>
            <w:r w:rsidR="002D1D1E" w:rsidRPr="00DD6590">
              <w:rPr>
                <w:rFonts w:asciiTheme="minorHAnsi" w:hAnsiTheme="minorHAnsi"/>
                <w:szCs w:val="18"/>
              </w:rPr>
              <w:t>absorpčnej</w:t>
            </w:r>
            <w:r w:rsidR="00C73EF7" w:rsidRPr="00DD6590">
              <w:rPr>
                <w:rFonts w:asciiTheme="minorHAnsi" w:hAnsiTheme="minorHAnsi"/>
                <w:szCs w:val="18"/>
              </w:rPr>
              <w:t xml:space="preserve"> kapacity. </w:t>
            </w:r>
            <w:r w:rsidR="002D1D1E">
              <w:rPr>
                <w:rFonts w:asciiTheme="minorHAnsi" w:hAnsiTheme="minorHAnsi"/>
                <w:szCs w:val="18"/>
              </w:rPr>
              <w:t>O</w:t>
            </w:r>
            <w:r w:rsidR="00C73EF7" w:rsidRPr="00DD6590">
              <w:rPr>
                <w:rFonts w:asciiTheme="minorHAnsi" w:hAnsiTheme="minorHAnsi"/>
                <w:szCs w:val="18"/>
              </w:rPr>
              <w:t xml:space="preserve">dporúčame </w:t>
            </w:r>
            <w:r w:rsidR="002D1D1E">
              <w:rPr>
                <w:rFonts w:asciiTheme="minorHAnsi" w:hAnsiTheme="minorHAnsi"/>
                <w:szCs w:val="18"/>
              </w:rPr>
              <w:t xml:space="preserve">sa však </w:t>
            </w:r>
            <w:r w:rsidR="00C73EF7" w:rsidRPr="00DD6590">
              <w:rPr>
                <w:rFonts w:asciiTheme="minorHAnsi" w:hAnsiTheme="minorHAnsi"/>
                <w:szCs w:val="18"/>
              </w:rPr>
              <w:t>zamera</w:t>
            </w:r>
            <w:r w:rsidR="001B73AD" w:rsidRPr="00DD6590">
              <w:rPr>
                <w:rFonts w:asciiTheme="minorHAnsi" w:hAnsiTheme="minorHAnsi"/>
                <w:szCs w:val="18"/>
              </w:rPr>
              <w:t>ť</w:t>
            </w:r>
            <w:r w:rsidR="00C73EF7" w:rsidRPr="00DD6590">
              <w:rPr>
                <w:rFonts w:asciiTheme="minorHAnsi" w:hAnsiTheme="minorHAnsi"/>
                <w:szCs w:val="18"/>
              </w:rPr>
              <w:t xml:space="preserve"> na ekologickú dopravu a prioritizovať PO3.</w:t>
            </w:r>
          </w:p>
        </w:tc>
      </w:tr>
      <w:tr w:rsidR="00294819" w:rsidRPr="00DD6590" w14:paraId="47D2175D" w14:textId="77777777" w:rsidTr="0098106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93" w:type="pct"/>
            <w:vAlign w:val="center"/>
          </w:tcPr>
          <w:p w14:paraId="40030D1D" w14:textId="77777777" w:rsidR="00294819" w:rsidRPr="00DD6590" w:rsidRDefault="00294819" w:rsidP="00294819">
            <w:pPr>
              <w:spacing w:before="0" w:line="240" w:lineRule="auto"/>
              <w:jc w:val="left"/>
              <w:rPr>
                <w:rFonts w:asciiTheme="minorHAnsi" w:hAnsiTheme="minorHAnsi"/>
                <w:szCs w:val="18"/>
              </w:rPr>
            </w:pPr>
            <w:r w:rsidRPr="00DD6590">
              <w:rPr>
                <w:rFonts w:asciiTheme="minorHAnsi" w:hAnsiTheme="minorHAnsi"/>
                <w:b w:val="0"/>
                <w:szCs w:val="18"/>
              </w:rPr>
              <w:t>PO5: Železničná infraštruktúra</w:t>
            </w:r>
          </w:p>
        </w:tc>
        <w:tc>
          <w:tcPr>
            <w:tcW w:w="611" w:type="pct"/>
            <w:vAlign w:val="center"/>
          </w:tcPr>
          <w:p w14:paraId="501AD56B" w14:textId="77777777" w:rsidR="00294819" w:rsidRPr="00DD6590" w:rsidRDefault="00294819" w:rsidP="00294819">
            <w:pPr>
              <w:spacing w:before="6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Áno</w:t>
            </w:r>
          </w:p>
        </w:tc>
        <w:tc>
          <w:tcPr>
            <w:tcW w:w="3594" w:type="pct"/>
            <w:vAlign w:val="center"/>
          </w:tcPr>
          <w:p w14:paraId="307A5971" w14:textId="77777777" w:rsidR="00294819" w:rsidRPr="00DD6590" w:rsidRDefault="0065467D" w:rsidP="0065467D">
            <w:pPr>
              <w:spacing w:before="60" w:after="0" w:line="240" w:lineRule="auto"/>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Finančný ukazovateľ výkonnostného rámca podľa dotazníka vyplneného prijímateľom by mal byť naplnený na 100</w:t>
            </w:r>
            <w:r w:rsidR="002D1D1E">
              <w:rPr>
                <w:rFonts w:asciiTheme="minorHAnsi" w:hAnsiTheme="minorHAnsi"/>
                <w:szCs w:val="18"/>
              </w:rPr>
              <w:t xml:space="preserve"> </w:t>
            </w:r>
            <w:r w:rsidRPr="00DD6590">
              <w:rPr>
                <w:rFonts w:asciiTheme="minorHAnsi" w:hAnsiTheme="minorHAnsi"/>
                <w:szCs w:val="18"/>
              </w:rPr>
              <w:t>%, pričom sú v ňom uvedené aj rezervné projekty. Pre naplnenie výstupov</w:t>
            </w:r>
            <w:r w:rsidR="006A27B4" w:rsidRPr="00DD6590">
              <w:rPr>
                <w:rFonts w:asciiTheme="minorHAnsi" w:hAnsiTheme="minorHAnsi"/>
                <w:szCs w:val="18"/>
              </w:rPr>
              <w:t>ého</w:t>
            </w:r>
            <w:r w:rsidRPr="00DD6590">
              <w:rPr>
                <w:rFonts w:asciiTheme="minorHAnsi" w:hAnsiTheme="minorHAnsi"/>
                <w:szCs w:val="18"/>
              </w:rPr>
              <w:t xml:space="preserve"> ukazovateľ</w:t>
            </w:r>
            <w:r w:rsidR="006A27B4" w:rsidRPr="00DD6590">
              <w:rPr>
                <w:rFonts w:asciiTheme="minorHAnsi" w:hAnsiTheme="minorHAnsi"/>
                <w:szCs w:val="18"/>
              </w:rPr>
              <w:t xml:space="preserve">a Celková dĺžka rekonštruovaných alebo zrenovovaných železničných tratí </w:t>
            </w:r>
            <w:r w:rsidRPr="00DD6590">
              <w:rPr>
                <w:rFonts w:asciiTheme="minorHAnsi" w:hAnsiTheme="minorHAnsi"/>
                <w:szCs w:val="18"/>
              </w:rPr>
              <w:t>odporúčame zazmluvniť najmä nasledovné projekty:</w:t>
            </w:r>
          </w:p>
          <w:p w14:paraId="60C60948" w14:textId="77777777" w:rsidR="0065467D" w:rsidRPr="00DD6590" w:rsidRDefault="0065467D" w:rsidP="003E761D">
            <w:pPr>
              <w:pStyle w:val="ListParagraph"/>
              <w:numPr>
                <w:ilvl w:val="0"/>
                <w:numId w:val="40"/>
              </w:numPr>
              <w:spacing w:before="60" w:after="0" w:line="240" w:lineRule="auto"/>
              <w:ind w:left="346" w:hanging="346"/>
              <w:contextualSpacing/>
              <w:cnfStyle w:val="000000100000" w:firstRow="0" w:lastRow="0" w:firstColumn="0" w:lastColumn="0" w:oddVBand="0" w:evenVBand="0" w:oddHBand="1" w:evenHBand="0" w:firstRowFirstColumn="0" w:firstRowLastColumn="0" w:lastRowFirstColumn="0" w:lastRowLastColumn="0"/>
              <w:rPr>
                <w:rFonts w:eastAsia="Verdana"/>
                <w:szCs w:val="18"/>
                <w:lang w:eastAsia="cs-CZ"/>
              </w:rPr>
            </w:pPr>
            <w:r w:rsidRPr="00DD6590">
              <w:rPr>
                <w:rFonts w:eastAsia="Verdana"/>
                <w:szCs w:val="18"/>
                <w:lang w:eastAsia="cs-CZ"/>
              </w:rPr>
              <w:t xml:space="preserve">Elektrifikácia trate Haniska pri Košiciach </w:t>
            </w:r>
            <w:r w:rsidR="002D1D1E" w:rsidRPr="00DD6590">
              <w:t>–</w:t>
            </w:r>
            <w:r w:rsidRPr="00DD6590">
              <w:rPr>
                <w:rFonts w:eastAsia="Verdana"/>
                <w:szCs w:val="18"/>
                <w:lang w:eastAsia="cs-CZ"/>
              </w:rPr>
              <w:t xml:space="preserve"> Moldava nad Bodvou, realizácia</w:t>
            </w:r>
            <w:r w:rsidR="002D1D1E">
              <w:rPr>
                <w:rFonts w:eastAsia="Verdana"/>
                <w:szCs w:val="18"/>
                <w:lang w:eastAsia="cs-CZ"/>
              </w:rPr>
              <w:t>,</w:t>
            </w:r>
          </w:p>
          <w:p w14:paraId="285F0911" w14:textId="77777777" w:rsidR="0065467D" w:rsidRPr="00DD6590" w:rsidRDefault="0065467D" w:rsidP="003E761D">
            <w:pPr>
              <w:pStyle w:val="ListParagraph"/>
              <w:numPr>
                <w:ilvl w:val="0"/>
                <w:numId w:val="40"/>
              </w:numPr>
              <w:spacing w:before="60" w:after="0" w:line="240" w:lineRule="auto"/>
              <w:ind w:left="346" w:hanging="346"/>
              <w:contextualSpacing/>
              <w:cnfStyle w:val="000000100000" w:firstRow="0" w:lastRow="0" w:firstColumn="0" w:lastColumn="0" w:oddVBand="0" w:evenVBand="0" w:oddHBand="1" w:evenHBand="0" w:firstRowFirstColumn="0" w:firstRowLastColumn="0" w:lastRowFirstColumn="0" w:lastRowLastColumn="0"/>
              <w:rPr>
                <w:rFonts w:eastAsia="Verdana"/>
                <w:szCs w:val="18"/>
                <w:lang w:eastAsia="cs-CZ"/>
              </w:rPr>
            </w:pPr>
            <w:r w:rsidRPr="00DD6590">
              <w:rPr>
                <w:rFonts w:eastAsia="Verdana"/>
                <w:szCs w:val="18"/>
                <w:lang w:eastAsia="cs-CZ"/>
              </w:rPr>
              <w:t>Modernizácia koridoru št. hranica ČR/SR – Čadca – Krásno nad Kysucou, úsek štátna hranica ČR/SR - Čadca (mimo)</w:t>
            </w:r>
            <w:r w:rsidR="002D1D1E">
              <w:rPr>
                <w:rFonts w:eastAsia="Verdana"/>
                <w:szCs w:val="18"/>
                <w:lang w:eastAsia="cs-CZ"/>
              </w:rPr>
              <w:t>,</w:t>
            </w:r>
          </w:p>
          <w:p w14:paraId="60EB98F5" w14:textId="77777777" w:rsidR="0065467D" w:rsidRPr="00DD6590" w:rsidRDefault="0065467D" w:rsidP="003E761D">
            <w:pPr>
              <w:pStyle w:val="ListParagraph"/>
              <w:numPr>
                <w:ilvl w:val="0"/>
                <w:numId w:val="40"/>
              </w:numPr>
              <w:spacing w:before="60" w:after="0" w:line="240" w:lineRule="auto"/>
              <w:ind w:left="346" w:hanging="346"/>
              <w:contextualSpacing/>
              <w:cnfStyle w:val="000000100000" w:firstRow="0" w:lastRow="0" w:firstColumn="0" w:lastColumn="0" w:oddVBand="0" w:evenVBand="0" w:oddHBand="1" w:evenHBand="0" w:firstRowFirstColumn="0" w:firstRowLastColumn="0" w:lastRowFirstColumn="0" w:lastRowLastColumn="0"/>
              <w:rPr>
                <w:rFonts w:eastAsia="Verdana"/>
                <w:szCs w:val="18"/>
                <w:lang w:eastAsia="cs-CZ"/>
              </w:rPr>
            </w:pPr>
            <w:r w:rsidRPr="00DD6590">
              <w:rPr>
                <w:rFonts w:eastAsia="Verdana"/>
                <w:szCs w:val="18"/>
                <w:lang w:eastAsia="cs-CZ"/>
              </w:rPr>
              <w:lastRenderedPageBreak/>
              <w:t xml:space="preserve">ŽSR, </w:t>
            </w:r>
            <w:r w:rsidR="002D1D1E">
              <w:rPr>
                <w:rFonts w:eastAsia="Verdana"/>
                <w:szCs w:val="18"/>
                <w:lang w:eastAsia="cs-CZ"/>
              </w:rPr>
              <w:t>e</w:t>
            </w:r>
            <w:r w:rsidRPr="00DD6590">
              <w:rPr>
                <w:rFonts w:eastAsia="Verdana"/>
                <w:szCs w:val="18"/>
                <w:lang w:eastAsia="cs-CZ"/>
              </w:rPr>
              <w:t xml:space="preserve">lektrifikácia trate Bánovce nad Ondavou </w:t>
            </w:r>
            <w:r w:rsidR="002D1D1E" w:rsidRPr="00DD6590">
              <w:t>–</w:t>
            </w:r>
            <w:r w:rsidRPr="00DD6590">
              <w:rPr>
                <w:rFonts w:eastAsia="Verdana"/>
                <w:szCs w:val="18"/>
                <w:lang w:eastAsia="cs-CZ"/>
              </w:rPr>
              <w:t xml:space="preserve"> Humenné, realizácia</w:t>
            </w:r>
            <w:r w:rsidR="002D1D1E">
              <w:rPr>
                <w:rFonts w:eastAsia="Verdana"/>
                <w:szCs w:val="18"/>
                <w:lang w:eastAsia="cs-CZ"/>
              </w:rPr>
              <w:t>.</w:t>
            </w:r>
          </w:p>
          <w:p w14:paraId="4957C94B" w14:textId="77777777" w:rsidR="006A27B4" w:rsidRPr="00DD6590" w:rsidRDefault="00C73EF7" w:rsidP="00C73EF7">
            <w:pPr>
              <w:spacing w:before="60" w:after="0" w:line="240" w:lineRule="auto"/>
              <w:contextualSpacing/>
              <w:cnfStyle w:val="000000100000" w:firstRow="0" w:lastRow="0" w:firstColumn="0" w:lastColumn="0" w:oddVBand="0" w:evenVBand="0" w:oddHBand="1" w:evenHBand="0" w:firstRowFirstColumn="0" w:firstRowLastColumn="0" w:lastRowFirstColumn="0" w:lastRowLastColumn="0"/>
              <w:rPr>
                <w:szCs w:val="18"/>
              </w:rPr>
            </w:pPr>
            <w:r w:rsidRPr="00DD6590">
              <w:rPr>
                <w:szCs w:val="18"/>
              </w:rPr>
              <w:t>Prijímateľ pri týchto projektoch uviedol hodnotu dĺžky rekonštruovaných alebo zrenovovaných v celkovej hodnote 59,9 km</w:t>
            </w:r>
            <w:r w:rsidR="006A27B4" w:rsidRPr="00DD6590">
              <w:rPr>
                <w:szCs w:val="18"/>
              </w:rPr>
              <w:t xml:space="preserve">. </w:t>
            </w:r>
          </w:p>
        </w:tc>
      </w:tr>
      <w:tr w:rsidR="00294819" w:rsidRPr="00DD6590" w14:paraId="48551669" w14:textId="77777777" w:rsidTr="00981061">
        <w:trPr>
          <w:trHeight w:val="283"/>
        </w:trPr>
        <w:tc>
          <w:tcPr>
            <w:cnfStyle w:val="001000000000" w:firstRow="0" w:lastRow="0" w:firstColumn="1" w:lastColumn="0" w:oddVBand="0" w:evenVBand="0" w:oddHBand="0" w:evenHBand="0" w:firstRowFirstColumn="0" w:firstRowLastColumn="0" w:lastRowFirstColumn="0" w:lastRowLastColumn="0"/>
            <w:tcW w:w="793" w:type="pct"/>
            <w:vAlign w:val="center"/>
          </w:tcPr>
          <w:p w14:paraId="61D731CF" w14:textId="77777777" w:rsidR="00294819" w:rsidRPr="00DD6590" w:rsidRDefault="00294819" w:rsidP="00294819">
            <w:pPr>
              <w:spacing w:before="0" w:line="240" w:lineRule="auto"/>
              <w:jc w:val="left"/>
              <w:rPr>
                <w:rFonts w:asciiTheme="minorHAnsi" w:hAnsiTheme="minorHAnsi"/>
                <w:b w:val="0"/>
                <w:szCs w:val="18"/>
              </w:rPr>
            </w:pPr>
            <w:r w:rsidRPr="00DD6590">
              <w:rPr>
                <w:rFonts w:asciiTheme="minorHAnsi" w:hAnsiTheme="minorHAnsi"/>
                <w:b w:val="0"/>
                <w:szCs w:val="18"/>
              </w:rPr>
              <w:lastRenderedPageBreak/>
              <w:t>PO6: Cestná infraštruktúra (mimo TEN-T CORE)</w:t>
            </w:r>
          </w:p>
        </w:tc>
        <w:tc>
          <w:tcPr>
            <w:tcW w:w="611" w:type="pct"/>
            <w:vAlign w:val="center"/>
          </w:tcPr>
          <w:p w14:paraId="179EC90A" w14:textId="77777777" w:rsidR="00294819" w:rsidRPr="00DD6590" w:rsidRDefault="00294819" w:rsidP="00294819">
            <w:pPr>
              <w:spacing w:before="6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szCs w:val="18"/>
              </w:rPr>
            </w:pPr>
            <w:r w:rsidRPr="00DD6590">
              <w:rPr>
                <w:rFonts w:asciiTheme="minorHAnsi" w:hAnsiTheme="minorHAnsi"/>
                <w:b/>
                <w:bCs/>
                <w:szCs w:val="18"/>
              </w:rPr>
              <w:t>Nie</w:t>
            </w:r>
          </w:p>
        </w:tc>
        <w:tc>
          <w:tcPr>
            <w:tcW w:w="3594" w:type="pct"/>
            <w:vAlign w:val="center"/>
          </w:tcPr>
          <w:p w14:paraId="41933B41" w14:textId="77777777" w:rsidR="00294819" w:rsidRPr="00DD6590" w:rsidRDefault="00294819" w:rsidP="002D1D1E">
            <w:p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color w:val="000000"/>
                <w:szCs w:val="18"/>
              </w:rPr>
              <w:t>Zazmluvniť projekty, ktoré prispejú k naplneniu výkonnostného rámca.</w:t>
            </w:r>
            <w:r w:rsidR="006A27B4" w:rsidRPr="00DD6590">
              <w:rPr>
                <w:rFonts w:asciiTheme="minorHAnsi" w:hAnsiTheme="minorHAnsi"/>
                <w:color w:val="000000"/>
                <w:szCs w:val="18"/>
              </w:rPr>
              <w:t xml:space="preserve"> Všetky investičné projekty uvedené v dotazníku pre NDS budú prispievať k naplneniu výkonnostného rámca. Vzhľadom na pripravenosť projektov a absorpčnú kapacitu odporúčame </w:t>
            </w:r>
            <w:r w:rsidR="002D1D1E" w:rsidRPr="00DD6590">
              <w:rPr>
                <w:rFonts w:asciiTheme="minorHAnsi" w:hAnsiTheme="minorHAnsi"/>
                <w:color w:val="000000"/>
                <w:szCs w:val="18"/>
              </w:rPr>
              <w:t>navýš</w:t>
            </w:r>
            <w:r w:rsidR="002D1D1E">
              <w:rPr>
                <w:rFonts w:asciiTheme="minorHAnsi" w:hAnsiTheme="minorHAnsi"/>
                <w:color w:val="000000"/>
                <w:szCs w:val="18"/>
              </w:rPr>
              <w:t>iť</w:t>
            </w:r>
            <w:r w:rsidR="002D1D1E" w:rsidRPr="00DD6590">
              <w:rPr>
                <w:rFonts w:asciiTheme="minorHAnsi" w:hAnsiTheme="minorHAnsi"/>
                <w:color w:val="000000"/>
                <w:szCs w:val="18"/>
              </w:rPr>
              <w:t xml:space="preserve"> </w:t>
            </w:r>
            <w:r w:rsidR="006A27B4" w:rsidRPr="00DD6590">
              <w:rPr>
                <w:rFonts w:asciiTheme="minorHAnsi" w:hAnsiTheme="minorHAnsi"/>
                <w:color w:val="000000"/>
                <w:szCs w:val="18"/>
              </w:rPr>
              <w:t xml:space="preserve">alokácie prioritnej osi. Prvé navýšenie alokácie bolo schválené na rokovaní vlády dňa </w:t>
            </w:r>
            <w:r w:rsidR="00C73EF7" w:rsidRPr="00DD6590">
              <w:rPr>
                <w:rFonts w:asciiTheme="minorHAnsi" w:hAnsiTheme="minorHAnsi"/>
                <w:color w:val="000000"/>
                <w:szCs w:val="18"/>
              </w:rPr>
              <w:t>27</w:t>
            </w:r>
            <w:r w:rsidR="006A27B4" w:rsidRPr="00DD6590">
              <w:rPr>
                <w:rFonts w:asciiTheme="minorHAnsi" w:hAnsiTheme="minorHAnsi"/>
                <w:color w:val="000000"/>
                <w:szCs w:val="18"/>
              </w:rPr>
              <w:t>.</w:t>
            </w:r>
            <w:r w:rsidR="002D1D1E">
              <w:rPr>
                <w:rFonts w:asciiTheme="minorHAnsi" w:hAnsiTheme="minorHAnsi"/>
                <w:color w:val="000000"/>
                <w:szCs w:val="18"/>
              </w:rPr>
              <w:t xml:space="preserve"> </w:t>
            </w:r>
            <w:r w:rsidR="006A27B4" w:rsidRPr="00DD6590">
              <w:rPr>
                <w:rFonts w:asciiTheme="minorHAnsi" w:hAnsiTheme="minorHAnsi"/>
                <w:color w:val="000000"/>
                <w:szCs w:val="18"/>
              </w:rPr>
              <w:t>3.</w:t>
            </w:r>
            <w:r w:rsidR="002D1D1E">
              <w:rPr>
                <w:rFonts w:asciiTheme="minorHAnsi" w:hAnsiTheme="minorHAnsi"/>
                <w:color w:val="000000"/>
                <w:szCs w:val="18"/>
              </w:rPr>
              <w:t xml:space="preserve"> </w:t>
            </w:r>
            <w:r w:rsidR="006A27B4" w:rsidRPr="00DD6590">
              <w:rPr>
                <w:rFonts w:asciiTheme="minorHAnsi" w:hAnsiTheme="minorHAnsi"/>
                <w:color w:val="000000"/>
                <w:szCs w:val="18"/>
              </w:rPr>
              <w:t>2019</w:t>
            </w:r>
            <w:r w:rsidR="002D1D1E">
              <w:rPr>
                <w:rFonts w:asciiTheme="minorHAnsi" w:hAnsiTheme="minorHAnsi"/>
                <w:color w:val="000000"/>
                <w:szCs w:val="18"/>
              </w:rPr>
              <w:t>,</w:t>
            </w:r>
            <w:r w:rsidR="006A27B4" w:rsidRPr="00DD6590">
              <w:rPr>
                <w:rFonts w:asciiTheme="minorHAnsi" w:hAnsiTheme="minorHAnsi"/>
                <w:color w:val="000000"/>
                <w:szCs w:val="18"/>
              </w:rPr>
              <w:t xml:space="preserve"> a to schválením materiálu „</w:t>
            </w:r>
            <w:r w:rsidR="006A27B4" w:rsidRPr="00DD6590">
              <w:t xml:space="preserve">Predbežný návrh prerozdelenia časti výkonnostnej rezervy v prospech Operačného programu Integrovaná infraštruktúra“. Prijímatelia deklarujú projekty v celkovej hodnote 1 </w:t>
            </w:r>
            <w:r w:rsidR="00C73EF7" w:rsidRPr="00DD6590">
              <w:t xml:space="preserve">626 </w:t>
            </w:r>
            <w:r w:rsidR="006A27B4" w:rsidRPr="00DD6590">
              <w:t>mil. EUR</w:t>
            </w:r>
            <w:r w:rsidR="00A52411" w:rsidRPr="00DD6590">
              <w:t xml:space="preserve">, čo znamená, že v prípade </w:t>
            </w:r>
            <w:r w:rsidR="00C73EF7" w:rsidRPr="00DD6590">
              <w:t xml:space="preserve">uvoľnenia </w:t>
            </w:r>
            <w:r w:rsidR="00A52411" w:rsidRPr="00DD6590">
              <w:t xml:space="preserve">ďalších finančných prostriedkov z EFRR je možné ďalšie navýšenie alokácie.  </w:t>
            </w:r>
          </w:p>
        </w:tc>
      </w:tr>
      <w:tr w:rsidR="00294819" w:rsidRPr="00DD6590" w14:paraId="3C768FCB" w14:textId="77777777" w:rsidTr="0098106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93" w:type="pct"/>
            <w:vAlign w:val="center"/>
          </w:tcPr>
          <w:p w14:paraId="0349A645" w14:textId="77777777" w:rsidR="00294819" w:rsidRPr="00DD6590" w:rsidRDefault="00294819" w:rsidP="00294819">
            <w:pPr>
              <w:spacing w:before="0" w:line="240" w:lineRule="auto"/>
              <w:jc w:val="left"/>
              <w:rPr>
                <w:rFonts w:asciiTheme="minorHAnsi" w:hAnsiTheme="minorHAnsi"/>
                <w:b w:val="0"/>
                <w:szCs w:val="18"/>
              </w:rPr>
            </w:pPr>
            <w:r w:rsidRPr="00DD6590">
              <w:rPr>
                <w:rFonts w:asciiTheme="minorHAnsi" w:hAnsiTheme="minorHAnsi"/>
                <w:b w:val="0"/>
                <w:szCs w:val="18"/>
              </w:rPr>
              <w:t xml:space="preserve">PO7 – Informačná spoločnosť </w:t>
            </w:r>
          </w:p>
        </w:tc>
        <w:tc>
          <w:tcPr>
            <w:tcW w:w="611" w:type="pct"/>
            <w:vAlign w:val="center"/>
          </w:tcPr>
          <w:p w14:paraId="3B7C5CAA" w14:textId="77777777" w:rsidR="00294819" w:rsidRPr="00DD6590" w:rsidRDefault="00294819" w:rsidP="00294819">
            <w:pPr>
              <w:spacing w:before="6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Áno</w:t>
            </w:r>
          </w:p>
        </w:tc>
        <w:tc>
          <w:tcPr>
            <w:tcW w:w="3596" w:type="pct"/>
            <w:vAlign w:val="center"/>
          </w:tcPr>
          <w:p w14:paraId="2CFBB70F" w14:textId="77777777" w:rsidR="00294819" w:rsidRPr="00DD6590" w:rsidRDefault="008A3A8C" w:rsidP="008A3A8C">
            <w:pPr>
              <w:spacing w:before="60" w:after="0" w:line="240" w:lineRule="auto"/>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Finančný ukazovateľ výkonnostného rámca by podľa plánovaných projektov mohol byť naplnený</w:t>
            </w:r>
            <w:r w:rsidR="002D1D1E">
              <w:rPr>
                <w:rFonts w:asciiTheme="minorHAnsi" w:hAnsiTheme="minorHAnsi"/>
                <w:szCs w:val="18"/>
              </w:rPr>
              <w:t>,</w:t>
            </w:r>
            <w:r w:rsidRPr="00DD6590">
              <w:rPr>
                <w:rFonts w:asciiTheme="minorHAnsi" w:hAnsiTheme="minorHAnsi"/>
                <w:szCs w:val="18"/>
              </w:rPr>
              <w:t xml:space="preserve"> </w:t>
            </w:r>
            <w:r w:rsidR="002D1D1E">
              <w:rPr>
                <w:rFonts w:asciiTheme="minorHAnsi" w:hAnsiTheme="minorHAnsi"/>
                <w:szCs w:val="18"/>
              </w:rPr>
              <w:t>ale</w:t>
            </w:r>
            <w:r w:rsidRPr="00DD6590">
              <w:rPr>
                <w:rFonts w:asciiTheme="minorHAnsi" w:hAnsiTheme="minorHAnsi"/>
                <w:szCs w:val="18"/>
              </w:rPr>
              <w:t xml:space="preserve"> ako vyplýva z výsledkov analýzy</w:t>
            </w:r>
            <w:r w:rsidR="002D1D1E">
              <w:rPr>
                <w:rFonts w:asciiTheme="minorHAnsi" w:hAnsiTheme="minorHAnsi"/>
                <w:szCs w:val="18"/>
              </w:rPr>
              <w:t>,</w:t>
            </w:r>
            <w:r w:rsidRPr="00DD6590">
              <w:rPr>
                <w:rFonts w:asciiTheme="minorHAnsi" w:hAnsiTheme="minorHAnsi"/>
                <w:szCs w:val="18"/>
              </w:rPr>
              <w:t xml:space="preserve"> pri väčšine projektov je problém </w:t>
            </w:r>
            <w:r w:rsidR="00C73EF7" w:rsidRPr="00DD6590">
              <w:rPr>
                <w:rFonts w:asciiTheme="minorHAnsi" w:hAnsiTheme="minorHAnsi"/>
                <w:szCs w:val="18"/>
              </w:rPr>
              <w:t>s </w:t>
            </w:r>
            <w:r w:rsidRPr="00DD6590">
              <w:rPr>
                <w:rFonts w:asciiTheme="minorHAnsi" w:hAnsiTheme="minorHAnsi"/>
                <w:szCs w:val="18"/>
              </w:rPr>
              <w:t>verejným obstarávaní</w:t>
            </w:r>
            <w:r w:rsidR="00C73EF7" w:rsidRPr="00DD6590">
              <w:rPr>
                <w:rFonts w:asciiTheme="minorHAnsi" w:hAnsiTheme="minorHAnsi"/>
                <w:szCs w:val="18"/>
              </w:rPr>
              <w:t>m</w:t>
            </w:r>
            <w:r w:rsidR="002D1D1E">
              <w:rPr>
                <w:rFonts w:asciiTheme="minorHAnsi" w:hAnsiTheme="minorHAnsi"/>
                <w:szCs w:val="18"/>
              </w:rPr>
              <w:t>,</w:t>
            </w:r>
            <w:r w:rsidRPr="00DD6590">
              <w:rPr>
                <w:rFonts w:asciiTheme="minorHAnsi" w:hAnsiTheme="minorHAnsi"/>
                <w:szCs w:val="18"/>
              </w:rPr>
              <w:t xml:space="preserve"> a z tohto dôvodu sa predlžuje ich realizácia. Preto odporúčame zamerať sa na projekty</w:t>
            </w:r>
            <w:r w:rsidR="002D1D1E">
              <w:rPr>
                <w:rFonts w:asciiTheme="minorHAnsi" w:hAnsiTheme="minorHAnsi"/>
                <w:szCs w:val="18"/>
              </w:rPr>
              <w:t>,</w:t>
            </w:r>
            <w:r w:rsidRPr="00DD6590">
              <w:rPr>
                <w:rFonts w:asciiTheme="minorHAnsi" w:hAnsiTheme="minorHAnsi"/>
                <w:szCs w:val="18"/>
              </w:rPr>
              <w:t xml:space="preserve"> ktoré sú pripravené</w:t>
            </w:r>
            <w:r w:rsidR="002D1D1E">
              <w:rPr>
                <w:rFonts w:asciiTheme="minorHAnsi" w:hAnsiTheme="minorHAnsi"/>
                <w:szCs w:val="18"/>
              </w:rPr>
              <w:t>,</w:t>
            </w:r>
            <w:r w:rsidRPr="00DD6590">
              <w:rPr>
                <w:rFonts w:asciiTheme="minorHAnsi" w:hAnsiTheme="minorHAnsi"/>
                <w:szCs w:val="18"/>
              </w:rPr>
              <w:t xml:space="preserve"> a prispejú k naplneniu ukazovateľov výkonnostného rámca.</w:t>
            </w:r>
          </w:p>
          <w:p w14:paraId="4FAA8800" w14:textId="77777777" w:rsidR="00A8060B" w:rsidRPr="00DD6590" w:rsidRDefault="00A8060B" w:rsidP="008A3A8C">
            <w:pPr>
              <w:spacing w:before="60" w:after="0" w:line="240" w:lineRule="auto"/>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Priemerná doba realizácie projektov PO7 je 31 mesiacov, čím vzniká predpoklad, že projekty schválené </w:t>
            </w:r>
            <w:r w:rsidR="00E0285E" w:rsidRPr="00DD6590">
              <w:rPr>
                <w:rFonts w:asciiTheme="minorHAnsi" w:hAnsiTheme="minorHAnsi"/>
                <w:szCs w:val="18"/>
              </w:rPr>
              <w:t>v roku 2020 nebudú zrealizované v tomto programovom období. Preto je potrebné vypracovať akčný plán, ktorý povedie k posunu implementácie kľúčových projektov smerujúcich k naplneniu cieľov OPII. V</w:t>
            </w:r>
            <w:r w:rsidR="003B76EC">
              <w:rPr>
                <w:rFonts w:asciiTheme="minorHAnsi" w:hAnsiTheme="minorHAnsi"/>
                <w:szCs w:val="18"/>
              </w:rPr>
              <w:t> </w:t>
            </w:r>
            <w:r w:rsidR="00E0285E" w:rsidRPr="00DD6590">
              <w:rPr>
                <w:rFonts w:asciiTheme="minorHAnsi" w:hAnsiTheme="minorHAnsi"/>
                <w:szCs w:val="18"/>
              </w:rPr>
              <w:t>prípade</w:t>
            </w:r>
            <w:r w:rsidR="003B76EC">
              <w:rPr>
                <w:rFonts w:asciiTheme="minorHAnsi" w:hAnsiTheme="minorHAnsi"/>
                <w:szCs w:val="18"/>
              </w:rPr>
              <w:t>,</w:t>
            </w:r>
            <w:r w:rsidR="00E0285E" w:rsidRPr="00DD6590">
              <w:rPr>
                <w:rFonts w:asciiTheme="minorHAnsi" w:hAnsiTheme="minorHAnsi"/>
                <w:szCs w:val="18"/>
              </w:rPr>
              <w:t xml:space="preserve"> ak nebudú ciele stanovené akčným plánom </w:t>
            </w:r>
            <w:r w:rsidR="003B76EC" w:rsidRPr="00DD6590">
              <w:rPr>
                <w:rFonts w:asciiTheme="minorHAnsi" w:hAnsiTheme="minorHAnsi"/>
                <w:szCs w:val="18"/>
              </w:rPr>
              <w:t xml:space="preserve">splnené </w:t>
            </w:r>
            <w:r w:rsidR="00E0285E" w:rsidRPr="00DD6590">
              <w:rPr>
                <w:rFonts w:asciiTheme="minorHAnsi" w:hAnsiTheme="minorHAnsi"/>
                <w:szCs w:val="18"/>
              </w:rPr>
              <w:t>v stanovenom termíne, bude potrebné iniciovať presun voľných finančných prostriedkov z PO7 do PO6. Projekty, ktoré majú byť schválené v roku 2020</w:t>
            </w:r>
            <w:r w:rsidR="002D1D1E">
              <w:rPr>
                <w:rFonts w:asciiTheme="minorHAnsi" w:hAnsiTheme="minorHAnsi"/>
                <w:szCs w:val="18"/>
              </w:rPr>
              <w:t>,</w:t>
            </w:r>
            <w:r w:rsidR="00E0285E" w:rsidRPr="00DD6590">
              <w:rPr>
                <w:rFonts w:asciiTheme="minorHAnsi" w:hAnsiTheme="minorHAnsi"/>
                <w:szCs w:val="18"/>
              </w:rPr>
              <w:t xml:space="preserve"> sú v hodnote 188 mil. EUR – EÚ zdroje.</w:t>
            </w:r>
          </w:p>
          <w:p w14:paraId="5C3041C3" w14:textId="77777777" w:rsidR="008A3A8C" w:rsidRPr="00DD6590" w:rsidRDefault="008A3A8C" w:rsidP="008A3A8C">
            <w:pPr>
              <w:spacing w:before="60" w:after="0" w:line="240" w:lineRule="auto"/>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Ďalším odporúčaním je </w:t>
            </w:r>
            <w:r w:rsidR="00E0285E" w:rsidRPr="00DD6590">
              <w:rPr>
                <w:rFonts w:asciiTheme="minorHAnsi" w:hAnsiTheme="minorHAnsi"/>
                <w:szCs w:val="18"/>
              </w:rPr>
              <w:t xml:space="preserve">vypracovať </w:t>
            </w:r>
            <w:r w:rsidRPr="00DD6590">
              <w:rPr>
                <w:rFonts w:asciiTheme="minorHAnsi" w:hAnsiTheme="minorHAnsi"/>
                <w:szCs w:val="18"/>
              </w:rPr>
              <w:t xml:space="preserve">metodiku </w:t>
            </w:r>
            <w:r w:rsidR="00E0285E" w:rsidRPr="00DD6590">
              <w:rPr>
                <w:rFonts w:asciiTheme="minorHAnsi" w:hAnsiTheme="minorHAnsi"/>
                <w:szCs w:val="18"/>
              </w:rPr>
              <w:t xml:space="preserve">agregácie </w:t>
            </w:r>
            <w:r w:rsidRPr="00DD6590">
              <w:rPr>
                <w:rFonts w:asciiTheme="minorHAnsi" w:hAnsiTheme="minorHAnsi"/>
                <w:szCs w:val="18"/>
              </w:rPr>
              <w:t xml:space="preserve">projektových ukazovateľov na ukazovatele stanovené pre OPII. </w:t>
            </w:r>
          </w:p>
          <w:p w14:paraId="4257C6E8" w14:textId="77777777" w:rsidR="0094113A" w:rsidRPr="00DD6590" w:rsidRDefault="002D1D1E" w:rsidP="002D1D1E">
            <w:pPr>
              <w:spacing w:before="60" w:after="0" w:line="240" w:lineRule="auto"/>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Pr>
                <w:rFonts w:asciiTheme="minorHAnsi" w:hAnsiTheme="minorHAnsi"/>
                <w:szCs w:val="18"/>
              </w:rPr>
              <w:t>N</w:t>
            </w:r>
            <w:r w:rsidR="0094113A" w:rsidRPr="00DD6590">
              <w:rPr>
                <w:rFonts w:asciiTheme="minorHAnsi" w:hAnsiTheme="minorHAnsi"/>
                <w:szCs w:val="18"/>
              </w:rPr>
              <w:t>apĺňanie ukazovateľov výkonnostného rámca</w:t>
            </w:r>
            <w:r w:rsidRPr="00DD6590">
              <w:rPr>
                <w:rFonts w:asciiTheme="minorHAnsi" w:hAnsiTheme="minorHAnsi"/>
                <w:szCs w:val="18"/>
              </w:rPr>
              <w:t xml:space="preserve"> </w:t>
            </w:r>
            <w:r>
              <w:rPr>
                <w:rFonts w:asciiTheme="minorHAnsi" w:hAnsiTheme="minorHAnsi"/>
                <w:szCs w:val="18"/>
              </w:rPr>
              <w:t>je p</w:t>
            </w:r>
            <w:r w:rsidRPr="00DD6590">
              <w:rPr>
                <w:rFonts w:asciiTheme="minorHAnsi" w:hAnsiTheme="minorHAnsi"/>
                <w:szCs w:val="18"/>
              </w:rPr>
              <w:t>roblematické</w:t>
            </w:r>
            <w:r w:rsidR="0094113A" w:rsidRPr="00DD6590">
              <w:rPr>
                <w:rFonts w:asciiTheme="minorHAnsi" w:hAnsiTheme="minorHAnsi"/>
                <w:szCs w:val="18"/>
              </w:rPr>
              <w:t xml:space="preserve">, </w:t>
            </w:r>
            <w:r w:rsidR="00E0285E" w:rsidRPr="00DD6590">
              <w:rPr>
                <w:rFonts w:asciiTheme="minorHAnsi" w:hAnsiTheme="minorHAnsi"/>
                <w:szCs w:val="18"/>
              </w:rPr>
              <w:t>preto</w:t>
            </w:r>
            <w:r w:rsidR="0094113A" w:rsidRPr="00DD6590">
              <w:rPr>
                <w:rFonts w:asciiTheme="minorHAnsi" w:hAnsiTheme="minorHAnsi"/>
                <w:szCs w:val="18"/>
              </w:rPr>
              <w:t xml:space="preserve"> je pravdepodobné, že v rámci tejto PO hrozí finančná korekcia. </w:t>
            </w:r>
            <w:r>
              <w:rPr>
                <w:rFonts w:asciiTheme="minorHAnsi" w:hAnsiTheme="minorHAnsi"/>
                <w:szCs w:val="18"/>
              </w:rPr>
              <w:t>Z toho dôvodu</w:t>
            </w:r>
            <w:r w:rsidR="0094113A" w:rsidRPr="00DD6590">
              <w:rPr>
                <w:rFonts w:asciiTheme="minorHAnsi" w:hAnsiTheme="minorHAnsi"/>
                <w:szCs w:val="18"/>
              </w:rPr>
              <w:t xml:space="preserve"> odporúčame prerokovať s SO OPII zameranie projektov a v</w:t>
            </w:r>
            <w:r>
              <w:rPr>
                <w:rFonts w:asciiTheme="minorHAnsi" w:hAnsiTheme="minorHAnsi"/>
                <w:szCs w:val="18"/>
              </w:rPr>
              <w:t> </w:t>
            </w:r>
            <w:r w:rsidR="0094113A" w:rsidRPr="00DD6590">
              <w:rPr>
                <w:rFonts w:asciiTheme="minorHAnsi" w:hAnsiTheme="minorHAnsi"/>
                <w:szCs w:val="18"/>
              </w:rPr>
              <w:t>prípade</w:t>
            </w:r>
            <w:r>
              <w:rPr>
                <w:rFonts w:asciiTheme="minorHAnsi" w:hAnsiTheme="minorHAnsi"/>
                <w:szCs w:val="18"/>
              </w:rPr>
              <w:t>,</w:t>
            </w:r>
            <w:r w:rsidR="0094113A" w:rsidRPr="00DD6590">
              <w:rPr>
                <w:rFonts w:asciiTheme="minorHAnsi" w:hAnsiTheme="minorHAnsi"/>
                <w:szCs w:val="18"/>
              </w:rPr>
              <w:t xml:space="preserve"> ak nebudú zazmluvnené projekty, ktoré by tieto ukazovatele naplnili na 85</w:t>
            </w:r>
            <w:r>
              <w:rPr>
                <w:rFonts w:asciiTheme="minorHAnsi" w:hAnsiTheme="minorHAnsi"/>
                <w:szCs w:val="18"/>
              </w:rPr>
              <w:t xml:space="preserve"> </w:t>
            </w:r>
            <w:r w:rsidR="0094113A" w:rsidRPr="00DD6590">
              <w:rPr>
                <w:rFonts w:asciiTheme="minorHAnsi" w:hAnsiTheme="minorHAnsi"/>
                <w:szCs w:val="18"/>
              </w:rPr>
              <w:t>%, odporúčame realokovať finančné prostriedky</w:t>
            </w:r>
            <w:r w:rsidR="000D1B02" w:rsidRPr="00DD6590">
              <w:rPr>
                <w:rFonts w:asciiTheme="minorHAnsi" w:hAnsiTheme="minorHAnsi"/>
                <w:szCs w:val="18"/>
              </w:rPr>
              <w:t>.</w:t>
            </w:r>
            <w:r w:rsidR="0094113A" w:rsidRPr="00DD6590">
              <w:rPr>
                <w:rFonts w:asciiTheme="minorHAnsi" w:hAnsiTheme="minorHAnsi"/>
                <w:szCs w:val="18"/>
              </w:rPr>
              <w:t xml:space="preserve">  </w:t>
            </w:r>
          </w:p>
        </w:tc>
      </w:tr>
    </w:tbl>
    <w:p w14:paraId="2B772C99" w14:textId="77777777" w:rsidR="00F41009" w:rsidRPr="00DD6590" w:rsidRDefault="00DC7AC4" w:rsidP="00255B0C">
      <w:pPr>
        <w:pStyle w:val="Heading1"/>
      </w:pPr>
      <w:bookmarkStart w:id="58" w:name="_Toc10709722"/>
      <w:r w:rsidRPr="00DD6590">
        <w:t>Hodnotiaca otázka 4</w:t>
      </w:r>
      <w:bookmarkEnd w:id="58"/>
      <w:r w:rsidRPr="00DD6590">
        <w:t xml:space="preserve"> </w:t>
      </w:r>
    </w:p>
    <w:p w14:paraId="15F6B8DC" w14:textId="77777777" w:rsidR="001808D2" w:rsidRPr="00DD6590" w:rsidRDefault="001808D2" w:rsidP="001808D2">
      <w:pPr>
        <w:rPr>
          <w:b/>
        </w:rPr>
      </w:pPr>
      <w:r w:rsidRPr="00DD6590">
        <w:rPr>
          <w:b/>
        </w:rPr>
        <w:t>Je potrebné v niektorých prioritných osiach doplniť nové alebo upraviť existujúce aktivity, doplniť nových prijímateľov, či rozšíriť cieľové územia tak, aby sa podporila implementácia OPII? Je potrebné s cieľom podporiť implementáciu OPII vykonať finančné presuny medzi prioritnými osami?</w:t>
      </w:r>
    </w:p>
    <w:p w14:paraId="351E8A24" w14:textId="77777777" w:rsidR="00A622A2" w:rsidRPr="00DD6590" w:rsidRDefault="008A4CAC" w:rsidP="00A622A2">
      <w:r w:rsidRPr="00DD6590">
        <w:t xml:space="preserve">V prioritných osiach 4 a 5 je na základe výsledkov analýzy </w:t>
      </w:r>
      <w:r w:rsidR="00D7725A" w:rsidRPr="00DD6590">
        <w:t>a externých vplyvov (ako napr. zmena prijímateľa, nevy</w:t>
      </w:r>
      <w:r w:rsidR="00981061" w:rsidRPr="00DD6590">
        <w:t>s</w:t>
      </w:r>
      <w:r w:rsidR="00D7725A" w:rsidRPr="00DD6590">
        <w:t>p</w:t>
      </w:r>
      <w:r w:rsidR="00981061" w:rsidRPr="00DD6590">
        <w:t>o</w:t>
      </w:r>
      <w:r w:rsidR="00D7725A" w:rsidRPr="00DD6590">
        <w:t xml:space="preserve">riadané majetkovo-právne vzťahy a pod.) </w:t>
      </w:r>
      <w:r w:rsidRPr="00DD6590">
        <w:t>potrebné doplniť nové alebo upraviť existujúce aktivity, doplniť nových prijímateľov, či rozšíriť cieľové územia. Odporúčania na doplnenie sú uvedené v </w:t>
      </w:r>
      <w:r w:rsidR="008476FF">
        <w:t>nasledujúcej</w:t>
      </w:r>
      <w:r w:rsidR="008476FF" w:rsidRPr="00DD6590">
        <w:t xml:space="preserve"> </w:t>
      </w:r>
      <w:r w:rsidRPr="00DD6590">
        <w:t>tabuľke</w:t>
      </w:r>
      <w:r w:rsidR="002D1D1E">
        <w:t>, pričom</w:t>
      </w:r>
      <w:r w:rsidRPr="00DD6590">
        <w:t xml:space="preserve"> sú rozpracované pre jednotlivé PO:</w:t>
      </w:r>
    </w:p>
    <w:tbl>
      <w:tblPr>
        <w:tblStyle w:val="ListTable3-Accent1"/>
        <w:tblW w:w="5000" w:type="pct"/>
        <w:tblBorders>
          <w:left w:val="none" w:sz="0" w:space="0" w:color="auto"/>
          <w:right w:val="none" w:sz="0" w:space="0" w:color="auto"/>
          <w:insideH w:val="single" w:sz="4" w:space="0" w:color="86BC25" w:themeColor="accent1"/>
        </w:tblBorders>
        <w:tblCellMar>
          <w:left w:w="28" w:type="dxa"/>
          <w:right w:w="28" w:type="dxa"/>
        </w:tblCellMar>
        <w:tblLook w:val="04A0" w:firstRow="1" w:lastRow="0" w:firstColumn="1" w:lastColumn="0" w:noHBand="0" w:noVBand="1"/>
      </w:tblPr>
      <w:tblGrid>
        <w:gridCol w:w="1475"/>
        <w:gridCol w:w="112"/>
        <w:gridCol w:w="1093"/>
        <w:gridCol w:w="114"/>
        <w:gridCol w:w="6563"/>
      </w:tblGrid>
      <w:tr w:rsidR="00CC73BC" w:rsidRPr="00DD6590" w14:paraId="496A360D" w14:textId="77777777" w:rsidTr="00195734">
        <w:trPr>
          <w:cnfStyle w:val="100000000000" w:firstRow="1" w:lastRow="0" w:firstColumn="0" w:lastColumn="0" w:oddVBand="0" w:evenVBand="0" w:oddHBand="0" w:evenHBand="0" w:firstRowFirstColumn="0" w:firstRowLastColumn="0" w:lastRowFirstColumn="0" w:lastRowLastColumn="0"/>
          <w:trHeight w:val="283"/>
        </w:trPr>
        <w:tc>
          <w:tcPr>
            <w:cnfStyle w:val="001000000100" w:firstRow="0" w:lastRow="0" w:firstColumn="1" w:lastColumn="0" w:oddVBand="0" w:evenVBand="0" w:oddHBand="0" w:evenHBand="0" w:firstRowFirstColumn="1" w:firstRowLastColumn="0" w:lastRowFirstColumn="0" w:lastRowLastColumn="0"/>
            <w:tcW w:w="848" w:type="pct"/>
            <w:gridSpan w:val="2"/>
            <w:vAlign w:val="center"/>
          </w:tcPr>
          <w:p w14:paraId="6FA66616" w14:textId="77777777" w:rsidR="00CC73BC" w:rsidRPr="00DD6590" w:rsidRDefault="00CC73BC" w:rsidP="00CC73BC">
            <w:pPr>
              <w:spacing w:before="0" w:line="240" w:lineRule="auto"/>
              <w:rPr>
                <w:rFonts w:asciiTheme="minorHAnsi" w:hAnsiTheme="minorHAnsi"/>
                <w:szCs w:val="18"/>
              </w:rPr>
            </w:pPr>
            <w:r w:rsidRPr="00DD6590">
              <w:rPr>
                <w:rFonts w:asciiTheme="minorHAnsi" w:hAnsiTheme="minorHAnsi"/>
                <w:szCs w:val="18"/>
              </w:rPr>
              <w:t>Prioritná os</w:t>
            </w:r>
          </w:p>
        </w:tc>
        <w:tc>
          <w:tcPr>
            <w:tcW w:w="645" w:type="pct"/>
            <w:gridSpan w:val="2"/>
            <w:vAlign w:val="center"/>
          </w:tcPr>
          <w:p w14:paraId="5DA7401E" w14:textId="77777777" w:rsidR="00CC73BC" w:rsidRPr="00DD6590" w:rsidRDefault="00CC73BC" w:rsidP="00CC73BC">
            <w:pPr>
              <w:spacing w:before="0" w:line="240" w:lineRule="auto"/>
              <w:jc w:val="left"/>
              <w:cnfStyle w:val="100000000000" w:firstRow="1"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Odpoveď na HO</w:t>
            </w:r>
          </w:p>
        </w:tc>
        <w:tc>
          <w:tcPr>
            <w:tcW w:w="3507" w:type="pct"/>
            <w:vAlign w:val="center"/>
          </w:tcPr>
          <w:p w14:paraId="7453AEEA" w14:textId="77777777" w:rsidR="00CC73BC" w:rsidRPr="00DD6590" w:rsidRDefault="00CC73BC" w:rsidP="00CC73BC">
            <w:pPr>
              <w:spacing w:before="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Závery a navrhované opatrenia</w:t>
            </w:r>
          </w:p>
        </w:tc>
      </w:tr>
      <w:tr w:rsidR="00F41009" w:rsidRPr="00DD6590" w14:paraId="7D3724C3" w14:textId="77777777" w:rsidTr="0019573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88" w:type="pct"/>
            <w:vAlign w:val="center"/>
          </w:tcPr>
          <w:p w14:paraId="0AA8720F" w14:textId="77777777" w:rsidR="00F41009" w:rsidRPr="00DD6590" w:rsidRDefault="00F41009" w:rsidP="00B726CB">
            <w:pPr>
              <w:spacing w:before="0" w:line="240" w:lineRule="auto"/>
              <w:jc w:val="left"/>
              <w:rPr>
                <w:rFonts w:asciiTheme="minorHAnsi" w:hAnsiTheme="minorHAnsi"/>
                <w:b w:val="0"/>
                <w:szCs w:val="18"/>
              </w:rPr>
            </w:pPr>
            <w:r w:rsidRPr="00DD6590">
              <w:rPr>
                <w:rFonts w:asciiTheme="minorHAnsi" w:hAnsiTheme="minorHAnsi"/>
                <w:b w:val="0"/>
                <w:szCs w:val="18"/>
              </w:rPr>
              <w:t>PO1: Železničná infraštruktúra (TEN-T CORE) a obnova mobilných prostriedkov</w:t>
            </w:r>
          </w:p>
        </w:tc>
        <w:tc>
          <w:tcPr>
            <w:tcW w:w="644" w:type="pct"/>
            <w:gridSpan w:val="2"/>
            <w:vAlign w:val="center"/>
          </w:tcPr>
          <w:p w14:paraId="7B2C5B0C" w14:textId="77777777" w:rsidR="00F41009" w:rsidRPr="00DD6590" w:rsidRDefault="00C60217" w:rsidP="00C60217">
            <w:pPr>
              <w:spacing w:before="60"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Nie</w:t>
            </w:r>
          </w:p>
        </w:tc>
        <w:tc>
          <w:tcPr>
            <w:tcW w:w="3568" w:type="pct"/>
            <w:gridSpan w:val="2"/>
            <w:vAlign w:val="center"/>
          </w:tcPr>
          <w:p w14:paraId="6FADE500" w14:textId="77777777" w:rsidR="00F41009" w:rsidRPr="00DD6590" w:rsidRDefault="001A0292" w:rsidP="004677F8">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Cs w:val="18"/>
              </w:rPr>
            </w:pPr>
            <w:r w:rsidRPr="00DD6590">
              <w:rPr>
                <w:rFonts w:asciiTheme="minorHAnsi" w:hAnsiTheme="minorHAnsi"/>
                <w:color w:val="000000"/>
                <w:szCs w:val="18"/>
              </w:rPr>
              <w:t>V zmysle záverov analýzy nenavrhuje žiadnu úpravu prioritnej osi.</w:t>
            </w:r>
          </w:p>
        </w:tc>
      </w:tr>
      <w:tr w:rsidR="00F41009" w:rsidRPr="00DD6590" w14:paraId="54F678FD" w14:textId="77777777" w:rsidTr="00195734">
        <w:trPr>
          <w:trHeight w:val="283"/>
        </w:trPr>
        <w:tc>
          <w:tcPr>
            <w:cnfStyle w:val="001000000000" w:firstRow="0" w:lastRow="0" w:firstColumn="1" w:lastColumn="0" w:oddVBand="0" w:evenVBand="0" w:oddHBand="0" w:evenHBand="0" w:firstRowFirstColumn="0" w:firstRowLastColumn="0" w:lastRowFirstColumn="0" w:lastRowLastColumn="0"/>
            <w:tcW w:w="788" w:type="pct"/>
            <w:vAlign w:val="center"/>
          </w:tcPr>
          <w:p w14:paraId="478A3F1B" w14:textId="77777777" w:rsidR="00F41009" w:rsidRPr="00DD6590" w:rsidRDefault="00F41009" w:rsidP="00B726CB">
            <w:pPr>
              <w:spacing w:before="0" w:line="240" w:lineRule="auto"/>
              <w:jc w:val="left"/>
              <w:rPr>
                <w:rFonts w:asciiTheme="minorHAnsi" w:hAnsiTheme="minorHAnsi"/>
                <w:b w:val="0"/>
                <w:szCs w:val="18"/>
              </w:rPr>
            </w:pPr>
            <w:r w:rsidRPr="00DD6590">
              <w:rPr>
                <w:rFonts w:asciiTheme="minorHAnsi" w:hAnsiTheme="minorHAnsi"/>
                <w:b w:val="0"/>
                <w:szCs w:val="18"/>
              </w:rPr>
              <w:t>PO2: Cestná infraštruktúra (TEN-T)</w:t>
            </w:r>
          </w:p>
        </w:tc>
        <w:tc>
          <w:tcPr>
            <w:tcW w:w="644" w:type="pct"/>
            <w:gridSpan w:val="2"/>
            <w:vAlign w:val="center"/>
          </w:tcPr>
          <w:p w14:paraId="1DA3C8CD" w14:textId="77777777" w:rsidR="00F41009" w:rsidRPr="00DD6590" w:rsidRDefault="00375D3D" w:rsidP="00C60217">
            <w:pPr>
              <w:spacing w:before="60"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Áno</w:t>
            </w:r>
          </w:p>
        </w:tc>
        <w:tc>
          <w:tcPr>
            <w:tcW w:w="3568" w:type="pct"/>
            <w:gridSpan w:val="2"/>
            <w:vAlign w:val="center"/>
          </w:tcPr>
          <w:p w14:paraId="2F5B19B8" w14:textId="77777777" w:rsidR="00F41009" w:rsidRPr="00DD6590" w:rsidRDefault="00375D3D" w:rsidP="002D1D1E">
            <w:p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Vzhľadom </w:t>
            </w:r>
            <w:r w:rsidR="002D1D1E">
              <w:rPr>
                <w:rFonts w:asciiTheme="minorHAnsi" w:hAnsiTheme="minorHAnsi"/>
                <w:szCs w:val="18"/>
              </w:rPr>
              <w:t>na</w:t>
            </w:r>
            <w:r w:rsidR="002D1D1E" w:rsidRPr="00DD6590">
              <w:rPr>
                <w:rFonts w:asciiTheme="minorHAnsi" w:hAnsiTheme="minorHAnsi"/>
                <w:szCs w:val="18"/>
              </w:rPr>
              <w:t> </w:t>
            </w:r>
            <w:r w:rsidRPr="00DD6590">
              <w:rPr>
                <w:rFonts w:asciiTheme="minorHAnsi" w:hAnsiTheme="minorHAnsi"/>
                <w:szCs w:val="18"/>
              </w:rPr>
              <w:t>to, že prioritná os</w:t>
            </w:r>
            <w:r w:rsidR="008A4CAC" w:rsidRPr="00DD6590">
              <w:rPr>
                <w:rFonts w:asciiTheme="minorHAnsi" w:hAnsiTheme="minorHAnsi"/>
                <w:szCs w:val="18"/>
              </w:rPr>
              <w:t xml:space="preserve"> 2</w:t>
            </w:r>
            <w:r w:rsidRPr="00DD6590">
              <w:rPr>
                <w:rFonts w:asciiTheme="minorHAnsi" w:hAnsiTheme="minorHAnsi"/>
                <w:szCs w:val="18"/>
              </w:rPr>
              <w:t xml:space="preserve"> je zakontrahovaná na </w:t>
            </w:r>
            <w:r w:rsidR="0017585F" w:rsidRPr="00DD6590">
              <w:rPr>
                <w:rFonts w:asciiTheme="minorHAnsi" w:hAnsiTheme="minorHAnsi"/>
                <w:szCs w:val="18"/>
              </w:rPr>
              <w:t>115,10</w:t>
            </w:r>
            <w:r w:rsidR="002D1D1E">
              <w:rPr>
                <w:rFonts w:asciiTheme="minorHAnsi" w:hAnsiTheme="minorHAnsi"/>
                <w:szCs w:val="18"/>
              </w:rPr>
              <w:t xml:space="preserve"> </w:t>
            </w:r>
            <w:r w:rsidRPr="00DD6590">
              <w:rPr>
                <w:rFonts w:asciiTheme="minorHAnsi" w:hAnsiTheme="minorHAnsi"/>
                <w:szCs w:val="18"/>
              </w:rPr>
              <w:t>% a</w:t>
            </w:r>
            <w:r w:rsidR="008A4CAC" w:rsidRPr="00DD6590">
              <w:rPr>
                <w:rFonts w:asciiTheme="minorHAnsi" w:hAnsiTheme="minorHAnsi"/>
                <w:szCs w:val="18"/>
              </w:rPr>
              <w:t xml:space="preserve"> je potrebné realizovať </w:t>
            </w:r>
            <w:r w:rsidRPr="00DD6590">
              <w:rPr>
                <w:rFonts w:asciiTheme="minorHAnsi" w:hAnsiTheme="minorHAnsi"/>
                <w:szCs w:val="18"/>
              </w:rPr>
              <w:t>projekt</w:t>
            </w:r>
            <w:r w:rsidR="000F31B2" w:rsidRPr="00DD6590">
              <w:rPr>
                <w:rFonts w:asciiTheme="minorHAnsi" w:hAnsiTheme="minorHAnsi"/>
                <w:szCs w:val="18"/>
              </w:rPr>
              <w:t xml:space="preserve"> „D1 Hubová – Ivachnová (2. fáza)“</w:t>
            </w:r>
            <w:r w:rsidR="008A4CAC" w:rsidRPr="00DD6590">
              <w:rPr>
                <w:rFonts w:asciiTheme="minorHAnsi" w:hAnsiTheme="minorHAnsi"/>
                <w:szCs w:val="18"/>
              </w:rPr>
              <w:t>, ktorý</w:t>
            </w:r>
            <w:r w:rsidRPr="00DD6590">
              <w:rPr>
                <w:rFonts w:asciiTheme="minorHAnsi" w:hAnsiTheme="minorHAnsi"/>
                <w:szCs w:val="18"/>
              </w:rPr>
              <w:t xml:space="preserve"> </w:t>
            </w:r>
            <w:r w:rsidRPr="00DD6590">
              <w:rPr>
                <w:rFonts w:asciiTheme="minorHAnsi" w:hAnsiTheme="minorHAnsi"/>
                <w:szCs w:val="18"/>
              </w:rPr>
              <w:lastRenderedPageBreak/>
              <w:t>umožní naplneni</w:t>
            </w:r>
            <w:r w:rsidR="004160D6" w:rsidRPr="00DD6590">
              <w:rPr>
                <w:rFonts w:asciiTheme="minorHAnsi" w:hAnsiTheme="minorHAnsi"/>
                <w:szCs w:val="18"/>
              </w:rPr>
              <w:t>e</w:t>
            </w:r>
            <w:r w:rsidRPr="00DD6590">
              <w:rPr>
                <w:rFonts w:asciiTheme="minorHAnsi" w:hAnsiTheme="minorHAnsi"/>
                <w:szCs w:val="18"/>
              </w:rPr>
              <w:t xml:space="preserve"> výstupového ukazovateľa výkonnostného rámca</w:t>
            </w:r>
            <w:r w:rsidR="002D1D1E">
              <w:rPr>
                <w:rFonts w:asciiTheme="minorHAnsi" w:hAnsiTheme="minorHAnsi"/>
                <w:szCs w:val="18"/>
              </w:rPr>
              <w:t>,</w:t>
            </w:r>
            <w:r w:rsidR="008A4CAC" w:rsidRPr="00DD6590">
              <w:rPr>
                <w:rFonts w:asciiTheme="minorHAnsi" w:hAnsiTheme="minorHAnsi"/>
                <w:szCs w:val="18"/>
              </w:rPr>
              <w:t xml:space="preserve"> je potrebné </w:t>
            </w:r>
            <w:r w:rsidR="002D1D1E" w:rsidRPr="00DD6590">
              <w:rPr>
                <w:rFonts w:asciiTheme="minorHAnsi" w:hAnsiTheme="minorHAnsi"/>
                <w:szCs w:val="18"/>
              </w:rPr>
              <w:t>navýš</w:t>
            </w:r>
            <w:r w:rsidR="002D1D1E">
              <w:rPr>
                <w:rFonts w:asciiTheme="minorHAnsi" w:hAnsiTheme="minorHAnsi"/>
                <w:szCs w:val="18"/>
              </w:rPr>
              <w:t>iť</w:t>
            </w:r>
            <w:r w:rsidR="002D1D1E" w:rsidRPr="00DD6590">
              <w:rPr>
                <w:rFonts w:asciiTheme="minorHAnsi" w:hAnsiTheme="minorHAnsi"/>
                <w:szCs w:val="18"/>
              </w:rPr>
              <w:t xml:space="preserve"> </w:t>
            </w:r>
            <w:r w:rsidR="008A4CAC" w:rsidRPr="00DD6590">
              <w:rPr>
                <w:rFonts w:asciiTheme="minorHAnsi" w:hAnsiTheme="minorHAnsi"/>
                <w:szCs w:val="18"/>
              </w:rPr>
              <w:t xml:space="preserve">alokácie tejto prioritnej osi. </w:t>
            </w:r>
          </w:p>
        </w:tc>
      </w:tr>
      <w:tr w:rsidR="00F41009" w:rsidRPr="00DD6590" w14:paraId="204000C5" w14:textId="77777777" w:rsidTr="0019573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88" w:type="pct"/>
            <w:vAlign w:val="center"/>
          </w:tcPr>
          <w:p w14:paraId="0E8C7740" w14:textId="77777777" w:rsidR="00F41009" w:rsidRPr="00DD6590" w:rsidRDefault="00F41009" w:rsidP="00B726CB">
            <w:pPr>
              <w:spacing w:before="0" w:line="240" w:lineRule="auto"/>
              <w:jc w:val="left"/>
              <w:rPr>
                <w:rFonts w:asciiTheme="minorHAnsi" w:hAnsiTheme="minorHAnsi"/>
                <w:b w:val="0"/>
                <w:szCs w:val="18"/>
              </w:rPr>
            </w:pPr>
            <w:r w:rsidRPr="00DD6590">
              <w:rPr>
                <w:rFonts w:asciiTheme="minorHAnsi" w:hAnsiTheme="minorHAnsi"/>
                <w:b w:val="0"/>
                <w:szCs w:val="18"/>
              </w:rPr>
              <w:lastRenderedPageBreak/>
              <w:t>PO3: Verejná osobná doprava</w:t>
            </w:r>
          </w:p>
        </w:tc>
        <w:tc>
          <w:tcPr>
            <w:tcW w:w="644" w:type="pct"/>
            <w:gridSpan w:val="2"/>
            <w:vAlign w:val="center"/>
          </w:tcPr>
          <w:p w14:paraId="3DC796F6" w14:textId="77777777" w:rsidR="00F41009" w:rsidRPr="00DD6590" w:rsidRDefault="00B439FD" w:rsidP="00C60217">
            <w:pPr>
              <w:spacing w:before="6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18"/>
              </w:rPr>
            </w:pPr>
            <w:r>
              <w:rPr>
                <w:rFonts w:asciiTheme="minorHAnsi" w:hAnsiTheme="minorHAnsi"/>
                <w:b/>
                <w:szCs w:val="18"/>
              </w:rPr>
              <w:t>Áno</w:t>
            </w:r>
          </w:p>
        </w:tc>
        <w:tc>
          <w:tcPr>
            <w:tcW w:w="3568" w:type="pct"/>
            <w:gridSpan w:val="2"/>
            <w:vAlign w:val="center"/>
          </w:tcPr>
          <w:p w14:paraId="2CF72480" w14:textId="77777777" w:rsidR="00F41009" w:rsidRPr="00DD6590" w:rsidRDefault="008312BF" w:rsidP="002D1D1E">
            <w:pPr>
              <w:spacing w:before="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V prípade uvoľnenia finančných prostriedkov v rámci KF odporúčame </w:t>
            </w:r>
            <w:r w:rsidR="002D1D1E" w:rsidRPr="00DD6590">
              <w:rPr>
                <w:rFonts w:asciiTheme="minorHAnsi" w:hAnsiTheme="minorHAnsi"/>
                <w:szCs w:val="18"/>
              </w:rPr>
              <w:t>navýš</w:t>
            </w:r>
            <w:r w:rsidR="002D1D1E">
              <w:rPr>
                <w:rFonts w:asciiTheme="minorHAnsi" w:hAnsiTheme="minorHAnsi"/>
                <w:szCs w:val="18"/>
              </w:rPr>
              <w:t>iť</w:t>
            </w:r>
            <w:r w:rsidR="002D1D1E" w:rsidRPr="00DD6590">
              <w:rPr>
                <w:rFonts w:asciiTheme="minorHAnsi" w:hAnsiTheme="minorHAnsi"/>
                <w:szCs w:val="18"/>
              </w:rPr>
              <w:t xml:space="preserve"> </w:t>
            </w:r>
            <w:r w:rsidRPr="00DD6590">
              <w:rPr>
                <w:rFonts w:asciiTheme="minorHAnsi" w:hAnsiTheme="minorHAnsi"/>
                <w:szCs w:val="18"/>
              </w:rPr>
              <w:t>alokácie PO3</w:t>
            </w:r>
            <w:r w:rsidR="002D1D1E">
              <w:rPr>
                <w:rFonts w:asciiTheme="minorHAnsi" w:hAnsiTheme="minorHAnsi"/>
                <w:szCs w:val="18"/>
              </w:rPr>
              <w:t>,</w:t>
            </w:r>
            <w:r w:rsidRPr="00DD6590">
              <w:rPr>
                <w:rFonts w:asciiTheme="minorHAnsi" w:hAnsiTheme="minorHAnsi"/>
                <w:szCs w:val="18"/>
              </w:rPr>
              <w:t xml:space="preserve"> a to z dôvodu podpory ekologickej dopravy a </w:t>
            </w:r>
            <w:r w:rsidR="002D1D1E" w:rsidRPr="00DD6590">
              <w:rPr>
                <w:rFonts w:asciiTheme="minorHAnsi" w:hAnsiTheme="minorHAnsi"/>
                <w:szCs w:val="18"/>
              </w:rPr>
              <w:t>absorpčn</w:t>
            </w:r>
            <w:r w:rsidR="002D1D1E">
              <w:rPr>
                <w:rFonts w:asciiTheme="minorHAnsi" w:hAnsiTheme="minorHAnsi"/>
                <w:szCs w:val="18"/>
              </w:rPr>
              <w:t>ej</w:t>
            </w:r>
            <w:r w:rsidR="002D1D1E" w:rsidRPr="00DD6590">
              <w:rPr>
                <w:rFonts w:asciiTheme="minorHAnsi" w:hAnsiTheme="minorHAnsi"/>
                <w:szCs w:val="18"/>
              </w:rPr>
              <w:t xml:space="preserve"> schopnos</w:t>
            </w:r>
            <w:r w:rsidR="002D1D1E">
              <w:rPr>
                <w:rFonts w:asciiTheme="minorHAnsi" w:hAnsiTheme="minorHAnsi"/>
                <w:szCs w:val="18"/>
              </w:rPr>
              <w:t>ti</w:t>
            </w:r>
            <w:r w:rsidR="002D1D1E" w:rsidRPr="00DD6590">
              <w:rPr>
                <w:rFonts w:asciiTheme="minorHAnsi" w:hAnsiTheme="minorHAnsi"/>
                <w:szCs w:val="18"/>
              </w:rPr>
              <w:t xml:space="preserve"> </w:t>
            </w:r>
            <w:r w:rsidRPr="00DD6590">
              <w:rPr>
                <w:rFonts w:asciiTheme="minorHAnsi" w:hAnsiTheme="minorHAnsi"/>
                <w:szCs w:val="18"/>
              </w:rPr>
              <w:t>prioritnej osi.</w:t>
            </w:r>
          </w:p>
        </w:tc>
      </w:tr>
      <w:tr w:rsidR="00F41009" w:rsidRPr="00DD6590" w14:paraId="37577610" w14:textId="77777777" w:rsidTr="00195734">
        <w:trPr>
          <w:trHeight w:val="3619"/>
        </w:trPr>
        <w:tc>
          <w:tcPr>
            <w:cnfStyle w:val="001000000000" w:firstRow="0" w:lastRow="0" w:firstColumn="1" w:lastColumn="0" w:oddVBand="0" w:evenVBand="0" w:oddHBand="0" w:evenHBand="0" w:firstRowFirstColumn="0" w:firstRowLastColumn="0" w:lastRowFirstColumn="0" w:lastRowLastColumn="0"/>
            <w:tcW w:w="788" w:type="pct"/>
            <w:vAlign w:val="center"/>
          </w:tcPr>
          <w:p w14:paraId="526A36DE" w14:textId="77777777" w:rsidR="00F41009" w:rsidRPr="00DD6590" w:rsidRDefault="00F41009" w:rsidP="00B726CB">
            <w:pPr>
              <w:spacing w:before="0" w:line="240" w:lineRule="auto"/>
              <w:jc w:val="left"/>
              <w:rPr>
                <w:rFonts w:asciiTheme="minorHAnsi" w:hAnsiTheme="minorHAnsi"/>
                <w:szCs w:val="18"/>
              </w:rPr>
            </w:pPr>
            <w:r w:rsidRPr="00DD6590">
              <w:rPr>
                <w:rFonts w:asciiTheme="minorHAnsi" w:hAnsiTheme="minorHAnsi"/>
                <w:b w:val="0"/>
                <w:szCs w:val="18"/>
              </w:rPr>
              <w:t>PO4: Infraštruktúra vodnej dopravy (TEN-T CORE)</w:t>
            </w:r>
          </w:p>
        </w:tc>
        <w:tc>
          <w:tcPr>
            <w:tcW w:w="644" w:type="pct"/>
            <w:gridSpan w:val="2"/>
            <w:vAlign w:val="center"/>
          </w:tcPr>
          <w:p w14:paraId="4FC7D06B" w14:textId="77777777" w:rsidR="00F41009" w:rsidRPr="00DD6590" w:rsidRDefault="00C60217" w:rsidP="00C60217">
            <w:pPr>
              <w:spacing w:before="6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Áno</w:t>
            </w:r>
          </w:p>
        </w:tc>
        <w:tc>
          <w:tcPr>
            <w:tcW w:w="3568" w:type="pct"/>
            <w:gridSpan w:val="2"/>
            <w:vAlign w:val="center"/>
          </w:tcPr>
          <w:p w14:paraId="3F9376AF" w14:textId="77777777" w:rsidR="00F41009" w:rsidRPr="00DD6590" w:rsidRDefault="000B438F" w:rsidP="008D2E5B">
            <w:p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Pre urýchlenie čerpania a kontrahovania je potrebné doplniť v prioritnej osi 4 nových prijímateľov a</w:t>
            </w:r>
            <w:r w:rsidR="008D2E5B" w:rsidRPr="00DD6590">
              <w:rPr>
                <w:rFonts w:asciiTheme="minorHAnsi" w:hAnsiTheme="minorHAnsi"/>
                <w:szCs w:val="18"/>
              </w:rPr>
              <w:t> </w:t>
            </w:r>
            <w:r w:rsidR="00312097" w:rsidRPr="00DD6590">
              <w:rPr>
                <w:rFonts w:asciiTheme="minorHAnsi" w:hAnsiTheme="minorHAnsi"/>
                <w:szCs w:val="18"/>
              </w:rPr>
              <w:t>aktivity</w:t>
            </w:r>
            <w:r w:rsidR="008D2E5B" w:rsidRPr="00DD6590">
              <w:rPr>
                <w:rFonts w:asciiTheme="minorHAnsi" w:hAnsiTheme="minorHAnsi"/>
                <w:szCs w:val="18"/>
              </w:rPr>
              <w:t>. Odporú</w:t>
            </w:r>
            <w:r w:rsidR="00312097" w:rsidRPr="00DD6590">
              <w:rPr>
                <w:rFonts w:asciiTheme="minorHAnsi" w:hAnsiTheme="minorHAnsi"/>
                <w:szCs w:val="18"/>
              </w:rPr>
              <w:t>čame</w:t>
            </w:r>
            <w:r w:rsidR="003213F3" w:rsidRPr="00DD6590">
              <w:rPr>
                <w:rFonts w:asciiTheme="minorHAnsi" w:hAnsiTheme="minorHAnsi"/>
                <w:szCs w:val="18"/>
              </w:rPr>
              <w:t xml:space="preserve"> doplniť aj aktivity</w:t>
            </w:r>
            <w:r w:rsidR="00905A5C" w:rsidRPr="00DD6590">
              <w:rPr>
                <w:rFonts w:asciiTheme="minorHAnsi" w:hAnsiTheme="minorHAnsi"/>
                <w:szCs w:val="18"/>
              </w:rPr>
              <w:t xml:space="preserve"> a oprávnené územie</w:t>
            </w:r>
            <w:r w:rsidR="003213F3" w:rsidRPr="00DD6590">
              <w:rPr>
                <w:rFonts w:asciiTheme="minorHAnsi" w:hAnsiTheme="minorHAnsi"/>
                <w:szCs w:val="18"/>
              </w:rPr>
              <w:t xml:space="preserve"> pre prístav v Komárne, keďže </w:t>
            </w:r>
            <w:r w:rsidR="00842866" w:rsidRPr="00DD6590">
              <w:rPr>
                <w:rFonts w:asciiTheme="minorHAnsi" w:hAnsiTheme="minorHAnsi"/>
                <w:szCs w:val="18"/>
              </w:rPr>
              <w:t>prijímateľom</w:t>
            </w:r>
            <w:r w:rsidR="003213F3" w:rsidRPr="00DD6590">
              <w:rPr>
                <w:rFonts w:asciiTheme="minorHAnsi" w:hAnsiTheme="minorHAnsi"/>
                <w:szCs w:val="18"/>
              </w:rPr>
              <w:t xml:space="preserve"> </w:t>
            </w:r>
            <w:r w:rsidR="00842866" w:rsidRPr="00DD6590">
              <w:rPr>
                <w:rFonts w:asciiTheme="minorHAnsi" w:hAnsiTheme="minorHAnsi"/>
                <w:szCs w:val="18"/>
              </w:rPr>
              <w:t xml:space="preserve">sú Verejné prístavy a.s. </w:t>
            </w:r>
            <w:r w:rsidR="00C73EF7" w:rsidRPr="00DD6590">
              <w:rPr>
                <w:rFonts w:asciiTheme="minorHAnsi" w:hAnsiTheme="minorHAnsi"/>
                <w:szCs w:val="18"/>
              </w:rPr>
              <w:t>V </w:t>
            </w:r>
            <w:r w:rsidR="00842866" w:rsidRPr="00DD6590">
              <w:rPr>
                <w:rFonts w:asciiTheme="minorHAnsi" w:hAnsiTheme="minorHAnsi"/>
                <w:szCs w:val="18"/>
              </w:rPr>
              <w:t xml:space="preserve">tomto prípade nie je potrebné </w:t>
            </w:r>
            <w:r w:rsidR="00420811" w:rsidRPr="00DD6590">
              <w:rPr>
                <w:rFonts w:asciiTheme="minorHAnsi" w:hAnsiTheme="minorHAnsi"/>
                <w:szCs w:val="18"/>
              </w:rPr>
              <w:t xml:space="preserve">dopĺňať </w:t>
            </w:r>
            <w:r w:rsidR="00842866" w:rsidRPr="00DD6590">
              <w:rPr>
                <w:rFonts w:asciiTheme="minorHAnsi" w:hAnsiTheme="minorHAnsi"/>
                <w:szCs w:val="18"/>
              </w:rPr>
              <w:t>žiadateľa.</w:t>
            </w:r>
            <w:r w:rsidR="00D7725A" w:rsidRPr="00DD6590">
              <w:rPr>
                <w:rFonts w:asciiTheme="minorHAnsi" w:hAnsiTheme="minorHAnsi"/>
                <w:szCs w:val="18"/>
              </w:rPr>
              <w:t xml:space="preserve"> </w:t>
            </w:r>
          </w:p>
          <w:p w14:paraId="173CDAF0" w14:textId="77777777" w:rsidR="00842866" w:rsidRPr="00DD6590" w:rsidRDefault="00842866" w:rsidP="008D2E5B">
            <w:p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Jedným z projektov, ktoré </w:t>
            </w:r>
            <w:r w:rsidR="001F0AC6" w:rsidRPr="00DD6590">
              <w:rPr>
                <w:rFonts w:asciiTheme="minorHAnsi" w:hAnsiTheme="minorHAnsi"/>
                <w:szCs w:val="18"/>
              </w:rPr>
              <w:t>sú podľa dotazníka nosné</w:t>
            </w:r>
            <w:r w:rsidR="002D1D1E">
              <w:rPr>
                <w:rFonts w:asciiTheme="minorHAnsi" w:hAnsiTheme="minorHAnsi"/>
                <w:szCs w:val="18"/>
              </w:rPr>
              <w:t>,</w:t>
            </w:r>
            <w:r w:rsidR="001F0AC6" w:rsidRPr="00DD6590">
              <w:rPr>
                <w:rFonts w:asciiTheme="minorHAnsi" w:hAnsiTheme="minorHAnsi"/>
                <w:szCs w:val="18"/>
              </w:rPr>
              <w:t xml:space="preserve"> je projekt „Pravidelná osobná lodná doprava na Dunaji </w:t>
            </w:r>
            <w:r w:rsidR="002D1D1E" w:rsidRPr="00DD6590">
              <w:t>–</w:t>
            </w:r>
            <w:r w:rsidR="001F0AC6" w:rsidRPr="00DD6590">
              <w:rPr>
                <w:rFonts w:asciiTheme="minorHAnsi" w:hAnsiTheme="minorHAnsi"/>
                <w:szCs w:val="18"/>
              </w:rPr>
              <w:t xml:space="preserve"> Dunajbus </w:t>
            </w:r>
            <w:r w:rsidR="002D1D1E" w:rsidRPr="00DD6590">
              <w:t>–</w:t>
            </w:r>
            <w:r w:rsidR="001F0AC6" w:rsidRPr="00DD6590">
              <w:rPr>
                <w:rFonts w:asciiTheme="minorHAnsi" w:hAnsiTheme="minorHAnsi"/>
                <w:szCs w:val="18"/>
              </w:rPr>
              <w:t xml:space="preserve"> projektová dokumentácia a realizácia“</w:t>
            </w:r>
            <w:r w:rsidR="002D1D1E">
              <w:rPr>
                <w:rFonts w:asciiTheme="minorHAnsi" w:hAnsiTheme="minorHAnsi"/>
                <w:szCs w:val="18"/>
              </w:rPr>
              <w:t>,</w:t>
            </w:r>
            <w:r w:rsidR="001F0AC6" w:rsidRPr="00DD6590">
              <w:rPr>
                <w:rFonts w:asciiTheme="minorHAnsi" w:hAnsiTheme="minorHAnsi"/>
                <w:szCs w:val="18"/>
              </w:rPr>
              <w:t xml:space="preserve"> </w:t>
            </w:r>
            <w:r w:rsidR="002D1D1E">
              <w:rPr>
                <w:rFonts w:asciiTheme="minorHAnsi" w:hAnsiTheme="minorHAnsi"/>
                <w:szCs w:val="18"/>
              </w:rPr>
              <w:t>p</w:t>
            </w:r>
            <w:r w:rsidR="001F0AC6" w:rsidRPr="00DD6590">
              <w:rPr>
                <w:rFonts w:asciiTheme="minorHAnsi" w:hAnsiTheme="minorHAnsi"/>
                <w:szCs w:val="18"/>
              </w:rPr>
              <w:t xml:space="preserve">reto je potrebné do OPII doplniť prijímateľa a aktivity zamerané na tento projekt. </w:t>
            </w:r>
            <w:r w:rsidR="00A824F9">
              <w:rPr>
                <w:rFonts w:asciiTheme="minorHAnsi" w:hAnsiTheme="minorHAnsi"/>
                <w:szCs w:val="18"/>
              </w:rPr>
              <w:t>T</w:t>
            </w:r>
            <w:r w:rsidR="001A0292" w:rsidRPr="00DD6590">
              <w:rPr>
                <w:rFonts w:asciiTheme="minorHAnsi" w:hAnsiTheme="minorHAnsi"/>
                <w:szCs w:val="18"/>
              </w:rPr>
              <w:t>iež je potrebné vyhodnotiť závery štúdie uskutočniteľnosti, aby</w:t>
            </w:r>
            <w:r w:rsidR="00A824F9">
              <w:rPr>
                <w:rFonts w:asciiTheme="minorHAnsi" w:hAnsiTheme="minorHAnsi"/>
                <w:szCs w:val="18"/>
              </w:rPr>
              <w:t xml:space="preserve"> sa</w:t>
            </w:r>
            <w:r w:rsidR="001A0292" w:rsidRPr="00DD6590">
              <w:rPr>
                <w:rFonts w:asciiTheme="minorHAnsi" w:hAnsiTheme="minorHAnsi"/>
                <w:szCs w:val="18"/>
              </w:rPr>
              <w:t xml:space="preserve"> mohla spust</w:t>
            </w:r>
            <w:r w:rsidR="00A824F9">
              <w:rPr>
                <w:rFonts w:asciiTheme="minorHAnsi" w:hAnsiTheme="minorHAnsi"/>
                <w:szCs w:val="18"/>
              </w:rPr>
              <w:t>iť</w:t>
            </w:r>
            <w:r w:rsidR="001A0292" w:rsidRPr="00DD6590">
              <w:rPr>
                <w:rFonts w:asciiTheme="minorHAnsi" w:hAnsiTheme="minorHAnsi"/>
                <w:szCs w:val="18"/>
              </w:rPr>
              <w:t xml:space="preserve"> realizácia investičného projektu</w:t>
            </w:r>
            <w:r w:rsidR="00356E52" w:rsidRPr="00DD6590">
              <w:rPr>
                <w:rFonts w:asciiTheme="minorHAnsi" w:hAnsiTheme="minorHAnsi"/>
                <w:szCs w:val="18"/>
              </w:rPr>
              <w:t>.</w:t>
            </w:r>
          </w:p>
          <w:p w14:paraId="14A7E7FB" w14:textId="77777777" w:rsidR="003E1CD0" w:rsidRPr="00DD6590" w:rsidRDefault="001F0AC6" w:rsidP="008D2E5B">
            <w:p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S ohľadom na plánované projekty odporúčame </w:t>
            </w:r>
            <w:r w:rsidR="003E1CD0" w:rsidRPr="00DD6590">
              <w:rPr>
                <w:rFonts w:asciiTheme="minorHAnsi" w:hAnsiTheme="minorHAnsi"/>
                <w:szCs w:val="18"/>
              </w:rPr>
              <w:t>pridať žiadateľ</w:t>
            </w:r>
            <w:r w:rsidR="00A824F9">
              <w:rPr>
                <w:rFonts w:asciiTheme="minorHAnsi" w:hAnsiTheme="minorHAnsi"/>
                <w:szCs w:val="18"/>
              </w:rPr>
              <w:t>ov</w:t>
            </w:r>
            <w:r w:rsidR="003E1CD0" w:rsidRPr="00DD6590">
              <w:rPr>
                <w:rFonts w:asciiTheme="minorHAnsi" w:hAnsiTheme="minorHAnsi"/>
                <w:szCs w:val="18"/>
              </w:rPr>
              <w:t>:</w:t>
            </w:r>
          </w:p>
          <w:p w14:paraId="087B43E8" w14:textId="77777777" w:rsidR="003E1CD0" w:rsidRPr="00DD6590" w:rsidRDefault="003E1CD0" w:rsidP="003E761D">
            <w:pPr>
              <w:pStyle w:val="ListParagraph"/>
              <w:numPr>
                <w:ilvl w:val="0"/>
                <w:numId w:val="42"/>
              </w:num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inorHAnsi" w:eastAsia="Verdana" w:hAnsiTheme="minorHAnsi"/>
                <w:szCs w:val="18"/>
                <w:lang w:eastAsia="cs-CZ"/>
              </w:rPr>
            </w:pPr>
            <w:r w:rsidRPr="00DD6590">
              <w:rPr>
                <w:rFonts w:asciiTheme="minorHAnsi" w:eastAsia="Verdana" w:hAnsiTheme="minorHAnsi"/>
                <w:szCs w:val="18"/>
                <w:lang w:eastAsia="cs-CZ"/>
              </w:rPr>
              <w:t>Slovenský vodohospodársky podnik, štátny podnik</w:t>
            </w:r>
          </w:p>
          <w:p w14:paraId="7BE8C5D6" w14:textId="77777777" w:rsidR="003E1CD0" w:rsidRPr="00DD6590" w:rsidRDefault="003E1CD0" w:rsidP="003E761D">
            <w:pPr>
              <w:pStyle w:val="ListParagraph"/>
              <w:numPr>
                <w:ilvl w:val="0"/>
                <w:numId w:val="42"/>
              </w:num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inorHAnsi" w:eastAsia="Verdana" w:hAnsiTheme="minorHAnsi"/>
                <w:szCs w:val="18"/>
                <w:lang w:eastAsia="cs-CZ"/>
              </w:rPr>
            </w:pPr>
            <w:r w:rsidRPr="00DD6590">
              <w:rPr>
                <w:rFonts w:asciiTheme="minorHAnsi" w:eastAsia="Verdana" w:hAnsiTheme="minorHAnsi"/>
                <w:szCs w:val="18"/>
                <w:lang w:eastAsia="cs-CZ"/>
              </w:rPr>
              <w:t>Vodohospodárska výstavba, štátny podnik</w:t>
            </w:r>
          </w:p>
          <w:p w14:paraId="2BFAA98A" w14:textId="77777777" w:rsidR="00507D7D" w:rsidRDefault="003E1CD0" w:rsidP="003E761D">
            <w:pPr>
              <w:pStyle w:val="ListParagraph"/>
              <w:numPr>
                <w:ilvl w:val="0"/>
                <w:numId w:val="42"/>
              </w:num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inorHAnsi" w:eastAsia="Verdana" w:hAnsiTheme="minorHAnsi"/>
                <w:szCs w:val="18"/>
                <w:lang w:eastAsia="cs-CZ"/>
              </w:rPr>
            </w:pPr>
            <w:r w:rsidRPr="00DD6590">
              <w:rPr>
                <w:rFonts w:asciiTheme="minorHAnsi" w:eastAsia="Verdana" w:hAnsiTheme="minorHAnsi"/>
                <w:szCs w:val="18"/>
                <w:lang w:eastAsia="cs-CZ"/>
              </w:rPr>
              <w:t xml:space="preserve">Slovenská technická univerzita v Bratislave </w:t>
            </w:r>
          </w:p>
          <w:p w14:paraId="4A46E448" w14:textId="77777777" w:rsidR="003E1CD0" w:rsidRPr="00DD6590" w:rsidRDefault="00507D7D" w:rsidP="003E761D">
            <w:pPr>
              <w:pStyle w:val="ListParagraph"/>
              <w:numPr>
                <w:ilvl w:val="0"/>
                <w:numId w:val="42"/>
              </w:num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inorHAnsi" w:eastAsia="Verdana" w:hAnsiTheme="minorHAnsi"/>
                <w:szCs w:val="18"/>
                <w:lang w:eastAsia="cs-CZ"/>
              </w:rPr>
            </w:pPr>
            <w:r>
              <w:rPr>
                <w:rFonts w:asciiTheme="minorHAnsi" w:eastAsia="Verdana" w:hAnsiTheme="minorHAnsi"/>
                <w:szCs w:val="18"/>
                <w:lang w:eastAsia="cs-CZ"/>
              </w:rPr>
              <w:t>Dopravný úrad</w:t>
            </w:r>
          </w:p>
          <w:p w14:paraId="1CB06D22" w14:textId="77777777" w:rsidR="000D1B02" w:rsidRPr="00DD6590" w:rsidRDefault="003E1CD0" w:rsidP="003E761D">
            <w:pPr>
              <w:pStyle w:val="ListParagraph"/>
              <w:numPr>
                <w:ilvl w:val="0"/>
                <w:numId w:val="42"/>
              </w:num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rFonts w:eastAsia="Verdana"/>
                <w:szCs w:val="18"/>
                <w:lang w:eastAsia="cs-CZ"/>
              </w:rPr>
            </w:pPr>
            <w:r w:rsidRPr="00DD6590">
              <w:rPr>
                <w:rFonts w:asciiTheme="minorHAnsi" w:eastAsia="Verdana" w:hAnsiTheme="minorHAnsi"/>
                <w:szCs w:val="18"/>
                <w:lang w:eastAsia="cs-CZ"/>
              </w:rPr>
              <w:t>Pro-Danubia – Združenie obcí pre miestnu dopravu po Dunaji</w:t>
            </w:r>
            <w:r w:rsidR="00356E52" w:rsidRPr="00DD6590">
              <w:rPr>
                <w:rFonts w:asciiTheme="minorHAnsi" w:eastAsia="Verdana" w:hAnsiTheme="minorHAnsi"/>
                <w:szCs w:val="18"/>
                <w:lang w:eastAsia="cs-CZ"/>
              </w:rPr>
              <w:t>.</w:t>
            </w:r>
          </w:p>
        </w:tc>
      </w:tr>
      <w:tr w:rsidR="00F41009" w:rsidRPr="00DD6590" w14:paraId="0E5C1172" w14:textId="77777777" w:rsidTr="0019573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88" w:type="pct"/>
            <w:vAlign w:val="center"/>
          </w:tcPr>
          <w:p w14:paraId="31590CF2" w14:textId="77777777" w:rsidR="00F41009" w:rsidRPr="00DD6590" w:rsidRDefault="00F41009" w:rsidP="00B726CB">
            <w:pPr>
              <w:spacing w:before="0" w:line="240" w:lineRule="auto"/>
              <w:jc w:val="left"/>
              <w:rPr>
                <w:rFonts w:asciiTheme="minorHAnsi" w:hAnsiTheme="minorHAnsi"/>
                <w:szCs w:val="18"/>
              </w:rPr>
            </w:pPr>
            <w:r w:rsidRPr="00DD6590">
              <w:rPr>
                <w:rFonts w:asciiTheme="minorHAnsi" w:hAnsiTheme="minorHAnsi"/>
                <w:b w:val="0"/>
                <w:szCs w:val="18"/>
              </w:rPr>
              <w:t>PO5: Železničná infraštruktúra</w:t>
            </w:r>
          </w:p>
        </w:tc>
        <w:tc>
          <w:tcPr>
            <w:tcW w:w="644" w:type="pct"/>
            <w:gridSpan w:val="2"/>
            <w:vAlign w:val="center"/>
          </w:tcPr>
          <w:p w14:paraId="40525E2E" w14:textId="77777777" w:rsidR="00F41009" w:rsidRPr="00DD6590" w:rsidRDefault="00C60217" w:rsidP="00C60217">
            <w:pPr>
              <w:spacing w:before="6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Áno</w:t>
            </w:r>
          </w:p>
        </w:tc>
        <w:tc>
          <w:tcPr>
            <w:tcW w:w="3568" w:type="pct"/>
            <w:gridSpan w:val="2"/>
            <w:vAlign w:val="center"/>
          </w:tcPr>
          <w:p w14:paraId="32F3E261" w14:textId="77777777" w:rsidR="001808D2" w:rsidRPr="00DD6590" w:rsidRDefault="00B53183" w:rsidP="00DD6590">
            <w:pPr>
              <w:pStyle w:val="CommentText"/>
              <w:spacing w:before="60" w:after="0"/>
              <w:cnfStyle w:val="000000100000" w:firstRow="0" w:lastRow="0" w:firstColumn="0" w:lastColumn="0" w:oddVBand="0" w:evenVBand="0" w:oddHBand="1" w:evenHBand="0" w:firstRowFirstColumn="0" w:firstRowLastColumn="0" w:lastRowFirstColumn="0" w:lastRowLastColumn="0"/>
              <w:rPr>
                <w:sz w:val="18"/>
                <w:szCs w:val="18"/>
              </w:rPr>
            </w:pPr>
            <w:r w:rsidRPr="00DD6590">
              <w:rPr>
                <w:rFonts w:asciiTheme="minorHAnsi" w:hAnsiTheme="minorHAnsi"/>
                <w:sz w:val="18"/>
                <w:szCs w:val="18"/>
              </w:rPr>
              <w:t xml:space="preserve">Vzhľadom </w:t>
            </w:r>
            <w:r w:rsidR="00A824F9">
              <w:rPr>
                <w:rFonts w:asciiTheme="minorHAnsi" w:hAnsiTheme="minorHAnsi"/>
                <w:sz w:val="18"/>
                <w:szCs w:val="18"/>
              </w:rPr>
              <w:t>na</w:t>
            </w:r>
            <w:r w:rsidRPr="00DD6590">
              <w:rPr>
                <w:rFonts w:asciiTheme="minorHAnsi" w:hAnsiTheme="minorHAnsi"/>
                <w:sz w:val="18"/>
                <w:szCs w:val="18"/>
              </w:rPr>
              <w:t xml:space="preserve"> zamerani</w:t>
            </w:r>
            <w:r w:rsidR="00A824F9">
              <w:rPr>
                <w:rFonts w:asciiTheme="minorHAnsi" w:hAnsiTheme="minorHAnsi"/>
                <w:sz w:val="18"/>
                <w:szCs w:val="18"/>
              </w:rPr>
              <w:t>e</w:t>
            </w:r>
            <w:r w:rsidRPr="00DD6590">
              <w:rPr>
                <w:rFonts w:asciiTheme="minorHAnsi" w:hAnsiTheme="minorHAnsi"/>
                <w:sz w:val="18"/>
                <w:szCs w:val="18"/>
              </w:rPr>
              <w:t xml:space="preserve"> projektov plánovaných prijímateľmi odporúčame prehodnotiť </w:t>
            </w:r>
            <w:r w:rsidR="00D23F08" w:rsidRPr="00DD6590">
              <w:rPr>
                <w:rFonts w:asciiTheme="minorHAnsi" w:hAnsiTheme="minorHAnsi"/>
                <w:sz w:val="18"/>
                <w:szCs w:val="18"/>
              </w:rPr>
              <w:t>zacielenie</w:t>
            </w:r>
            <w:r w:rsidRPr="00DD6590">
              <w:rPr>
                <w:rFonts w:asciiTheme="minorHAnsi" w:hAnsiTheme="minorHAnsi"/>
                <w:sz w:val="18"/>
                <w:szCs w:val="18"/>
              </w:rPr>
              <w:t xml:space="preserve"> jednotlivých špecifický</w:t>
            </w:r>
            <w:r w:rsidR="00C9266D" w:rsidRPr="00DD6590">
              <w:rPr>
                <w:rFonts w:asciiTheme="minorHAnsi" w:hAnsiTheme="minorHAnsi"/>
                <w:sz w:val="18"/>
                <w:szCs w:val="18"/>
              </w:rPr>
              <w:t>ch</w:t>
            </w:r>
            <w:r w:rsidRPr="00DD6590">
              <w:rPr>
                <w:rFonts w:asciiTheme="minorHAnsi" w:hAnsiTheme="minorHAnsi"/>
                <w:sz w:val="18"/>
                <w:szCs w:val="18"/>
              </w:rPr>
              <w:t xml:space="preserve"> cieľov</w:t>
            </w:r>
            <w:r w:rsidR="00B66C5A" w:rsidRPr="00DD6590">
              <w:rPr>
                <w:rFonts w:asciiTheme="minorHAnsi" w:hAnsiTheme="minorHAnsi"/>
                <w:sz w:val="18"/>
                <w:szCs w:val="18"/>
              </w:rPr>
              <w:t xml:space="preserve"> a prehodnotiť stanovené ukazovatele. Navrhujeme nastaviť</w:t>
            </w:r>
            <w:r w:rsidR="000F3629" w:rsidRPr="00DD6590">
              <w:rPr>
                <w:rFonts w:asciiTheme="minorHAnsi" w:hAnsiTheme="minorHAnsi"/>
                <w:sz w:val="18"/>
                <w:szCs w:val="18"/>
              </w:rPr>
              <w:t xml:space="preserve"> v OPII</w:t>
            </w:r>
            <w:r w:rsidR="00B66C5A" w:rsidRPr="00DD6590">
              <w:rPr>
                <w:rFonts w:asciiTheme="minorHAnsi" w:hAnsiTheme="minorHAnsi"/>
                <w:sz w:val="18"/>
                <w:szCs w:val="18"/>
              </w:rPr>
              <w:t xml:space="preserve"> </w:t>
            </w:r>
            <w:r w:rsidR="008476FF">
              <w:rPr>
                <w:rFonts w:asciiTheme="minorHAnsi" w:hAnsiTheme="minorHAnsi"/>
                <w:sz w:val="18"/>
                <w:szCs w:val="18"/>
              </w:rPr>
              <w:t>tieto</w:t>
            </w:r>
            <w:r w:rsidR="008476FF" w:rsidRPr="00DD6590">
              <w:rPr>
                <w:rFonts w:asciiTheme="minorHAnsi" w:hAnsiTheme="minorHAnsi"/>
                <w:sz w:val="18"/>
                <w:szCs w:val="18"/>
              </w:rPr>
              <w:t xml:space="preserve"> </w:t>
            </w:r>
            <w:r w:rsidR="00B66C5A" w:rsidRPr="00DD6590">
              <w:rPr>
                <w:rFonts w:asciiTheme="minorHAnsi" w:hAnsiTheme="minorHAnsi"/>
                <w:sz w:val="18"/>
                <w:szCs w:val="18"/>
              </w:rPr>
              <w:t xml:space="preserve">ukazovatele: </w:t>
            </w:r>
          </w:p>
          <w:p w14:paraId="51406AA5" w14:textId="77777777" w:rsidR="001808D2" w:rsidRPr="00DD6590" w:rsidRDefault="001808D2" w:rsidP="003E761D">
            <w:pPr>
              <w:pStyle w:val="CommentText"/>
              <w:numPr>
                <w:ilvl w:val="0"/>
                <w:numId w:val="36"/>
              </w:numPr>
              <w:spacing w:before="60" w:after="0"/>
              <w:cnfStyle w:val="000000100000" w:firstRow="0" w:lastRow="0" w:firstColumn="0" w:lastColumn="0" w:oddVBand="0" w:evenVBand="0" w:oddHBand="1" w:evenHBand="0" w:firstRowFirstColumn="0" w:firstRowLastColumn="0" w:lastRowFirstColumn="0" w:lastRowLastColumn="0"/>
              <w:rPr>
                <w:sz w:val="18"/>
                <w:szCs w:val="18"/>
              </w:rPr>
            </w:pPr>
            <w:r w:rsidRPr="00DD6590">
              <w:rPr>
                <w:sz w:val="18"/>
                <w:szCs w:val="18"/>
              </w:rPr>
              <w:t xml:space="preserve">Počet lokalít s odstránením environmentálnej záťaže spôsobenej prevádzkou železničnej dopravy </w:t>
            </w:r>
          </w:p>
          <w:p w14:paraId="2F4819C1" w14:textId="77777777" w:rsidR="001808D2" w:rsidRPr="00DD6590" w:rsidRDefault="001808D2" w:rsidP="003E761D">
            <w:pPr>
              <w:pStyle w:val="CommentText"/>
              <w:numPr>
                <w:ilvl w:val="0"/>
                <w:numId w:val="36"/>
              </w:numPr>
              <w:spacing w:before="60" w:after="0"/>
              <w:cnfStyle w:val="000000100000" w:firstRow="0" w:lastRow="0" w:firstColumn="0" w:lastColumn="0" w:oddVBand="0" w:evenVBand="0" w:oddHBand="1" w:evenHBand="0" w:firstRowFirstColumn="0" w:firstRowLastColumn="0" w:lastRowFirstColumn="0" w:lastRowLastColumn="0"/>
              <w:rPr>
                <w:sz w:val="18"/>
                <w:szCs w:val="18"/>
              </w:rPr>
            </w:pPr>
            <w:r w:rsidRPr="00DD6590">
              <w:rPr>
                <w:sz w:val="18"/>
                <w:szCs w:val="18"/>
              </w:rPr>
              <w:t xml:space="preserve">Počet prepravených cestujúcich vo verejnej železničnej osobnej doprave </w:t>
            </w:r>
          </w:p>
          <w:p w14:paraId="7C10C478" w14:textId="77777777" w:rsidR="00102A6C" w:rsidRPr="00DD6590" w:rsidRDefault="00B66C5A" w:rsidP="003E761D">
            <w:pPr>
              <w:pStyle w:val="CommentText"/>
              <w:numPr>
                <w:ilvl w:val="0"/>
                <w:numId w:val="36"/>
              </w:numPr>
              <w:spacing w:before="60" w:after="0"/>
              <w:cnfStyle w:val="000000100000" w:firstRow="0" w:lastRow="0" w:firstColumn="0" w:lastColumn="0" w:oddVBand="0" w:evenVBand="0" w:oddHBand="1" w:evenHBand="0" w:firstRowFirstColumn="0" w:firstRowLastColumn="0" w:lastRowFirstColumn="0" w:lastRowLastColumn="0"/>
              <w:rPr>
                <w:sz w:val="18"/>
                <w:szCs w:val="18"/>
              </w:rPr>
            </w:pPr>
            <w:r w:rsidRPr="00DD6590">
              <w:rPr>
                <w:sz w:val="18"/>
                <w:szCs w:val="18"/>
              </w:rPr>
              <w:t>Počet obnovených vlakových súprav v železničnej verejnej osobnej doprave</w:t>
            </w:r>
          </w:p>
          <w:p w14:paraId="2A4E3B1D" w14:textId="77777777" w:rsidR="009A5B1A" w:rsidRPr="00DD6590" w:rsidRDefault="009A5B1A" w:rsidP="003E761D">
            <w:pPr>
              <w:pStyle w:val="CommentText"/>
              <w:numPr>
                <w:ilvl w:val="0"/>
                <w:numId w:val="36"/>
              </w:numPr>
              <w:spacing w:before="60" w:after="0"/>
              <w:cnfStyle w:val="000000100000" w:firstRow="0" w:lastRow="0" w:firstColumn="0" w:lastColumn="0" w:oddVBand="0" w:evenVBand="0" w:oddHBand="1" w:evenHBand="0" w:firstRowFirstColumn="0" w:firstRowLastColumn="0" w:lastRowFirstColumn="0" w:lastRowLastColumn="0"/>
              <w:rPr>
                <w:sz w:val="18"/>
                <w:szCs w:val="18"/>
              </w:rPr>
            </w:pPr>
            <w:r w:rsidRPr="00DD6590">
              <w:rPr>
                <w:sz w:val="18"/>
                <w:szCs w:val="18"/>
              </w:rPr>
              <w:t xml:space="preserve">Celková dĺžka rekonštruovaných alebo zrenovovaných železničných tratí </w:t>
            </w:r>
          </w:p>
          <w:p w14:paraId="163E8368" w14:textId="77777777" w:rsidR="009A5B1A" w:rsidRPr="00DD6590" w:rsidRDefault="009A5B1A" w:rsidP="003E761D">
            <w:pPr>
              <w:pStyle w:val="CommentText"/>
              <w:numPr>
                <w:ilvl w:val="0"/>
                <w:numId w:val="36"/>
              </w:numPr>
              <w:spacing w:before="60" w:after="0"/>
              <w:cnfStyle w:val="000000100000" w:firstRow="0" w:lastRow="0" w:firstColumn="0" w:lastColumn="0" w:oddVBand="0" w:evenVBand="0" w:oddHBand="1" w:evenHBand="0" w:firstRowFirstColumn="0" w:firstRowLastColumn="0" w:lastRowFirstColumn="0" w:lastRowLastColumn="0"/>
              <w:rPr>
                <w:sz w:val="18"/>
                <w:szCs w:val="18"/>
              </w:rPr>
            </w:pPr>
            <w:r w:rsidRPr="00DD6590">
              <w:rPr>
                <w:sz w:val="18"/>
                <w:szCs w:val="18"/>
              </w:rPr>
              <w:t>Celková dĺžka rekonštruovaných alebo zrenovovaných železničných tratí v sieti TEN-T</w:t>
            </w:r>
          </w:p>
          <w:p w14:paraId="7743E546" w14:textId="77777777" w:rsidR="009A5B1A" w:rsidRPr="00DD6590" w:rsidRDefault="009A5B1A" w:rsidP="009A5B1A">
            <w:pPr>
              <w:pStyle w:val="CommentText"/>
              <w:spacing w:before="60" w:after="0"/>
              <w:cnfStyle w:val="000000100000" w:firstRow="0" w:lastRow="0" w:firstColumn="0" w:lastColumn="0" w:oddVBand="0" w:evenVBand="0" w:oddHBand="1" w:evenHBand="0" w:firstRowFirstColumn="0" w:firstRowLastColumn="0" w:lastRowFirstColumn="0" w:lastRowLastColumn="0"/>
              <w:rPr>
                <w:sz w:val="18"/>
                <w:szCs w:val="18"/>
              </w:rPr>
            </w:pPr>
            <w:r w:rsidRPr="00DD6590">
              <w:rPr>
                <w:sz w:val="18"/>
                <w:szCs w:val="18"/>
              </w:rPr>
              <w:t xml:space="preserve">V prípade makro ukazovateľov </w:t>
            </w:r>
            <w:r w:rsidR="00264D10">
              <w:rPr>
                <w:sz w:val="18"/>
                <w:szCs w:val="18"/>
              </w:rPr>
              <w:t xml:space="preserve">odporúčame </w:t>
            </w:r>
            <w:r w:rsidRPr="00DD6590">
              <w:rPr>
                <w:sz w:val="18"/>
                <w:szCs w:val="18"/>
              </w:rPr>
              <w:t>vybrať ukazovatele bez výrazných externých vplyvov, prípadne očistiť externé vplyvy od vplyvu programu.</w:t>
            </w:r>
          </w:p>
          <w:p w14:paraId="02BFACFD" w14:textId="77777777" w:rsidR="00F41009" w:rsidRPr="00DD6590" w:rsidRDefault="00B66C5A" w:rsidP="00A824F9">
            <w:pPr>
              <w:pStyle w:val="CommentText"/>
              <w:spacing w:before="60" w:after="0"/>
              <w:cnfStyle w:val="000000100000" w:firstRow="0" w:lastRow="0" w:firstColumn="0" w:lastColumn="0" w:oddVBand="0" w:evenVBand="0" w:oddHBand="1" w:evenHBand="0" w:firstRowFirstColumn="0" w:firstRowLastColumn="0" w:lastRowFirstColumn="0" w:lastRowLastColumn="0"/>
              <w:rPr>
                <w:sz w:val="18"/>
                <w:szCs w:val="18"/>
              </w:rPr>
            </w:pPr>
            <w:r w:rsidRPr="00DD6590">
              <w:rPr>
                <w:sz w:val="18"/>
                <w:szCs w:val="18"/>
              </w:rPr>
              <w:t xml:space="preserve">Ukazovatele </w:t>
            </w:r>
            <w:r w:rsidR="000F3629" w:rsidRPr="00DD6590">
              <w:rPr>
                <w:sz w:val="18"/>
                <w:szCs w:val="18"/>
              </w:rPr>
              <w:t>ú</w:t>
            </w:r>
            <w:r w:rsidRPr="00DD6590">
              <w:rPr>
                <w:sz w:val="18"/>
                <w:szCs w:val="18"/>
              </w:rPr>
              <w:t>sporu času a</w:t>
            </w:r>
            <w:r w:rsidR="00102A6C" w:rsidRPr="00DD6590">
              <w:rPr>
                <w:sz w:val="18"/>
                <w:szCs w:val="18"/>
              </w:rPr>
              <w:t xml:space="preserve"> úspora </w:t>
            </w:r>
            <w:r w:rsidRPr="00DD6590">
              <w:rPr>
                <w:sz w:val="18"/>
                <w:szCs w:val="18"/>
              </w:rPr>
              <w:t xml:space="preserve">emisií </w:t>
            </w:r>
            <w:r w:rsidR="000F3629" w:rsidRPr="00DD6590">
              <w:rPr>
                <w:sz w:val="18"/>
                <w:szCs w:val="18"/>
              </w:rPr>
              <w:t xml:space="preserve">vzhľadom </w:t>
            </w:r>
            <w:r w:rsidR="00A824F9">
              <w:rPr>
                <w:sz w:val="18"/>
                <w:szCs w:val="18"/>
              </w:rPr>
              <w:t>na</w:t>
            </w:r>
            <w:r w:rsidR="00A824F9" w:rsidRPr="00DD6590">
              <w:rPr>
                <w:sz w:val="18"/>
                <w:szCs w:val="18"/>
              </w:rPr>
              <w:t> zmen</w:t>
            </w:r>
            <w:r w:rsidR="00A824F9">
              <w:rPr>
                <w:sz w:val="18"/>
                <w:szCs w:val="18"/>
              </w:rPr>
              <w:t>u</w:t>
            </w:r>
            <w:r w:rsidR="00A824F9" w:rsidRPr="00DD6590">
              <w:rPr>
                <w:sz w:val="18"/>
                <w:szCs w:val="18"/>
              </w:rPr>
              <w:t xml:space="preserve"> </w:t>
            </w:r>
            <w:r w:rsidR="000F3629" w:rsidRPr="00DD6590">
              <w:rPr>
                <w:sz w:val="18"/>
                <w:szCs w:val="18"/>
              </w:rPr>
              <w:t xml:space="preserve">usmernení </w:t>
            </w:r>
            <w:r w:rsidR="00D23F08" w:rsidRPr="00DD6590">
              <w:rPr>
                <w:sz w:val="18"/>
                <w:szCs w:val="18"/>
              </w:rPr>
              <w:t>a prostredia</w:t>
            </w:r>
            <w:r w:rsidR="000F3629" w:rsidRPr="00DD6590">
              <w:rPr>
                <w:sz w:val="18"/>
                <w:szCs w:val="18"/>
              </w:rPr>
              <w:t xml:space="preserve"> </w:t>
            </w:r>
            <w:r w:rsidRPr="00DD6590">
              <w:rPr>
                <w:sz w:val="18"/>
                <w:szCs w:val="18"/>
              </w:rPr>
              <w:t xml:space="preserve">odporúčame prehodnotiť a nastaviť nové </w:t>
            </w:r>
            <w:r w:rsidR="00D23F08" w:rsidRPr="00DD6590">
              <w:rPr>
                <w:sz w:val="18"/>
                <w:szCs w:val="18"/>
              </w:rPr>
              <w:t xml:space="preserve">cieľové </w:t>
            </w:r>
            <w:r w:rsidRPr="00DD6590">
              <w:rPr>
                <w:sz w:val="18"/>
                <w:szCs w:val="18"/>
              </w:rPr>
              <w:t>hodnoty ukazovateľov</w:t>
            </w:r>
            <w:r w:rsidR="00D23F08" w:rsidRPr="00DD6590">
              <w:rPr>
                <w:sz w:val="18"/>
                <w:szCs w:val="18"/>
              </w:rPr>
              <w:t xml:space="preserve"> v OPII</w:t>
            </w:r>
            <w:r w:rsidRPr="00DD6590">
              <w:rPr>
                <w:sz w:val="18"/>
                <w:szCs w:val="18"/>
              </w:rPr>
              <w:t>.</w:t>
            </w:r>
            <w:r w:rsidR="00D23F08" w:rsidRPr="00DD6590">
              <w:rPr>
                <w:sz w:val="18"/>
                <w:szCs w:val="18"/>
              </w:rPr>
              <w:t xml:space="preserve"> </w:t>
            </w:r>
          </w:p>
        </w:tc>
      </w:tr>
      <w:tr w:rsidR="00F41009" w:rsidRPr="00DD6590" w14:paraId="0D796C96" w14:textId="77777777" w:rsidTr="00195734">
        <w:trPr>
          <w:trHeight w:val="283"/>
        </w:trPr>
        <w:tc>
          <w:tcPr>
            <w:cnfStyle w:val="001000000000" w:firstRow="0" w:lastRow="0" w:firstColumn="1" w:lastColumn="0" w:oddVBand="0" w:evenVBand="0" w:oddHBand="0" w:evenHBand="0" w:firstRowFirstColumn="0" w:firstRowLastColumn="0" w:lastRowFirstColumn="0" w:lastRowLastColumn="0"/>
            <w:tcW w:w="788" w:type="pct"/>
            <w:vAlign w:val="center"/>
          </w:tcPr>
          <w:p w14:paraId="7D160A58" w14:textId="77777777" w:rsidR="00F41009" w:rsidRPr="00DD6590" w:rsidRDefault="00F41009" w:rsidP="00B726CB">
            <w:pPr>
              <w:spacing w:before="0" w:line="240" w:lineRule="auto"/>
              <w:jc w:val="left"/>
              <w:rPr>
                <w:rFonts w:asciiTheme="minorHAnsi" w:hAnsiTheme="minorHAnsi"/>
                <w:b w:val="0"/>
                <w:szCs w:val="18"/>
              </w:rPr>
            </w:pPr>
            <w:r w:rsidRPr="00DD6590">
              <w:rPr>
                <w:rFonts w:asciiTheme="minorHAnsi" w:hAnsiTheme="minorHAnsi"/>
                <w:b w:val="0"/>
                <w:szCs w:val="18"/>
              </w:rPr>
              <w:t>PO6: Cestná infraštruktúra (mimo TEN-T CORE)</w:t>
            </w:r>
          </w:p>
        </w:tc>
        <w:tc>
          <w:tcPr>
            <w:tcW w:w="644" w:type="pct"/>
            <w:gridSpan w:val="2"/>
            <w:vAlign w:val="center"/>
          </w:tcPr>
          <w:p w14:paraId="5197D132" w14:textId="77777777" w:rsidR="00F41009" w:rsidRPr="00DD6590" w:rsidRDefault="00B439FD" w:rsidP="00B439FD">
            <w:pPr>
              <w:spacing w:before="6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szCs w:val="18"/>
              </w:rPr>
            </w:pPr>
            <w:r>
              <w:rPr>
                <w:rFonts w:asciiTheme="minorHAnsi" w:hAnsiTheme="minorHAnsi"/>
                <w:b/>
                <w:bCs/>
                <w:szCs w:val="18"/>
              </w:rPr>
              <w:t>Áno</w:t>
            </w:r>
          </w:p>
        </w:tc>
        <w:tc>
          <w:tcPr>
            <w:tcW w:w="3568" w:type="pct"/>
            <w:gridSpan w:val="2"/>
            <w:vAlign w:val="center"/>
          </w:tcPr>
          <w:p w14:paraId="4841557D" w14:textId="77777777" w:rsidR="00F41009" w:rsidRPr="00DD6590" w:rsidRDefault="00905A5C" w:rsidP="00A824F9">
            <w:pPr>
              <w:spacing w:before="60"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Vzhľadom </w:t>
            </w:r>
            <w:r w:rsidR="00A824F9">
              <w:rPr>
                <w:rFonts w:asciiTheme="minorHAnsi" w:hAnsiTheme="minorHAnsi"/>
                <w:szCs w:val="18"/>
              </w:rPr>
              <w:t>na</w:t>
            </w:r>
            <w:r w:rsidR="00A824F9" w:rsidRPr="00DD6590">
              <w:rPr>
                <w:rFonts w:asciiTheme="minorHAnsi" w:hAnsiTheme="minorHAnsi"/>
                <w:szCs w:val="18"/>
              </w:rPr>
              <w:t> poč</w:t>
            </w:r>
            <w:r w:rsidR="00A824F9">
              <w:rPr>
                <w:rFonts w:asciiTheme="minorHAnsi" w:hAnsiTheme="minorHAnsi"/>
                <w:szCs w:val="18"/>
              </w:rPr>
              <w:t>et</w:t>
            </w:r>
            <w:r w:rsidR="00A824F9" w:rsidRPr="00DD6590">
              <w:rPr>
                <w:rFonts w:asciiTheme="minorHAnsi" w:hAnsiTheme="minorHAnsi"/>
                <w:szCs w:val="18"/>
              </w:rPr>
              <w:t xml:space="preserve"> </w:t>
            </w:r>
            <w:r w:rsidRPr="00DD6590">
              <w:rPr>
                <w:rFonts w:asciiTheme="minorHAnsi" w:hAnsiTheme="minorHAnsi"/>
                <w:szCs w:val="18"/>
              </w:rPr>
              <w:t>a </w:t>
            </w:r>
            <w:r w:rsidR="00A824F9" w:rsidRPr="00DD6590">
              <w:rPr>
                <w:rFonts w:asciiTheme="minorHAnsi" w:hAnsiTheme="minorHAnsi"/>
                <w:szCs w:val="18"/>
              </w:rPr>
              <w:t>pripravenos</w:t>
            </w:r>
            <w:r w:rsidR="00A824F9">
              <w:rPr>
                <w:rFonts w:asciiTheme="minorHAnsi" w:hAnsiTheme="minorHAnsi"/>
                <w:szCs w:val="18"/>
              </w:rPr>
              <w:t>ť</w:t>
            </w:r>
            <w:r w:rsidR="00A824F9" w:rsidRPr="00DD6590">
              <w:rPr>
                <w:rFonts w:asciiTheme="minorHAnsi" w:hAnsiTheme="minorHAnsi"/>
                <w:szCs w:val="18"/>
              </w:rPr>
              <w:t xml:space="preserve"> </w:t>
            </w:r>
            <w:r w:rsidRPr="00DD6590">
              <w:rPr>
                <w:rFonts w:asciiTheme="minorHAnsi" w:hAnsiTheme="minorHAnsi"/>
                <w:szCs w:val="18"/>
              </w:rPr>
              <w:t xml:space="preserve">projektov odporúčame </w:t>
            </w:r>
            <w:r w:rsidR="00A824F9" w:rsidRPr="00DD6590">
              <w:rPr>
                <w:rFonts w:asciiTheme="minorHAnsi" w:hAnsiTheme="minorHAnsi"/>
                <w:szCs w:val="18"/>
              </w:rPr>
              <w:t>navýš</w:t>
            </w:r>
            <w:r w:rsidR="00A824F9">
              <w:rPr>
                <w:rFonts w:asciiTheme="minorHAnsi" w:hAnsiTheme="minorHAnsi"/>
                <w:szCs w:val="18"/>
              </w:rPr>
              <w:t>iť</w:t>
            </w:r>
            <w:r w:rsidR="00A824F9" w:rsidRPr="00DD6590">
              <w:rPr>
                <w:rFonts w:asciiTheme="minorHAnsi" w:hAnsiTheme="minorHAnsi"/>
                <w:szCs w:val="18"/>
              </w:rPr>
              <w:t xml:space="preserve"> </w:t>
            </w:r>
            <w:r w:rsidRPr="00DD6590">
              <w:rPr>
                <w:rFonts w:asciiTheme="minorHAnsi" w:hAnsiTheme="minorHAnsi"/>
                <w:szCs w:val="18"/>
              </w:rPr>
              <w:t>alokácie prioritnej osi 6.</w:t>
            </w:r>
          </w:p>
        </w:tc>
      </w:tr>
      <w:tr w:rsidR="00F41009" w:rsidRPr="00DD6590" w14:paraId="1005126D" w14:textId="77777777" w:rsidTr="0019573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88" w:type="pct"/>
            <w:vAlign w:val="center"/>
          </w:tcPr>
          <w:p w14:paraId="0647779C" w14:textId="77777777" w:rsidR="00F41009" w:rsidRPr="00DD6590" w:rsidRDefault="00F41009" w:rsidP="00B726CB">
            <w:pPr>
              <w:spacing w:before="0" w:line="240" w:lineRule="auto"/>
              <w:jc w:val="left"/>
              <w:rPr>
                <w:rFonts w:asciiTheme="minorHAnsi" w:hAnsiTheme="minorHAnsi"/>
                <w:b w:val="0"/>
                <w:szCs w:val="18"/>
              </w:rPr>
            </w:pPr>
            <w:r w:rsidRPr="00DD6590">
              <w:rPr>
                <w:rFonts w:asciiTheme="minorHAnsi" w:hAnsiTheme="minorHAnsi"/>
                <w:b w:val="0"/>
                <w:szCs w:val="18"/>
              </w:rPr>
              <w:t xml:space="preserve">PO7 – Informačná spoločnosť </w:t>
            </w:r>
          </w:p>
        </w:tc>
        <w:tc>
          <w:tcPr>
            <w:tcW w:w="705" w:type="pct"/>
            <w:gridSpan w:val="3"/>
            <w:vAlign w:val="center"/>
          </w:tcPr>
          <w:p w14:paraId="7EC4493A" w14:textId="77777777" w:rsidR="00F41009" w:rsidRPr="00DD6590" w:rsidRDefault="00905A5C" w:rsidP="00C60217">
            <w:pPr>
              <w:spacing w:before="6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18"/>
              </w:rPr>
            </w:pPr>
            <w:r w:rsidRPr="00DD6590">
              <w:rPr>
                <w:rFonts w:asciiTheme="minorHAnsi" w:hAnsiTheme="minorHAnsi"/>
                <w:b/>
                <w:szCs w:val="18"/>
              </w:rPr>
              <w:t>Nie</w:t>
            </w:r>
          </w:p>
        </w:tc>
        <w:tc>
          <w:tcPr>
            <w:tcW w:w="3507" w:type="pct"/>
            <w:vAlign w:val="center"/>
          </w:tcPr>
          <w:p w14:paraId="4B3A20B1" w14:textId="77777777" w:rsidR="00BC0E09" w:rsidRPr="00DD6590" w:rsidRDefault="009D28E0" w:rsidP="002867E7">
            <w:pPr>
              <w:spacing w:before="60" w:after="0" w:line="240" w:lineRule="auto"/>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DD6590">
              <w:rPr>
                <w:rFonts w:asciiTheme="minorHAnsi" w:hAnsiTheme="minorHAnsi"/>
                <w:szCs w:val="18"/>
              </w:rPr>
              <w:t xml:space="preserve">Na základe výsledkov analýzy je potrebné vypracovať metodiku pre vyhodnocovanie merateľných ukazovateľov PO7 a prehodnotiť ukazovatele, resp. zameranie projektov, keďže niektoré ukazovatele nebudú vôbec v rámci PO7 napĺňané. Taktiež je potrebné </w:t>
            </w:r>
            <w:r w:rsidR="002867E7">
              <w:rPr>
                <w:rFonts w:asciiTheme="minorHAnsi" w:hAnsiTheme="minorHAnsi"/>
                <w:szCs w:val="18"/>
              </w:rPr>
              <w:t>kontinuálne usmerňovať</w:t>
            </w:r>
            <w:r w:rsidR="002867E7" w:rsidRPr="00DD6590">
              <w:rPr>
                <w:rFonts w:asciiTheme="minorHAnsi" w:hAnsiTheme="minorHAnsi"/>
                <w:szCs w:val="18"/>
              </w:rPr>
              <w:t xml:space="preserve"> </w:t>
            </w:r>
            <w:r w:rsidRPr="00DD6590">
              <w:rPr>
                <w:rFonts w:asciiTheme="minorHAnsi" w:hAnsiTheme="minorHAnsi"/>
                <w:szCs w:val="18"/>
              </w:rPr>
              <w:t xml:space="preserve">žiadateľov o potrebe príprave súťažných podkladov k verejnému obstarávaniu a ich schváleniu RO ešte pred predložením ŽoNFP, čím sa umožní skoršie vyhlásenie verejného obstarávania a predíde sa tak posunom harmonogramu realizácie projektov. </w:t>
            </w:r>
          </w:p>
        </w:tc>
      </w:tr>
    </w:tbl>
    <w:p w14:paraId="2DA09732" w14:textId="77777777" w:rsidR="004056F8" w:rsidRPr="00DD6590" w:rsidRDefault="004056F8" w:rsidP="00CC73BC">
      <w:bookmarkStart w:id="59" w:name="_Toc1132685"/>
    </w:p>
    <w:p w14:paraId="04D52A77" w14:textId="77777777" w:rsidR="004056F8" w:rsidRPr="00DD6590" w:rsidRDefault="004056F8" w:rsidP="00CC73BC"/>
    <w:p w14:paraId="00CACDC8" w14:textId="77777777" w:rsidR="00CC73BC" w:rsidRPr="00DD6590" w:rsidRDefault="000229EF" w:rsidP="00255B0C">
      <w:pPr>
        <w:pStyle w:val="Heading1"/>
      </w:pPr>
      <w:bookmarkStart w:id="60" w:name="_Toc10709723"/>
      <w:r w:rsidRPr="00DD6590">
        <w:lastRenderedPageBreak/>
        <w:t>Kľúčové zistenia a odporúčania</w:t>
      </w:r>
      <w:bookmarkEnd w:id="60"/>
      <w:r w:rsidRPr="00DD6590">
        <w:t xml:space="preserve"> </w:t>
      </w:r>
    </w:p>
    <w:tbl>
      <w:tblPr>
        <w:tblStyle w:val="Svetlzoznamzvraznenie11"/>
        <w:tblW w:w="0" w:type="auto"/>
        <w:tblLook w:val="04A0" w:firstRow="1" w:lastRow="0" w:firstColumn="1" w:lastColumn="0" w:noHBand="0" w:noVBand="1"/>
      </w:tblPr>
      <w:tblGrid>
        <w:gridCol w:w="530"/>
        <w:gridCol w:w="4139"/>
        <w:gridCol w:w="4665"/>
      </w:tblGrid>
      <w:tr w:rsidR="00E83736" w:rsidRPr="00E83736" w14:paraId="180FC9AF" w14:textId="77777777" w:rsidTr="008E1E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hemeColor="accent1"/>
            </w:tcBorders>
            <w:vAlign w:val="center"/>
          </w:tcPr>
          <w:p w14:paraId="7F452E1F" w14:textId="77777777" w:rsidR="00E83736" w:rsidRPr="00E83736" w:rsidRDefault="00E83736" w:rsidP="008E1E5B">
            <w:pPr>
              <w:spacing w:before="60" w:after="0" w:line="240" w:lineRule="auto"/>
              <w:rPr>
                <w:szCs w:val="18"/>
              </w:rPr>
            </w:pPr>
            <w:r w:rsidRPr="00E83736">
              <w:rPr>
                <w:szCs w:val="18"/>
              </w:rPr>
              <w:t>P. č.</w:t>
            </w:r>
          </w:p>
        </w:tc>
        <w:tc>
          <w:tcPr>
            <w:tcW w:w="4139" w:type="dxa"/>
            <w:tcBorders>
              <w:right w:val="single" w:sz="4" w:space="0" w:color="86BC25" w:themeColor="accent1"/>
            </w:tcBorders>
            <w:vAlign w:val="center"/>
          </w:tcPr>
          <w:p w14:paraId="1C074B82" w14:textId="77777777" w:rsidR="00E83736" w:rsidRPr="00E83736" w:rsidRDefault="00E83736" w:rsidP="008E1E5B">
            <w:pPr>
              <w:spacing w:before="60"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Cs w:val="18"/>
              </w:rPr>
            </w:pPr>
            <w:r w:rsidRPr="00E83736">
              <w:rPr>
                <w:rFonts w:asciiTheme="minorHAnsi" w:hAnsiTheme="minorHAnsi"/>
                <w:szCs w:val="18"/>
              </w:rPr>
              <w:t>Kľúčové zistenia/oblasti</w:t>
            </w:r>
          </w:p>
        </w:tc>
        <w:tc>
          <w:tcPr>
            <w:tcW w:w="4665" w:type="dxa"/>
            <w:tcBorders>
              <w:left w:val="single" w:sz="4" w:space="0" w:color="86BC25" w:themeColor="accent1"/>
            </w:tcBorders>
            <w:vAlign w:val="center"/>
          </w:tcPr>
          <w:p w14:paraId="5EE87CFC" w14:textId="77777777" w:rsidR="00E83736" w:rsidRPr="00E83736" w:rsidRDefault="00E83736" w:rsidP="008E1E5B">
            <w:pPr>
              <w:spacing w:before="60"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Cs w:val="18"/>
              </w:rPr>
            </w:pPr>
            <w:r w:rsidRPr="00E83736">
              <w:rPr>
                <w:rFonts w:asciiTheme="minorHAnsi" w:hAnsiTheme="minorHAnsi"/>
                <w:szCs w:val="18"/>
              </w:rPr>
              <w:t xml:space="preserve">Odporúčania </w:t>
            </w:r>
          </w:p>
        </w:tc>
      </w:tr>
      <w:tr w:rsidR="00E83736" w:rsidRPr="00E83736" w14:paraId="5B59857C" w14:textId="77777777" w:rsidTr="008E1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hemeColor="accent1"/>
            </w:tcBorders>
            <w:vAlign w:val="center"/>
          </w:tcPr>
          <w:p w14:paraId="30B8F4E6" w14:textId="77777777" w:rsidR="00E83736" w:rsidRPr="00E83736" w:rsidRDefault="00E83736" w:rsidP="008E1E5B">
            <w:pPr>
              <w:spacing w:before="60" w:after="0" w:line="240" w:lineRule="auto"/>
              <w:rPr>
                <w:rFonts w:asciiTheme="minorHAnsi" w:hAnsiTheme="minorHAnsi"/>
                <w:b w:val="0"/>
                <w:szCs w:val="18"/>
              </w:rPr>
            </w:pPr>
            <w:r w:rsidRPr="00E83736">
              <w:rPr>
                <w:rFonts w:asciiTheme="minorHAnsi" w:hAnsiTheme="minorHAnsi"/>
                <w:b w:val="0"/>
                <w:szCs w:val="18"/>
              </w:rPr>
              <w:t>1</w:t>
            </w:r>
          </w:p>
        </w:tc>
        <w:tc>
          <w:tcPr>
            <w:tcW w:w="4139" w:type="dxa"/>
            <w:tcBorders>
              <w:right w:val="single" w:sz="4" w:space="0" w:color="86BC25" w:themeColor="accent1"/>
            </w:tcBorders>
            <w:vAlign w:val="center"/>
          </w:tcPr>
          <w:p w14:paraId="4297E97B" w14:textId="77777777" w:rsidR="00E83736" w:rsidRPr="00E83736" w:rsidRDefault="00E83736" w:rsidP="008E1E5B">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E83736">
              <w:rPr>
                <w:rFonts w:asciiTheme="minorHAnsi" w:hAnsiTheme="minorHAnsi"/>
                <w:szCs w:val="18"/>
              </w:rPr>
              <w:t>Nedostatočné tempo kontrahovania a čerpania PO4, PO5 a PO7</w:t>
            </w:r>
          </w:p>
        </w:tc>
        <w:tc>
          <w:tcPr>
            <w:tcW w:w="4665" w:type="dxa"/>
            <w:tcBorders>
              <w:left w:val="single" w:sz="4" w:space="0" w:color="86BC25" w:themeColor="accent1"/>
            </w:tcBorders>
            <w:vAlign w:val="center"/>
          </w:tcPr>
          <w:p w14:paraId="58E4E9ED" w14:textId="77777777" w:rsidR="00E83736" w:rsidRPr="00E83736" w:rsidRDefault="00E83736" w:rsidP="003E761D">
            <w:pPr>
              <w:pStyle w:val="ListParagraph"/>
              <w:numPr>
                <w:ilvl w:val="0"/>
                <w:numId w:val="90"/>
              </w:numPr>
              <w:spacing w:before="60" w:after="0" w:line="240" w:lineRule="auto"/>
              <w:ind w:left="256" w:hanging="274"/>
              <w:jc w:val="left"/>
              <w:cnfStyle w:val="000000100000" w:firstRow="0" w:lastRow="0" w:firstColumn="0" w:lastColumn="0" w:oddVBand="0" w:evenVBand="0" w:oddHBand="1" w:evenHBand="0" w:firstRowFirstColumn="0" w:firstRowLastColumn="0" w:lastRowFirstColumn="0" w:lastRowLastColumn="0"/>
              <w:rPr>
                <w:szCs w:val="18"/>
              </w:rPr>
            </w:pPr>
            <w:r w:rsidRPr="00E83736">
              <w:rPr>
                <w:szCs w:val="18"/>
              </w:rPr>
              <w:t>Vypracovať akčný plán, ktorý povedie k posunu implementácie kľúčových projektov smerujúcich k naplneniu cieľov OPII.</w:t>
            </w:r>
          </w:p>
          <w:p w14:paraId="60EF058F" w14:textId="77777777" w:rsidR="00E83736" w:rsidRPr="00E83736" w:rsidRDefault="00E83736" w:rsidP="003E761D">
            <w:pPr>
              <w:pStyle w:val="ListParagraph"/>
              <w:numPr>
                <w:ilvl w:val="0"/>
                <w:numId w:val="90"/>
              </w:numPr>
              <w:spacing w:before="60" w:after="0" w:line="240" w:lineRule="auto"/>
              <w:ind w:left="256" w:hanging="274"/>
              <w:jc w:val="left"/>
              <w:cnfStyle w:val="000000100000" w:firstRow="0" w:lastRow="0" w:firstColumn="0" w:lastColumn="0" w:oddVBand="0" w:evenVBand="0" w:oddHBand="1" w:evenHBand="0" w:firstRowFirstColumn="0" w:firstRowLastColumn="0" w:lastRowFirstColumn="0" w:lastRowLastColumn="0"/>
              <w:rPr>
                <w:szCs w:val="18"/>
              </w:rPr>
            </w:pPr>
            <w:r w:rsidRPr="00E83736">
              <w:rPr>
                <w:szCs w:val="18"/>
              </w:rPr>
              <w:t>V prípade nedodržania cieľov stanovených v akčnom pláne realokovať finančné prostriedky do inej prioritnej osi s väčšou absorpčnou kapacitou.</w:t>
            </w:r>
          </w:p>
          <w:p w14:paraId="4CB51E55" w14:textId="77777777" w:rsidR="00E83736" w:rsidRPr="00E83736" w:rsidRDefault="00E83736" w:rsidP="003E761D">
            <w:pPr>
              <w:pStyle w:val="ListParagraph"/>
              <w:numPr>
                <w:ilvl w:val="0"/>
                <w:numId w:val="90"/>
              </w:numPr>
              <w:spacing w:before="60" w:after="0" w:line="240" w:lineRule="auto"/>
              <w:ind w:left="256" w:hanging="274"/>
              <w:jc w:val="left"/>
              <w:cnfStyle w:val="000000100000" w:firstRow="0" w:lastRow="0" w:firstColumn="0" w:lastColumn="0" w:oddVBand="0" w:evenVBand="0" w:oddHBand="1" w:evenHBand="0" w:firstRowFirstColumn="0" w:firstRowLastColumn="0" w:lastRowFirstColumn="0" w:lastRowLastColumn="0"/>
              <w:rPr>
                <w:szCs w:val="18"/>
              </w:rPr>
            </w:pPr>
            <w:r w:rsidRPr="00E83736">
              <w:rPr>
                <w:szCs w:val="18"/>
              </w:rPr>
              <w:t>Upraviť Operačný program Integrovaná infraštruktúra 2014</w:t>
            </w:r>
            <w:r w:rsidR="00814E17">
              <w:rPr>
                <w:szCs w:val="18"/>
              </w:rPr>
              <w:t xml:space="preserve"> </w:t>
            </w:r>
            <w:r w:rsidR="00814E17" w:rsidRPr="00DD6590">
              <w:t>–</w:t>
            </w:r>
            <w:r w:rsidR="00814E17">
              <w:rPr>
                <w:szCs w:val="18"/>
              </w:rPr>
              <w:t xml:space="preserve"> </w:t>
            </w:r>
            <w:r w:rsidRPr="00E83736">
              <w:rPr>
                <w:szCs w:val="18"/>
              </w:rPr>
              <w:t>2020 vo vzťahu k zintenzívneniu kontrahovania a čerpania a to doplnením nových aktivít,</w:t>
            </w:r>
            <w:r w:rsidR="006D0F1F">
              <w:rPr>
                <w:sz w:val="16"/>
                <w:szCs w:val="16"/>
              </w:rPr>
              <w:t xml:space="preserve"> </w:t>
            </w:r>
            <w:r w:rsidR="006D0F1F" w:rsidRPr="006D0F1F">
              <w:rPr>
                <w:szCs w:val="18"/>
              </w:rPr>
              <w:t>ukazovateľov</w:t>
            </w:r>
            <w:r w:rsidR="006D0F1F">
              <w:rPr>
                <w:szCs w:val="18"/>
              </w:rPr>
              <w:t>,</w:t>
            </w:r>
            <w:r w:rsidRPr="006D0F1F">
              <w:rPr>
                <w:szCs w:val="18"/>
              </w:rPr>
              <w:t xml:space="preserve"> </w:t>
            </w:r>
            <w:r w:rsidRPr="00E83736">
              <w:rPr>
                <w:szCs w:val="18"/>
              </w:rPr>
              <w:t>územia a prijímateľov.</w:t>
            </w:r>
            <w:r w:rsidR="00814E17">
              <w:rPr>
                <w:szCs w:val="18"/>
              </w:rPr>
              <w:t xml:space="preserve"> </w:t>
            </w:r>
            <w:r w:rsidR="0061285D">
              <w:rPr>
                <w:szCs w:val="18"/>
              </w:rPr>
              <w:t>(netýka sa PO7)</w:t>
            </w:r>
            <w:r w:rsidR="0061285D" w:rsidRPr="00E83736">
              <w:rPr>
                <w:szCs w:val="18"/>
              </w:rPr>
              <w:t>.</w:t>
            </w:r>
          </w:p>
        </w:tc>
      </w:tr>
      <w:tr w:rsidR="00E83736" w:rsidRPr="00E83736" w14:paraId="3A981F67" w14:textId="77777777" w:rsidTr="008E1E5B">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hemeColor="accent1"/>
            </w:tcBorders>
            <w:vAlign w:val="center"/>
          </w:tcPr>
          <w:p w14:paraId="1462C163" w14:textId="77777777" w:rsidR="00E83736" w:rsidRPr="00E83736" w:rsidRDefault="00E83736" w:rsidP="008E1E5B">
            <w:pPr>
              <w:spacing w:before="60" w:after="0" w:line="240" w:lineRule="auto"/>
              <w:rPr>
                <w:b w:val="0"/>
                <w:szCs w:val="18"/>
              </w:rPr>
            </w:pPr>
            <w:r w:rsidRPr="00E83736">
              <w:rPr>
                <w:rFonts w:asciiTheme="minorHAnsi" w:hAnsiTheme="minorHAnsi"/>
                <w:b w:val="0"/>
                <w:szCs w:val="18"/>
              </w:rPr>
              <w:t>2</w:t>
            </w:r>
          </w:p>
        </w:tc>
        <w:tc>
          <w:tcPr>
            <w:tcW w:w="4139" w:type="dxa"/>
            <w:tcBorders>
              <w:right w:val="single" w:sz="4" w:space="0" w:color="86BC25" w:themeColor="accent1"/>
            </w:tcBorders>
            <w:vAlign w:val="center"/>
          </w:tcPr>
          <w:p w14:paraId="2BA1B68D" w14:textId="77777777" w:rsidR="00E83736" w:rsidRPr="00E83736" w:rsidRDefault="00E83736" w:rsidP="008E1E5B">
            <w:pPr>
              <w:spacing w:before="60" w:after="0" w:line="240" w:lineRule="auto"/>
              <w:jc w:val="left"/>
              <w:cnfStyle w:val="000000000000" w:firstRow="0" w:lastRow="0" w:firstColumn="0" w:lastColumn="0" w:oddVBand="0" w:evenVBand="0" w:oddHBand="0" w:evenHBand="0" w:firstRowFirstColumn="0" w:firstRowLastColumn="0" w:lastRowFirstColumn="0" w:lastRowLastColumn="0"/>
              <w:rPr>
                <w:szCs w:val="18"/>
              </w:rPr>
            </w:pPr>
            <w:r w:rsidRPr="00E83736">
              <w:rPr>
                <w:rFonts w:asciiTheme="minorHAnsi" w:hAnsiTheme="minorHAnsi"/>
                <w:szCs w:val="18"/>
              </w:rPr>
              <w:t>Nedostatočná previazanosť ukazovateľov OPII vyhodnocovaných na základe štatistických údajov s projektovými ukazovateľmi</w:t>
            </w:r>
          </w:p>
        </w:tc>
        <w:tc>
          <w:tcPr>
            <w:tcW w:w="4665" w:type="dxa"/>
            <w:tcBorders>
              <w:left w:val="single" w:sz="4" w:space="0" w:color="86BC25" w:themeColor="accent1"/>
            </w:tcBorders>
            <w:vAlign w:val="center"/>
          </w:tcPr>
          <w:p w14:paraId="75E512EA" w14:textId="77777777" w:rsidR="00E83736" w:rsidRPr="00E83736" w:rsidRDefault="00E83736" w:rsidP="003E761D">
            <w:pPr>
              <w:pStyle w:val="ListParagraph"/>
              <w:numPr>
                <w:ilvl w:val="0"/>
                <w:numId w:val="91"/>
              </w:numPr>
              <w:spacing w:before="60" w:after="0" w:line="240" w:lineRule="auto"/>
              <w:ind w:left="252" w:hanging="252"/>
              <w:jc w:val="left"/>
              <w:cnfStyle w:val="000000000000" w:firstRow="0" w:lastRow="0" w:firstColumn="0" w:lastColumn="0" w:oddVBand="0" w:evenVBand="0" w:oddHBand="0" w:evenHBand="0" w:firstRowFirstColumn="0" w:firstRowLastColumn="0" w:lastRowFirstColumn="0" w:lastRowLastColumn="0"/>
              <w:rPr>
                <w:szCs w:val="18"/>
              </w:rPr>
            </w:pPr>
            <w:r w:rsidRPr="00E83736">
              <w:rPr>
                <w:szCs w:val="18"/>
              </w:rPr>
              <w:t>Vypracovať dopadové hodnotenie vplyvu projektov realizovaných v rámci OPII na ukazovatele.</w:t>
            </w:r>
          </w:p>
          <w:p w14:paraId="70139716" w14:textId="77777777" w:rsidR="00E83736" w:rsidRPr="00E83736" w:rsidRDefault="00E83736" w:rsidP="003E761D">
            <w:pPr>
              <w:pStyle w:val="ListParagraph"/>
              <w:numPr>
                <w:ilvl w:val="0"/>
                <w:numId w:val="91"/>
              </w:numPr>
              <w:spacing w:before="60" w:after="0" w:line="240" w:lineRule="auto"/>
              <w:ind w:left="252" w:hanging="252"/>
              <w:jc w:val="left"/>
              <w:cnfStyle w:val="000000000000" w:firstRow="0" w:lastRow="0" w:firstColumn="0" w:lastColumn="0" w:oddVBand="0" w:evenVBand="0" w:oddHBand="0" w:evenHBand="0" w:firstRowFirstColumn="0" w:firstRowLastColumn="0" w:lastRowFirstColumn="0" w:lastRowLastColumn="0"/>
              <w:rPr>
                <w:szCs w:val="18"/>
              </w:rPr>
            </w:pPr>
            <w:r w:rsidRPr="00E83736">
              <w:rPr>
                <w:szCs w:val="18"/>
              </w:rPr>
              <w:t>Aktualizovať dokument „Prehľad ukazovateľov OPII 2014 – 2020 vrátane popisu metodiky stanovenia hodnôt ukazovateľov“ tak, aby bola zabezpečená previazanosť ukazovateľov na úrovni programu s projektovými ukazovateľmi.</w:t>
            </w:r>
          </w:p>
        </w:tc>
      </w:tr>
      <w:tr w:rsidR="00E83736" w:rsidRPr="00E83736" w14:paraId="08124F61" w14:textId="77777777" w:rsidTr="008E1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hemeColor="accent1"/>
            </w:tcBorders>
            <w:vAlign w:val="center"/>
          </w:tcPr>
          <w:p w14:paraId="78F9885C" w14:textId="77777777" w:rsidR="00E83736" w:rsidRPr="00E83736" w:rsidRDefault="00E83736" w:rsidP="008E1E5B">
            <w:pPr>
              <w:spacing w:before="60" w:after="0" w:line="240" w:lineRule="auto"/>
              <w:rPr>
                <w:rFonts w:asciiTheme="minorHAnsi" w:hAnsiTheme="minorHAnsi"/>
                <w:b w:val="0"/>
                <w:szCs w:val="18"/>
              </w:rPr>
            </w:pPr>
            <w:r w:rsidRPr="00E83736">
              <w:rPr>
                <w:rFonts w:asciiTheme="minorHAnsi" w:hAnsiTheme="minorHAnsi"/>
                <w:b w:val="0"/>
                <w:szCs w:val="18"/>
              </w:rPr>
              <w:t>3</w:t>
            </w:r>
          </w:p>
        </w:tc>
        <w:tc>
          <w:tcPr>
            <w:tcW w:w="4139" w:type="dxa"/>
            <w:tcBorders>
              <w:right w:val="single" w:sz="4" w:space="0" w:color="86BC25" w:themeColor="accent1"/>
            </w:tcBorders>
            <w:vAlign w:val="center"/>
          </w:tcPr>
          <w:p w14:paraId="17F11860" w14:textId="77777777" w:rsidR="00E83736" w:rsidRPr="00E83736" w:rsidRDefault="00E83736" w:rsidP="008E1E5B">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E83736">
              <w:rPr>
                <w:rFonts w:asciiTheme="minorHAnsi" w:hAnsiTheme="minorHAnsi"/>
                <w:szCs w:val="18"/>
              </w:rPr>
              <w:t>Nedostatočná informovanosť o stave prípravy projektov PO1 a PO5</w:t>
            </w:r>
          </w:p>
        </w:tc>
        <w:tc>
          <w:tcPr>
            <w:tcW w:w="4665" w:type="dxa"/>
            <w:tcBorders>
              <w:left w:val="single" w:sz="4" w:space="0" w:color="86BC25" w:themeColor="accent1"/>
            </w:tcBorders>
            <w:vAlign w:val="center"/>
          </w:tcPr>
          <w:p w14:paraId="1740E488" w14:textId="77777777" w:rsidR="00E83736" w:rsidRPr="00E83736" w:rsidRDefault="00E83736" w:rsidP="003E761D">
            <w:pPr>
              <w:pStyle w:val="ListParagraph"/>
              <w:numPr>
                <w:ilvl w:val="0"/>
                <w:numId w:val="92"/>
              </w:numPr>
              <w:spacing w:before="60" w:after="0" w:line="240" w:lineRule="auto"/>
              <w:ind w:left="252" w:hanging="270"/>
              <w:jc w:val="left"/>
              <w:cnfStyle w:val="000000100000" w:firstRow="0" w:lastRow="0" w:firstColumn="0" w:lastColumn="0" w:oddVBand="0" w:evenVBand="0" w:oddHBand="1" w:evenHBand="0" w:firstRowFirstColumn="0" w:firstRowLastColumn="0" w:lastRowFirstColumn="0" w:lastRowLastColumn="0"/>
              <w:rPr>
                <w:szCs w:val="18"/>
              </w:rPr>
            </w:pPr>
            <w:r w:rsidRPr="00E83736">
              <w:rPr>
                <w:szCs w:val="18"/>
              </w:rPr>
              <w:t>Vypracovať databázu projektov, ktorú budú prijímatelia pravidelne aktualizovať a informovať RO OPII a postupe prác.</w:t>
            </w:r>
          </w:p>
          <w:p w14:paraId="2F8BFE17" w14:textId="77777777" w:rsidR="00E83736" w:rsidRPr="00E83736" w:rsidRDefault="00E83736" w:rsidP="003E761D">
            <w:pPr>
              <w:pStyle w:val="ListParagraph"/>
              <w:numPr>
                <w:ilvl w:val="0"/>
                <w:numId w:val="92"/>
              </w:numPr>
              <w:spacing w:before="60" w:after="0" w:line="240" w:lineRule="auto"/>
              <w:ind w:left="252" w:hanging="270"/>
              <w:jc w:val="left"/>
              <w:cnfStyle w:val="000000100000" w:firstRow="0" w:lastRow="0" w:firstColumn="0" w:lastColumn="0" w:oddVBand="0" w:evenVBand="0" w:oddHBand="1" w:evenHBand="0" w:firstRowFirstColumn="0" w:firstRowLastColumn="0" w:lastRowFirstColumn="0" w:lastRowLastColumn="0"/>
              <w:rPr>
                <w:szCs w:val="18"/>
              </w:rPr>
            </w:pPr>
            <w:r w:rsidRPr="00E83736">
              <w:rPr>
                <w:szCs w:val="18"/>
              </w:rPr>
              <w:t xml:space="preserve">Analyzovať pripravenosť projektov </w:t>
            </w:r>
            <w:r w:rsidR="00814E17" w:rsidRPr="00814E17">
              <w:rPr>
                <w:szCs w:val="18"/>
              </w:rPr>
              <w:t>z hľadiska ich potenciálu na úspešné ukončenie v programovom období</w:t>
            </w:r>
            <w:r w:rsidRPr="00E83736">
              <w:rPr>
                <w:szCs w:val="18"/>
              </w:rPr>
              <w:t xml:space="preserve"> 2014 </w:t>
            </w:r>
            <w:r w:rsidR="00814E17" w:rsidRPr="00E83736">
              <w:rPr>
                <w:szCs w:val="18"/>
              </w:rPr>
              <w:t>–</w:t>
            </w:r>
            <w:r w:rsidRPr="00E83736">
              <w:rPr>
                <w:szCs w:val="18"/>
              </w:rPr>
              <w:t xml:space="preserve"> 2020  </w:t>
            </w:r>
          </w:p>
          <w:p w14:paraId="289F732D" w14:textId="77777777" w:rsidR="00E83736" w:rsidRPr="00E83736" w:rsidRDefault="00E83736" w:rsidP="008E1E5B">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szCs w:val="18"/>
              </w:rPr>
            </w:pPr>
          </w:p>
        </w:tc>
      </w:tr>
      <w:tr w:rsidR="00E83736" w:rsidRPr="00E83736" w14:paraId="0A9C2F30" w14:textId="77777777" w:rsidTr="008E1E5B">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hemeColor="accent1"/>
            </w:tcBorders>
            <w:vAlign w:val="center"/>
          </w:tcPr>
          <w:p w14:paraId="417C0166" w14:textId="77777777" w:rsidR="00E83736" w:rsidRPr="00E83736" w:rsidRDefault="00E83736" w:rsidP="008E1E5B">
            <w:pPr>
              <w:spacing w:before="60" w:after="0" w:line="240" w:lineRule="auto"/>
              <w:rPr>
                <w:rFonts w:asciiTheme="minorHAnsi" w:hAnsiTheme="minorHAnsi"/>
                <w:b w:val="0"/>
                <w:szCs w:val="18"/>
              </w:rPr>
            </w:pPr>
            <w:r w:rsidRPr="00E83736">
              <w:rPr>
                <w:rFonts w:asciiTheme="minorHAnsi" w:hAnsiTheme="minorHAnsi"/>
                <w:b w:val="0"/>
                <w:szCs w:val="18"/>
              </w:rPr>
              <w:t>4</w:t>
            </w:r>
          </w:p>
        </w:tc>
        <w:tc>
          <w:tcPr>
            <w:tcW w:w="4139" w:type="dxa"/>
            <w:tcBorders>
              <w:right w:val="single" w:sz="4" w:space="0" w:color="86BC25" w:themeColor="accent1"/>
            </w:tcBorders>
            <w:vAlign w:val="center"/>
          </w:tcPr>
          <w:p w14:paraId="4D4E72A2" w14:textId="77777777" w:rsidR="00E83736" w:rsidRPr="00E83736" w:rsidRDefault="00E83736" w:rsidP="008E1E5B">
            <w:pPr>
              <w:spacing w:before="60" w:after="0" w:line="240"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18"/>
              </w:rPr>
            </w:pPr>
            <w:r w:rsidRPr="00E83736">
              <w:rPr>
                <w:rFonts w:asciiTheme="minorHAnsi" w:hAnsiTheme="minorHAnsi"/>
                <w:szCs w:val="18"/>
              </w:rPr>
              <w:t>Nedostatky v riadení a kontrole projektov PO7 zo strany SO OPII</w:t>
            </w:r>
          </w:p>
        </w:tc>
        <w:tc>
          <w:tcPr>
            <w:tcW w:w="4665" w:type="dxa"/>
            <w:tcBorders>
              <w:left w:val="single" w:sz="4" w:space="0" w:color="86BC25" w:themeColor="accent1"/>
            </w:tcBorders>
            <w:vAlign w:val="center"/>
          </w:tcPr>
          <w:p w14:paraId="55907CC1" w14:textId="77777777" w:rsidR="00116819" w:rsidRPr="00116819" w:rsidRDefault="00116819" w:rsidP="00116819">
            <w:pPr>
              <w:pStyle w:val="ListParagraph"/>
              <w:numPr>
                <w:ilvl w:val="0"/>
                <w:numId w:val="93"/>
              </w:numPr>
              <w:spacing w:before="60" w:after="0" w:line="240" w:lineRule="auto"/>
              <w:ind w:left="259" w:hanging="259"/>
              <w:jc w:val="left"/>
              <w:cnfStyle w:val="000000000000" w:firstRow="0" w:lastRow="0" w:firstColumn="0" w:lastColumn="0" w:oddVBand="0" w:evenVBand="0" w:oddHBand="0" w:evenHBand="0" w:firstRowFirstColumn="0" w:firstRowLastColumn="0" w:lastRowFirstColumn="0" w:lastRowLastColumn="0"/>
              <w:rPr>
                <w:szCs w:val="18"/>
              </w:rPr>
            </w:pPr>
            <w:r w:rsidRPr="00116819">
              <w:rPr>
                <w:szCs w:val="18"/>
              </w:rPr>
              <w:t xml:space="preserve">Vykonať kontrolu úloh vykonávaných sprostredkovateľským orgánom na identifikované nedostatky definované v tomto hodnotení.  </w:t>
            </w:r>
            <w:r>
              <w:rPr>
                <w:szCs w:val="18"/>
              </w:rPr>
              <w:t>V</w:t>
            </w:r>
            <w:r w:rsidRPr="00116819">
              <w:rPr>
                <w:szCs w:val="18"/>
              </w:rPr>
              <w:t xml:space="preserve"> rámci pravidelných stretnutí RO a SO OPI</w:t>
            </w:r>
            <w:r>
              <w:rPr>
                <w:szCs w:val="18"/>
              </w:rPr>
              <w:t>I m</w:t>
            </w:r>
            <w:r w:rsidRPr="00116819">
              <w:rPr>
                <w:szCs w:val="18"/>
              </w:rPr>
              <w:t>onitorovať progres plnenia opatrení, ktoré budú definované v ak</w:t>
            </w:r>
            <w:r>
              <w:rPr>
                <w:szCs w:val="18"/>
              </w:rPr>
              <w:t>čnom pláne vypracovanom pre PO7</w:t>
            </w:r>
            <w:r w:rsidRPr="00116819">
              <w:rPr>
                <w:szCs w:val="18"/>
              </w:rPr>
              <w:t>.</w:t>
            </w:r>
          </w:p>
          <w:p w14:paraId="230ED208" w14:textId="77777777" w:rsidR="00E83736" w:rsidRPr="00E83736" w:rsidRDefault="00E83736" w:rsidP="00116819">
            <w:pPr>
              <w:pStyle w:val="ListParagraph"/>
              <w:numPr>
                <w:ilvl w:val="0"/>
                <w:numId w:val="93"/>
              </w:numPr>
              <w:spacing w:before="60" w:after="0" w:line="240" w:lineRule="auto"/>
              <w:ind w:left="259" w:hanging="259"/>
              <w:jc w:val="left"/>
              <w:cnfStyle w:val="000000000000" w:firstRow="0" w:lastRow="0" w:firstColumn="0" w:lastColumn="0" w:oddVBand="0" w:evenVBand="0" w:oddHBand="0" w:evenHBand="0" w:firstRowFirstColumn="0" w:firstRowLastColumn="0" w:lastRowFirstColumn="0" w:lastRowLastColumn="0"/>
              <w:rPr>
                <w:szCs w:val="18"/>
              </w:rPr>
            </w:pPr>
            <w:r w:rsidRPr="00E83736">
              <w:rPr>
                <w:szCs w:val="18"/>
              </w:rPr>
              <w:t>Posilniť odborné administratívne kapacity RO OPII vo vzťahu k riadeniu a kontrole SO OPII.</w:t>
            </w:r>
          </w:p>
        </w:tc>
      </w:tr>
      <w:tr w:rsidR="00E83736" w:rsidRPr="00E83736" w14:paraId="21B4893B" w14:textId="77777777" w:rsidTr="008E1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hemeColor="accent1"/>
            </w:tcBorders>
            <w:vAlign w:val="center"/>
          </w:tcPr>
          <w:p w14:paraId="24CAF358" w14:textId="77777777" w:rsidR="00E83736" w:rsidRPr="00E83736" w:rsidRDefault="00E83736" w:rsidP="008E1E5B">
            <w:pPr>
              <w:spacing w:before="60" w:after="0" w:line="240" w:lineRule="auto"/>
              <w:rPr>
                <w:rFonts w:asciiTheme="minorHAnsi" w:hAnsiTheme="minorHAnsi"/>
                <w:b w:val="0"/>
                <w:szCs w:val="18"/>
              </w:rPr>
            </w:pPr>
            <w:r w:rsidRPr="00E83736">
              <w:rPr>
                <w:rFonts w:asciiTheme="minorHAnsi" w:hAnsiTheme="minorHAnsi"/>
                <w:b w:val="0"/>
                <w:szCs w:val="18"/>
              </w:rPr>
              <w:t>5</w:t>
            </w:r>
          </w:p>
        </w:tc>
        <w:tc>
          <w:tcPr>
            <w:tcW w:w="4139" w:type="dxa"/>
            <w:tcBorders>
              <w:right w:val="single" w:sz="4" w:space="0" w:color="86BC25" w:themeColor="accent1"/>
            </w:tcBorders>
            <w:vAlign w:val="center"/>
          </w:tcPr>
          <w:p w14:paraId="18E64592" w14:textId="77777777" w:rsidR="00E83736" w:rsidRPr="00E83736" w:rsidRDefault="00E83736" w:rsidP="008E1E5B">
            <w:pPr>
              <w:spacing w:before="60" w:after="0" w:line="240"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18"/>
              </w:rPr>
            </w:pPr>
            <w:r w:rsidRPr="00E83736">
              <w:rPr>
                <w:rFonts w:asciiTheme="minorHAnsi" w:hAnsiTheme="minorHAnsi"/>
                <w:szCs w:val="18"/>
              </w:rPr>
              <w:t>Nedostatočné vymedzenie povinností pre prijímateľov a žiadateľov v riadiacej dokumentácii pre PO7</w:t>
            </w:r>
          </w:p>
        </w:tc>
        <w:tc>
          <w:tcPr>
            <w:tcW w:w="4665" w:type="dxa"/>
            <w:tcBorders>
              <w:left w:val="single" w:sz="4" w:space="0" w:color="86BC25" w:themeColor="accent1"/>
            </w:tcBorders>
            <w:vAlign w:val="center"/>
          </w:tcPr>
          <w:p w14:paraId="2481C6CE" w14:textId="498F415F" w:rsidR="00E83736" w:rsidRPr="00424B46" w:rsidRDefault="0061285D" w:rsidP="00424B46">
            <w:pPr>
              <w:pStyle w:val="ListParagraph"/>
              <w:numPr>
                <w:ilvl w:val="0"/>
                <w:numId w:val="94"/>
              </w:numPr>
              <w:spacing w:before="60" w:after="0" w:line="240" w:lineRule="auto"/>
              <w:ind w:left="252" w:hanging="270"/>
              <w:jc w:val="left"/>
              <w:cnfStyle w:val="000000100000" w:firstRow="0" w:lastRow="0" w:firstColumn="0" w:lastColumn="0" w:oddVBand="0" w:evenVBand="0" w:oddHBand="1" w:evenHBand="0" w:firstRowFirstColumn="0" w:firstRowLastColumn="0" w:lastRowFirstColumn="0" w:lastRowLastColumn="0"/>
              <w:rPr>
                <w:szCs w:val="18"/>
              </w:rPr>
            </w:pPr>
            <w:r w:rsidRPr="00E83736">
              <w:rPr>
                <w:szCs w:val="18"/>
              </w:rPr>
              <w:t>Aktualizovať dokument „Príručka pre žiadateľa prioritnej osi 7 – Informačná spoločnosť“ vo vzťahu k zadávaniu povinných ukazovateľov do ŽoNFP.</w:t>
            </w:r>
          </w:p>
        </w:tc>
      </w:tr>
      <w:tr w:rsidR="00E83736" w:rsidRPr="00E83736" w14:paraId="4D9A98EF" w14:textId="77777777" w:rsidTr="008E1E5B">
        <w:tc>
          <w:tcPr>
            <w:cnfStyle w:val="001000000000" w:firstRow="0" w:lastRow="0" w:firstColumn="1" w:lastColumn="0" w:oddVBand="0" w:evenVBand="0" w:oddHBand="0" w:evenHBand="0" w:firstRowFirstColumn="0" w:firstRowLastColumn="0" w:lastRowFirstColumn="0" w:lastRowLastColumn="0"/>
            <w:tcW w:w="530" w:type="dxa"/>
            <w:tcBorders>
              <w:right w:val="single" w:sz="4" w:space="0" w:color="86BC25" w:themeColor="accent1"/>
            </w:tcBorders>
            <w:vAlign w:val="center"/>
          </w:tcPr>
          <w:p w14:paraId="26015F59" w14:textId="77777777" w:rsidR="00E83736" w:rsidRPr="00E83736" w:rsidRDefault="00E83736" w:rsidP="008E1E5B">
            <w:pPr>
              <w:spacing w:before="60" w:after="0" w:line="240" w:lineRule="auto"/>
              <w:rPr>
                <w:rFonts w:asciiTheme="minorHAnsi" w:hAnsiTheme="minorHAnsi"/>
                <w:b w:val="0"/>
                <w:szCs w:val="18"/>
              </w:rPr>
            </w:pPr>
            <w:r w:rsidRPr="00E83736">
              <w:rPr>
                <w:rFonts w:asciiTheme="minorHAnsi" w:hAnsiTheme="minorHAnsi"/>
                <w:b w:val="0"/>
                <w:szCs w:val="18"/>
              </w:rPr>
              <w:t>6</w:t>
            </w:r>
          </w:p>
        </w:tc>
        <w:tc>
          <w:tcPr>
            <w:tcW w:w="4139" w:type="dxa"/>
            <w:tcBorders>
              <w:right w:val="single" w:sz="4" w:space="0" w:color="86BC25" w:themeColor="accent1"/>
            </w:tcBorders>
            <w:vAlign w:val="center"/>
          </w:tcPr>
          <w:p w14:paraId="1DB394AD" w14:textId="77777777" w:rsidR="00E83736" w:rsidRPr="00E83736" w:rsidRDefault="00E83736" w:rsidP="008E1E5B">
            <w:pPr>
              <w:spacing w:before="60" w:after="0" w:line="240" w:lineRule="auto"/>
              <w:jc w:val="left"/>
              <w:cnfStyle w:val="000000000000" w:firstRow="0" w:lastRow="0" w:firstColumn="0" w:lastColumn="0" w:oddVBand="0" w:evenVBand="0" w:oddHBand="0" w:evenHBand="0" w:firstRowFirstColumn="0" w:firstRowLastColumn="0" w:lastRowFirstColumn="0" w:lastRowLastColumn="0"/>
              <w:rPr>
                <w:szCs w:val="18"/>
              </w:rPr>
            </w:pPr>
            <w:r w:rsidRPr="00E83736">
              <w:rPr>
                <w:rFonts w:asciiTheme="minorHAnsi" w:hAnsiTheme="minorHAnsi"/>
                <w:szCs w:val="18"/>
              </w:rPr>
              <w:t>Navýšenie alokácie PO6</w:t>
            </w:r>
          </w:p>
        </w:tc>
        <w:tc>
          <w:tcPr>
            <w:tcW w:w="4665" w:type="dxa"/>
            <w:tcBorders>
              <w:left w:val="single" w:sz="4" w:space="0" w:color="86BC25" w:themeColor="accent1"/>
            </w:tcBorders>
            <w:vAlign w:val="center"/>
          </w:tcPr>
          <w:p w14:paraId="0D5B854C" w14:textId="77777777" w:rsidR="00E83736" w:rsidRPr="00E83736" w:rsidRDefault="00E83736" w:rsidP="003E761D">
            <w:pPr>
              <w:pStyle w:val="ListParagraph"/>
              <w:numPr>
                <w:ilvl w:val="0"/>
                <w:numId w:val="95"/>
              </w:numPr>
              <w:spacing w:before="60" w:after="0" w:line="240" w:lineRule="auto"/>
              <w:ind w:left="252" w:hanging="270"/>
              <w:jc w:val="left"/>
              <w:cnfStyle w:val="000000000000" w:firstRow="0" w:lastRow="0" w:firstColumn="0" w:lastColumn="0" w:oddVBand="0" w:evenVBand="0" w:oddHBand="0" w:evenHBand="0" w:firstRowFirstColumn="0" w:firstRowLastColumn="0" w:lastRowFirstColumn="0" w:lastRowLastColumn="0"/>
              <w:rPr>
                <w:szCs w:val="18"/>
              </w:rPr>
            </w:pPr>
            <w:r w:rsidRPr="00E83736">
              <w:rPr>
                <w:szCs w:val="18"/>
              </w:rPr>
              <w:t>Posilniť administratívne kapacity prijímateľa a RO OPII a v súvislosti s tým aj presun finančných prostriedkov z technickej pomoci z operačných programov, ktorým bola odobratá výkonnostná rezerva.</w:t>
            </w:r>
          </w:p>
          <w:p w14:paraId="0B155CED" w14:textId="77777777" w:rsidR="00E83736" w:rsidRPr="00E83736" w:rsidRDefault="00E83736" w:rsidP="00814E17">
            <w:pPr>
              <w:pStyle w:val="ListParagraph"/>
              <w:numPr>
                <w:ilvl w:val="0"/>
                <w:numId w:val="95"/>
              </w:numPr>
              <w:spacing w:before="60" w:after="0" w:line="240" w:lineRule="auto"/>
              <w:ind w:left="252" w:hanging="270"/>
              <w:jc w:val="left"/>
              <w:cnfStyle w:val="000000000000" w:firstRow="0" w:lastRow="0" w:firstColumn="0" w:lastColumn="0" w:oddVBand="0" w:evenVBand="0" w:oddHBand="0" w:evenHBand="0" w:firstRowFirstColumn="0" w:firstRowLastColumn="0" w:lastRowFirstColumn="0" w:lastRowLastColumn="0"/>
              <w:rPr>
                <w:szCs w:val="18"/>
              </w:rPr>
            </w:pPr>
            <w:r w:rsidRPr="00E83736">
              <w:rPr>
                <w:szCs w:val="18"/>
              </w:rPr>
              <w:t xml:space="preserve">Upraviť Operačný program Integrovaná infraštruktúra 2014 – 2020 </w:t>
            </w:r>
            <w:r w:rsidR="00814E17" w:rsidRPr="00E83736">
              <w:rPr>
                <w:szCs w:val="18"/>
              </w:rPr>
              <w:t>–</w:t>
            </w:r>
            <w:r w:rsidRPr="00E83736">
              <w:rPr>
                <w:szCs w:val="18"/>
              </w:rPr>
              <w:t xml:space="preserve"> navýšenie cieľových hodnôt ukazovateľov v nadväznosti na navýšenie alokácie PO6.</w:t>
            </w:r>
          </w:p>
        </w:tc>
      </w:tr>
    </w:tbl>
    <w:p w14:paraId="3EE9E270" w14:textId="77777777" w:rsidR="00A67918" w:rsidRPr="00DD6590" w:rsidRDefault="00A67918" w:rsidP="0037019A"/>
    <w:p w14:paraId="2DA0C5D2" w14:textId="77777777" w:rsidR="0037019A" w:rsidRPr="00DD6590" w:rsidRDefault="0037019A" w:rsidP="0037019A"/>
    <w:p w14:paraId="0BD1C8AF" w14:textId="77777777" w:rsidR="008C6F86" w:rsidRPr="00DD6590" w:rsidRDefault="00725CA5" w:rsidP="00375D3D">
      <w:pPr>
        <w:pStyle w:val="Sectiontitle"/>
        <w:outlineLvl w:val="0"/>
      </w:pPr>
      <w:bookmarkStart w:id="61" w:name="_Toc10709724"/>
      <w:r w:rsidRPr="00DD6590">
        <w:lastRenderedPageBreak/>
        <w:t>Prílohy</w:t>
      </w:r>
      <w:bookmarkEnd w:id="59"/>
      <w:bookmarkEnd w:id="61"/>
      <w:r w:rsidRPr="00DD6590">
        <w:t xml:space="preserve"> </w:t>
      </w:r>
    </w:p>
    <w:p w14:paraId="0A0C8851" w14:textId="77777777" w:rsidR="00C05AB3" w:rsidRPr="00DD6590" w:rsidRDefault="00C05AB3" w:rsidP="00C05AB3"/>
    <w:p w14:paraId="1DD63B62" w14:textId="77777777" w:rsidR="00C05AB3" w:rsidRPr="00DD6590" w:rsidRDefault="00C05AB3" w:rsidP="003E761D">
      <w:pPr>
        <w:pStyle w:val="ListParagraph"/>
        <w:numPr>
          <w:ilvl w:val="2"/>
          <w:numId w:val="49"/>
        </w:numPr>
        <w:ind w:left="360"/>
      </w:pPr>
      <w:r w:rsidRPr="00DD6590">
        <w:t>Informácie k projektom</w:t>
      </w:r>
    </w:p>
    <w:p w14:paraId="3EB0DBAB" w14:textId="77777777" w:rsidR="00C05AB3" w:rsidRPr="00DD6590" w:rsidRDefault="00C05AB3" w:rsidP="003E761D">
      <w:pPr>
        <w:pStyle w:val="ListParagraph"/>
        <w:numPr>
          <w:ilvl w:val="2"/>
          <w:numId w:val="49"/>
        </w:numPr>
        <w:ind w:left="360"/>
      </w:pPr>
      <w:r w:rsidRPr="00DD6590">
        <w:t>Dotazníky vyplnené projektovými manažérmi a prijímateľmi</w:t>
      </w:r>
    </w:p>
    <w:p w14:paraId="21E80A63" w14:textId="77777777" w:rsidR="00C05AB3" w:rsidRDefault="00C05AB3" w:rsidP="003E761D">
      <w:pPr>
        <w:pStyle w:val="ListParagraph"/>
        <w:numPr>
          <w:ilvl w:val="2"/>
          <w:numId w:val="49"/>
        </w:numPr>
        <w:ind w:left="360"/>
      </w:pPr>
      <w:r w:rsidRPr="00DD6590">
        <w:t xml:space="preserve">Zoznam rozhovorov </w:t>
      </w:r>
    </w:p>
    <w:p w14:paraId="5DE33495" w14:textId="77777777" w:rsidR="00EE1CD8" w:rsidRDefault="00EE1CD8" w:rsidP="00EE1CD8">
      <w:pPr>
        <w:pStyle w:val="ListParagraph"/>
        <w:numPr>
          <w:ilvl w:val="2"/>
          <w:numId w:val="49"/>
        </w:numPr>
        <w:ind w:left="360"/>
      </w:pPr>
      <w:r>
        <w:t xml:space="preserve">Výsledky analýzy prioritnej osi 1 </w:t>
      </w:r>
      <w:r w:rsidR="00814E17" w:rsidRPr="00E83736">
        <w:rPr>
          <w:szCs w:val="18"/>
        </w:rPr>
        <w:t>–</w:t>
      </w:r>
      <w:r w:rsidR="00814E17">
        <w:rPr>
          <w:szCs w:val="18"/>
        </w:rPr>
        <w:t xml:space="preserve"> </w:t>
      </w:r>
      <w:r w:rsidRPr="00EE1CD8">
        <w:t>Železničná infraštruktúra (TEN-T CORE) a obnova mobilných prostriedkov</w:t>
      </w:r>
    </w:p>
    <w:p w14:paraId="70650FF1" w14:textId="77777777" w:rsidR="00EE1CD8" w:rsidRDefault="00EE1CD8" w:rsidP="00EE1CD8">
      <w:pPr>
        <w:pStyle w:val="ListParagraph"/>
        <w:numPr>
          <w:ilvl w:val="2"/>
          <w:numId w:val="49"/>
        </w:numPr>
        <w:ind w:left="360"/>
      </w:pPr>
      <w:r>
        <w:t xml:space="preserve">Výsledky analýzy prioritnej osi 2 </w:t>
      </w:r>
      <w:r w:rsidR="00814E17" w:rsidRPr="00E83736">
        <w:rPr>
          <w:szCs w:val="18"/>
        </w:rPr>
        <w:t>–</w:t>
      </w:r>
      <w:r w:rsidR="00814E17">
        <w:rPr>
          <w:szCs w:val="18"/>
        </w:rPr>
        <w:t xml:space="preserve"> </w:t>
      </w:r>
      <w:r w:rsidRPr="00DD6590">
        <w:t>Cestná infraštruktúra (TEN-T)</w:t>
      </w:r>
    </w:p>
    <w:p w14:paraId="70218C41" w14:textId="77777777" w:rsidR="00EE1CD8" w:rsidRDefault="00EE1CD8" w:rsidP="00EE1CD8">
      <w:pPr>
        <w:pStyle w:val="ListParagraph"/>
        <w:numPr>
          <w:ilvl w:val="2"/>
          <w:numId w:val="49"/>
        </w:numPr>
        <w:ind w:left="360"/>
      </w:pPr>
      <w:r>
        <w:t xml:space="preserve">Výsledky analýzy prioritnej osi 3 </w:t>
      </w:r>
      <w:r w:rsidR="00814E17" w:rsidRPr="00E83736">
        <w:rPr>
          <w:szCs w:val="18"/>
        </w:rPr>
        <w:t>–</w:t>
      </w:r>
      <w:r w:rsidR="00814E17">
        <w:rPr>
          <w:szCs w:val="18"/>
        </w:rPr>
        <w:t xml:space="preserve"> </w:t>
      </w:r>
      <w:r w:rsidRPr="00EE1CD8">
        <w:t>Verejná osobná doprava</w:t>
      </w:r>
    </w:p>
    <w:p w14:paraId="520E959E" w14:textId="77777777" w:rsidR="00EE1CD8" w:rsidRPr="00EE1CD8" w:rsidRDefault="00EE1CD8" w:rsidP="00EE1CD8">
      <w:pPr>
        <w:pStyle w:val="ListParagraph"/>
        <w:numPr>
          <w:ilvl w:val="2"/>
          <w:numId w:val="49"/>
        </w:numPr>
        <w:ind w:left="360"/>
      </w:pPr>
      <w:r>
        <w:t>Výsledky analýzy prioritnej osi 4</w:t>
      </w:r>
      <w:r w:rsidRPr="00EE1CD8">
        <w:t xml:space="preserve"> </w:t>
      </w:r>
      <w:r w:rsidR="00814E17" w:rsidRPr="00E83736">
        <w:rPr>
          <w:szCs w:val="18"/>
        </w:rPr>
        <w:t>–</w:t>
      </w:r>
      <w:r w:rsidR="00814E17">
        <w:rPr>
          <w:szCs w:val="18"/>
        </w:rPr>
        <w:t xml:space="preserve"> </w:t>
      </w:r>
      <w:r w:rsidRPr="00EE1CD8">
        <w:t>Infraštruktúra vodnej dopravy (TEN-T CORE)</w:t>
      </w:r>
    </w:p>
    <w:p w14:paraId="148EBFEB" w14:textId="77777777" w:rsidR="00EE1CD8" w:rsidRPr="00EE1CD8" w:rsidRDefault="00EE1CD8" w:rsidP="00EE1CD8">
      <w:pPr>
        <w:pStyle w:val="ListParagraph"/>
        <w:numPr>
          <w:ilvl w:val="2"/>
          <w:numId w:val="49"/>
        </w:numPr>
        <w:ind w:left="360"/>
      </w:pPr>
      <w:r>
        <w:t xml:space="preserve">Výsledky analýzy prioritnej osi 5 </w:t>
      </w:r>
      <w:r w:rsidR="00814E17" w:rsidRPr="00E83736">
        <w:rPr>
          <w:szCs w:val="18"/>
        </w:rPr>
        <w:t>–</w:t>
      </w:r>
      <w:r w:rsidR="00814E17">
        <w:rPr>
          <w:szCs w:val="18"/>
        </w:rPr>
        <w:t xml:space="preserve"> </w:t>
      </w:r>
      <w:r w:rsidRPr="00EE1CD8">
        <w:t>Železničná infraštruktúra</w:t>
      </w:r>
    </w:p>
    <w:p w14:paraId="436554F7" w14:textId="77777777" w:rsidR="00EE1CD8" w:rsidRPr="00EE1CD8" w:rsidRDefault="00EE1CD8" w:rsidP="00EE1CD8">
      <w:pPr>
        <w:pStyle w:val="ListParagraph"/>
        <w:numPr>
          <w:ilvl w:val="2"/>
          <w:numId w:val="49"/>
        </w:numPr>
        <w:ind w:left="360"/>
      </w:pPr>
      <w:r>
        <w:t xml:space="preserve">Výsledky analýzy prioritnej osi 6 </w:t>
      </w:r>
      <w:r w:rsidR="00814E17" w:rsidRPr="00E83736">
        <w:rPr>
          <w:szCs w:val="18"/>
        </w:rPr>
        <w:t>–</w:t>
      </w:r>
      <w:r w:rsidR="00814E17">
        <w:rPr>
          <w:szCs w:val="18"/>
        </w:rPr>
        <w:t xml:space="preserve"> </w:t>
      </w:r>
      <w:r w:rsidRPr="00EE1CD8">
        <w:t>Cestná infraštruktúra (mimo TEN-T CORE)</w:t>
      </w:r>
    </w:p>
    <w:p w14:paraId="21796338" w14:textId="77777777" w:rsidR="00EE1CD8" w:rsidRPr="00DD6590" w:rsidRDefault="00EE1CD8" w:rsidP="008E1E5B">
      <w:pPr>
        <w:pStyle w:val="ListParagraph"/>
        <w:numPr>
          <w:ilvl w:val="2"/>
          <w:numId w:val="49"/>
        </w:numPr>
        <w:ind w:left="360"/>
        <w:sectPr w:rsidR="00EE1CD8" w:rsidRPr="00DD6590" w:rsidSect="00847AD7">
          <w:pgSz w:w="11906" w:h="16838" w:code="9"/>
          <w:pgMar w:top="1987" w:right="1138" w:bottom="1138" w:left="1411" w:header="677" w:footer="562" w:gutter="0"/>
          <w:cols w:space="9"/>
          <w:titlePg/>
          <w:docGrid w:linePitch="360"/>
        </w:sectPr>
      </w:pPr>
      <w:r>
        <w:t xml:space="preserve">Výsledky analýzy prioritnej osi 7 </w:t>
      </w:r>
      <w:r w:rsidR="00814E17" w:rsidRPr="00E83736">
        <w:rPr>
          <w:szCs w:val="18"/>
        </w:rPr>
        <w:t>–</w:t>
      </w:r>
      <w:r w:rsidR="00814E17">
        <w:rPr>
          <w:szCs w:val="18"/>
        </w:rPr>
        <w:t xml:space="preserve"> </w:t>
      </w:r>
      <w:r>
        <w:t xml:space="preserve">Informačná spoločnosť </w:t>
      </w:r>
    </w:p>
    <w:p w14:paraId="48E02CDE" w14:textId="77777777" w:rsidR="008C6F86" w:rsidRPr="00DD6590" w:rsidRDefault="008C6F86">
      <w:pPr>
        <w:spacing w:after="200" w:line="276" w:lineRule="auto"/>
      </w:pPr>
    </w:p>
    <w:p w14:paraId="5B260C1A" w14:textId="77777777" w:rsidR="008C6F86" w:rsidRPr="00DD6590" w:rsidRDefault="008C6F86">
      <w:pPr>
        <w:spacing w:after="200" w:line="276" w:lineRule="auto"/>
      </w:pPr>
    </w:p>
    <w:p w14:paraId="5DAB17E9" w14:textId="77777777" w:rsidR="008C6F86" w:rsidRPr="00DD6590" w:rsidRDefault="008C6F86">
      <w:pPr>
        <w:spacing w:after="200" w:line="276" w:lineRule="auto"/>
      </w:pPr>
    </w:p>
    <w:p w14:paraId="07C13704" w14:textId="77777777" w:rsidR="008C6F86" w:rsidRPr="00DD6590" w:rsidRDefault="008C6F86">
      <w:pPr>
        <w:spacing w:after="200" w:line="276" w:lineRule="auto"/>
      </w:pPr>
    </w:p>
    <w:p w14:paraId="1A68411D" w14:textId="77777777" w:rsidR="008C6F86" w:rsidRPr="00DD6590" w:rsidRDefault="008C6F86">
      <w:pPr>
        <w:spacing w:after="200" w:line="276" w:lineRule="auto"/>
      </w:pPr>
    </w:p>
    <w:p w14:paraId="2C96B2E7" w14:textId="77777777" w:rsidR="008C6F86" w:rsidRPr="00DD6590" w:rsidRDefault="008C6F86">
      <w:pPr>
        <w:spacing w:after="200" w:line="276" w:lineRule="auto"/>
      </w:pPr>
    </w:p>
    <w:p w14:paraId="2C5A18B1" w14:textId="77777777" w:rsidR="008C6F86" w:rsidRPr="00DD6590" w:rsidRDefault="008C6F86">
      <w:pPr>
        <w:spacing w:after="200" w:line="276" w:lineRule="auto"/>
      </w:pPr>
    </w:p>
    <w:p w14:paraId="177210CD" w14:textId="77777777" w:rsidR="008C6F86" w:rsidRPr="00DD6590" w:rsidRDefault="008C6F86">
      <w:pPr>
        <w:spacing w:after="200" w:line="276" w:lineRule="auto"/>
      </w:pPr>
    </w:p>
    <w:p w14:paraId="0DFB3B6D" w14:textId="77777777" w:rsidR="008C6F86" w:rsidRPr="00DD6590" w:rsidRDefault="008C6F86">
      <w:pPr>
        <w:spacing w:after="200" w:line="276" w:lineRule="auto"/>
      </w:pPr>
    </w:p>
    <w:p w14:paraId="7A238BDA" w14:textId="77777777" w:rsidR="008C6F86" w:rsidRPr="00DD6590" w:rsidRDefault="008C6F86">
      <w:pPr>
        <w:spacing w:after="200" w:line="276" w:lineRule="auto"/>
      </w:pPr>
    </w:p>
    <w:p w14:paraId="40B9206F" w14:textId="77777777" w:rsidR="008C6F86" w:rsidRPr="00DD6590" w:rsidRDefault="008C6F86">
      <w:pPr>
        <w:spacing w:after="200" w:line="276" w:lineRule="auto"/>
      </w:pPr>
    </w:p>
    <w:p w14:paraId="191E0E14" w14:textId="77777777" w:rsidR="008C6F86" w:rsidRPr="00DD6590" w:rsidRDefault="008C6F86">
      <w:pPr>
        <w:spacing w:after="200" w:line="276" w:lineRule="auto"/>
      </w:pPr>
    </w:p>
    <w:p w14:paraId="310EE13F" w14:textId="77777777" w:rsidR="008C6F86" w:rsidRPr="00DD6590" w:rsidRDefault="008C6F86">
      <w:pPr>
        <w:spacing w:after="200" w:line="276" w:lineRule="auto"/>
      </w:pPr>
    </w:p>
    <w:p w14:paraId="22E3E868" w14:textId="77777777" w:rsidR="008C6F86" w:rsidRPr="00DD6590" w:rsidRDefault="008C6F86">
      <w:pPr>
        <w:spacing w:after="200" w:line="276" w:lineRule="auto"/>
      </w:pPr>
    </w:p>
    <w:p w14:paraId="1C57B24E" w14:textId="77777777" w:rsidR="008C6F86" w:rsidRPr="00DD6590" w:rsidRDefault="008C6F86">
      <w:pPr>
        <w:spacing w:after="200" w:line="276" w:lineRule="auto"/>
      </w:pPr>
    </w:p>
    <w:p w14:paraId="6B60099D" w14:textId="77777777" w:rsidR="008C6F86" w:rsidRPr="00DD6590" w:rsidRDefault="008C6F86">
      <w:pPr>
        <w:spacing w:after="200" w:line="276" w:lineRule="auto"/>
      </w:pPr>
    </w:p>
    <w:p w14:paraId="5E5DBD7A" w14:textId="77777777" w:rsidR="008C6F86" w:rsidRPr="00DD6590" w:rsidRDefault="008C6F86">
      <w:pPr>
        <w:spacing w:after="200" w:line="276" w:lineRule="auto"/>
      </w:pPr>
    </w:p>
    <w:p w14:paraId="4D3ACB75" w14:textId="77777777" w:rsidR="008C6F86" w:rsidRPr="00DD6590" w:rsidRDefault="008C6F86">
      <w:pPr>
        <w:spacing w:after="200" w:line="276" w:lineRule="auto"/>
      </w:pPr>
    </w:p>
    <w:p w14:paraId="639C350C" w14:textId="77777777" w:rsidR="008C6F86" w:rsidRPr="00DD6590" w:rsidRDefault="008C6F86">
      <w:pPr>
        <w:spacing w:after="200" w:line="276" w:lineRule="auto"/>
      </w:pPr>
    </w:p>
    <w:p w14:paraId="7AABFCA0" w14:textId="77777777" w:rsidR="008C6F86" w:rsidRPr="00DD6590" w:rsidRDefault="008C6F86">
      <w:pPr>
        <w:spacing w:after="200" w:line="276" w:lineRule="auto"/>
      </w:pPr>
    </w:p>
    <w:p w14:paraId="33077C37" w14:textId="77777777" w:rsidR="008C6F86" w:rsidRPr="00DD6590" w:rsidRDefault="008C6F86">
      <w:pPr>
        <w:spacing w:after="200" w:line="276" w:lineRule="auto"/>
      </w:pPr>
    </w:p>
    <w:p w14:paraId="413507A6" w14:textId="77777777" w:rsidR="00BF6F8B" w:rsidRPr="00DD6590" w:rsidRDefault="00BF6F8B">
      <w:pPr>
        <w:spacing w:after="200" w:line="276" w:lineRule="auto"/>
      </w:pPr>
      <w:r w:rsidRPr="00DD6590">
        <w:br w:type="page"/>
      </w:r>
    </w:p>
    <w:p w14:paraId="2A733197" w14:textId="77777777" w:rsidR="00D01239" w:rsidRPr="00053D7B" w:rsidRDefault="00BF6F8B" w:rsidP="009B139F">
      <w:r w:rsidRPr="00DD6590">
        <w:rPr>
          <w:noProof/>
          <w:lang w:eastAsia="sk-SK"/>
        </w:rPr>
        <w:lastRenderedPageBreak/>
        <mc:AlternateContent>
          <mc:Choice Requires="wps">
            <w:drawing>
              <wp:anchor distT="0" distB="0" distL="114300" distR="114300" simplePos="0" relativeHeight="251657216" behindDoc="1" locked="1" layoutInCell="1" allowOverlap="1" wp14:anchorId="44E0BF36" wp14:editId="7D145D98">
                <wp:simplePos x="0" y="0"/>
                <wp:positionH relativeFrom="page">
                  <wp:posOffset>0</wp:posOffset>
                </wp:positionH>
                <wp:positionV relativeFrom="page">
                  <wp:posOffset>0</wp:posOffset>
                </wp:positionV>
                <wp:extent cx="7596000" cy="10728000"/>
                <wp:effectExtent l="0" t="0" r="5080" b="0"/>
                <wp:wrapNone/>
                <wp:docPr id="2" name="Rectangle 2"/>
                <wp:cNvGraphicFramePr/>
                <a:graphic xmlns:a="http://schemas.openxmlformats.org/drawingml/2006/main">
                  <a:graphicData uri="http://schemas.microsoft.com/office/word/2010/wordprocessingShape">
                    <wps:wsp>
                      <wps:cNvSpPr/>
                      <wps:spPr>
                        <a:xfrm>
                          <a:off x="0" y="0"/>
                          <a:ext cx="7596000" cy="10728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E7597F" w14:textId="77777777" w:rsidR="001177F7" w:rsidRDefault="001177F7" w:rsidP="00BF6F8B">
                            <w:pPr>
                              <w:pStyle w:val="Legaltext"/>
                              <w:rPr>
                                <w:color w:val="000000" w:themeColor="text1"/>
                              </w:rPr>
                            </w:pPr>
                            <w:r>
                              <w:rPr>
                                <w:noProof/>
                                <w:lang w:eastAsia="sk-SK"/>
                              </w:rPr>
                              <w:drawing>
                                <wp:inline distT="0" distB="0" distL="0" distR="0" wp14:anchorId="2029B7A0" wp14:editId="7B762680">
                                  <wp:extent cx="1831975" cy="345440"/>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31975" cy="345440"/>
                                          </a:xfrm>
                                          <a:prstGeom prst="rect">
                                            <a:avLst/>
                                          </a:prstGeom>
                                        </pic:spPr>
                                      </pic:pic>
                                    </a:graphicData>
                                  </a:graphic>
                                </wp:inline>
                              </w:drawing>
                            </w:r>
                          </w:p>
                          <w:p w14:paraId="17611902" w14:textId="77777777" w:rsidR="001177F7" w:rsidRDefault="001177F7" w:rsidP="00BF6F8B">
                            <w:pPr>
                              <w:pStyle w:val="Legaltext"/>
                              <w:rPr>
                                <w:color w:val="000000" w:themeColor="text1"/>
                              </w:rPr>
                            </w:pPr>
                          </w:p>
                          <w:p w14:paraId="03091A3A" w14:textId="77777777" w:rsidR="001177F7" w:rsidRDefault="001177F7" w:rsidP="00BF6F8B">
                            <w:pPr>
                              <w:pStyle w:val="Legaltext"/>
                              <w:rPr>
                                <w:color w:val="000000" w:themeColor="text1"/>
                              </w:rPr>
                            </w:pPr>
                          </w:p>
                          <w:p w14:paraId="0F3FD4E7" w14:textId="77777777" w:rsidR="001177F7" w:rsidRDefault="001177F7" w:rsidP="00BF6F8B">
                            <w:pPr>
                              <w:pStyle w:val="Legaltext"/>
                              <w:rPr>
                                <w:color w:val="000000" w:themeColor="text1"/>
                              </w:rPr>
                            </w:pPr>
                          </w:p>
                          <w:p w14:paraId="1ED74D62" w14:textId="77777777" w:rsidR="001177F7" w:rsidRPr="00F74FA8" w:rsidRDefault="001177F7" w:rsidP="00AA40CD">
                            <w:pPr>
                              <w:pStyle w:val="Legaltext"/>
                              <w:rPr>
                                <w:color w:val="000000" w:themeColor="text1"/>
                                <w:sz w:val="16"/>
                              </w:rPr>
                            </w:pPr>
                            <w:r w:rsidRPr="00F74FA8">
                              <w:rPr>
                                <w:color w:val="000000" w:themeColor="text1"/>
                                <w:sz w:val="16"/>
                              </w:rPr>
                              <w:t>Deloitte označuje jednu, resp. viacero spoločností Deloitte Touche Tohmatsu Limited, britskej súkromnej spoločnosti s</w:t>
                            </w:r>
                            <w:r>
                              <w:rPr>
                                <w:color w:val="000000" w:themeColor="text1"/>
                                <w:sz w:val="16"/>
                              </w:rPr>
                              <w:t> </w:t>
                            </w:r>
                            <w:r w:rsidRPr="00F74FA8">
                              <w:rPr>
                                <w:color w:val="000000" w:themeColor="text1"/>
                                <w:sz w:val="16"/>
                              </w:rPr>
                              <w:t xml:space="preserve">ručením obmedzeným zárukou (UK private company limited by guarantee), a jej členských firiem. Každá z týchto firiem predstavuje samostatný a nezávislý právny subjekt. Podrobný opis právnej štruktúry združenia Deloitte Touche Tohmatsu Limited a jeho členských firiem sa uvádza na adrese </w:t>
                            </w:r>
                            <w:hyperlink r:id="rId41" w:history="1">
                              <w:r w:rsidRPr="00AC235A">
                                <w:rPr>
                                  <w:rStyle w:val="Hyperlink"/>
                                  <w:sz w:val="16"/>
                                </w:rPr>
                                <w:t>http://www.deloitte.com/sk/o-nas</w:t>
                              </w:r>
                            </w:hyperlink>
                            <w:r w:rsidRPr="00F74FA8">
                              <w:rPr>
                                <w:color w:val="000000" w:themeColor="text1"/>
                                <w:sz w:val="16"/>
                              </w:rPr>
                              <w:t>.</w:t>
                            </w:r>
                            <w:r>
                              <w:rPr>
                                <w:color w:val="000000" w:themeColor="text1"/>
                                <w:sz w:val="16"/>
                              </w:rPr>
                              <w:t xml:space="preserve"> </w:t>
                            </w:r>
                          </w:p>
                          <w:p w14:paraId="44C05A34" w14:textId="77777777" w:rsidR="001177F7" w:rsidRPr="00F74FA8" w:rsidRDefault="001177F7" w:rsidP="00AA40CD">
                            <w:pPr>
                              <w:pStyle w:val="Legaltext"/>
                              <w:rPr>
                                <w:color w:val="000000" w:themeColor="text1"/>
                                <w:sz w:val="16"/>
                              </w:rPr>
                            </w:pPr>
                          </w:p>
                          <w:p w14:paraId="2251602C" w14:textId="77777777" w:rsidR="001177F7" w:rsidRPr="00F74FA8" w:rsidRDefault="001177F7" w:rsidP="00AA40CD">
                            <w:pPr>
                              <w:pStyle w:val="Legaltext"/>
                              <w:rPr>
                                <w:color w:val="000000" w:themeColor="text1"/>
                                <w:sz w:val="16"/>
                              </w:rPr>
                            </w:pPr>
                            <w:r w:rsidRPr="00F74FA8">
                              <w:rPr>
                                <w:color w:val="000000" w:themeColor="text1"/>
                                <w:sz w:val="16"/>
                              </w:rPr>
                              <w:t>Spoločnosť Deloitte poskytuje služby v oblasti auditu, daní, práva, podnikového a transakčného poradenstva klientom v</w:t>
                            </w:r>
                            <w:r>
                              <w:rPr>
                                <w:color w:val="000000" w:themeColor="text1"/>
                                <w:sz w:val="16"/>
                              </w:rPr>
                              <w:t> </w:t>
                            </w:r>
                            <w:r w:rsidRPr="00F74FA8">
                              <w:rPr>
                                <w:color w:val="000000" w:themeColor="text1"/>
                                <w:sz w:val="16"/>
                              </w:rPr>
                              <w:t>mnohých odvetviach verejného a súkromného sektora. Vďaka globálne prepojenej sieti členských firiem vo viac ako 150</w:t>
                            </w:r>
                            <w:r>
                              <w:rPr>
                                <w:color w:val="000000" w:themeColor="text1"/>
                                <w:sz w:val="16"/>
                              </w:rPr>
                              <w:t> </w:t>
                            </w:r>
                            <w:r w:rsidRPr="00F74FA8">
                              <w:rPr>
                                <w:color w:val="000000" w:themeColor="text1"/>
                                <w:sz w:val="16"/>
                              </w:rPr>
                              <w:t>krajinách má Deloitte svetové možnosti a dôkladnú znalosť miestneho prostredia, a tak môže pomáhať svojim klientom dosahovať úspechy na všetkých miest</w:t>
                            </w:r>
                            <w:r>
                              <w:rPr>
                                <w:color w:val="000000" w:themeColor="text1"/>
                                <w:sz w:val="16"/>
                              </w:rPr>
                              <w:t>ach ich pôsobnosti. Približne 245</w:t>
                            </w:r>
                            <w:r w:rsidRPr="00F74FA8">
                              <w:rPr>
                                <w:color w:val="000000" w:themeColor="text1"/>
                                <w:sz w:val="16"/>
                              </w:rPr>
                              <w:t xml:space="preserve"> 000 odborníkov spoločnosti Deloitte sa usiluje konať tak, aby vytvárali hodnoty, na ktorých záleží. </w:t>
                            </w:r>
                          </w:p>
                          <w:p w14:paraId="26E34550" w14:textId="77777777" w:rsidR="001177F7" w:rsidRPr="00F74FA8" w:rsidRDefault="001177F7" w:rsidP="00AA40CD">
                            <w:pPr>
                              <w:pStyle w:val="Legaltext"/>
                              <w:rPr>
                                <w:color w:val="000000" w:themeColor="text1"/>
                                <w:sz w:val="16"/>
                              </w:rPr>
                            </w:pPr>
                          </w:p>
                          <w:p w14:paraId="77E6D2EB" w14:textId="77777777" w:rsidR="001177F7" w:rsidRPr="00F74FA8" w:rsidRDefault="001177F7" w:rsidP="00AA40CD">
                            <w:pPr>
                              <w:pStyle w:val="Legaltext"/>
                              <w:rPr>
                                <w:color w:val="000000" w:themeColor="text1"/>
                                <w:sz w:val="16"/>
                              </w:rPr>
                            </w:pPr>
                            <w:r w:rsidRPr="00F74FA8">
                              <w:rPr>
                                <w:color w:val="000000" w:themeColor="text1"/>
                                <w:sz w:val="16"/>
                              </w:rPr>
                              <w:t>© 201</w:t>
                            </w:r>
                            <w:r>
                              <w:rPr>
                                <w:color w:val="000000" w:themeColor="text1"/>
                                <w:sz w:val="16"/>
                              </w:rPr>
                              <w:t>9</w:t>
                            </w:r>
                            <w:r w:rsidRPr="00F74FA8">
                              <w:rPr>
                                <w:color w:val="000000" w:themeColor="text1"/>
                                <w:sz w:val="16"/>
                              </w:rPr>
                              <w:t xml:space="preserve"> Deloitte na Slovensku</w:t>
                            </w:r>
                          </w:p>
                          <w:p w14:paraId="6D367ECC" w14:textId="77777777" w:rsidR="001177F7" w:rsidRPr="00BF6F8B" w:rsidRDefault="001177F7" w:rsidP="00F10CCB">
                            <w:pPr>
                              <w:pStyle w:val="Legaltext"/>
                              <w:rPr>
                                <w:color w:val="000000" w:themeColor="text1"/>
                              </w:rPr>
                            </w:pPr>
                          </w:p>
                        </w:txbxContent>
                      </wps:txbx>
                      <wps:bodyPr rot="0" spcFirstLastPara="0" vertOverflow="overflow" horzOverflow="overflow" vert="horz" wrap="square" lIns="432000" tIns="432000" rIns="432000" bIns="432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E0BF36" id="Rectangle 2" o:spid="_x0000_s1027" style="position:absolute;left:0;text-align:left;margin-left:0;margin-top:0;width:598.1pt;height:844.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" fillcolor="white [3212]" stroked="f" strokeweight="2pt">
                <v:textbox inset="12mm,12mm,12mm,12mm">
                  <w:txbxContent>
                    <w:p w14:paraId="05E7597F" w14:textId="77777777" w:rsidR="001177F7" w:rsidRDefault="001177F7" w:rsidP="00BF6F8B">
                      <w:pPr>
                        <w:pStyle w:val="Legaltext"/>
                        <w:rPr>
                          <w:color w:val="000000" w:themeColor="text1"/>
                        </w:rPr>
                      </w:pPr>
                      <w:r>
                        <w:rPr>
                          <w:noProof/>
                          <w:lang w:eastAsia="sk-SK"/>
                        </w:rPr>
                        <w:drawing>
                          <wp:inline distT="0" distB="0" distL="0" distR="0" wp14:anchorId="2029B7A0" wp14:editId="7B762680">
                            <wp:extent cx="1831975" cy="345440"/>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43" cstate="print">
                                      <a:extLst>
                                        <a:ext uri="{28A0092B-C50C-407E-A947-70E740481C1C}">
                                          <a14:useLocalDpi xmlns:a14="http://schemas.microsoft.com/office/drawing/2010/main" val="0"/>
                                        </a:ext>
                                      </a:extLst>
                                    </a:blip>
                                    <a:stretch>
                                      <a:fillRect/>
                                    </a:stretch>
                                  </pic:blipFill>
                                  <pic:spPr>
                                    <a:xfrm>
                                      <a:off x="0" y="0"/>
                                      <a:ext cx="1831975" cy="345440"/>
                                    </a:xfrm>
                                    <a:prstGeom prst="rect">
                                      <a:avLst/>
                                    </a:prstGeom>
                                  </pic:spPr>
                                </pic:pic>
                              </a:graphicData>
                            </a:graphic>
                          </wp:inline>
                        </w:drawing>
                      </w:r>
                    </w:p>
                    <w:p w14:paraId="17611902" w14:textId="77777777" w:rsidR="001177F7" w:rsidRDefault="001177F7" w:rsidP="00BF6F8B">
                      <w:pPr>
                        <w:pStyle w:val="Legaltext"/>
                        <w:rPr>
                          <w:color w:val="000000" w:themeColor="text1"/>
                        </w:rPr>
                      </w:pPr>
                    </w:p>
                    <w:p w14:paraId="03091A3A" w14:textId="77777777" w:rsidR="001177F7" w:rsidRDefault="001177F7" w:rsidP="00BF6F8B">
                      <w:pPr>
                        <w:pStyle w:val="Legaltext"/>
                        <w:rPr>
                          <w:color w:val="000000" w:themeColor="text1"/>
                        </w:rPr>
                      </w:pPr>
                    </w:p>
                    <w:p w14:paraId="0F3FD4E7" w14:textId="77777777" w:rsidR="001177F7" w:rsidRDefault="001177F7" w:rsidP="00BF6F8B">
                      <w:pPr>
                        <w:pStyle w:val="Legaltext"/>
                        <w:rPr>
                          <w:color w:val="000000" w:themeColor="text1"/>
                        </w:rPr>
                      </w:pPr>
                    </w:p>
                    <w:p w14:paraId="1ED74D62" w14:textId="77777777" w:rsidR="001177F7" w:rsidRPr="00F74FA8" w:rsidRDefault="001177F7" w:rsidP="00AA40CD">
                      <w:pPr>
                        <w:pStyle w:val="Legaltext"/>
                        <w:rPr>
                          <w:color w:val="000000" w:themeColor="text1"/>
                          <w:sz w:val="16"/>
                        </w:rPr>
                      </w:pPr>
                      <w:r w:rsidRPr="00F74FA8">
                        <w:rPr>
                          <w:color w:val="000000" w:themeColor="text1"/>
                          <w:sz w:val="16"/>
                        </w:rPr>
                        <w:t>Deloitte označuje jednu, resp. viacero spoločností Deloitte Touche Tohmatsu Limited, britskej súkromnej spoločnosti s</w:t>
                      </w:r>
                      <w:r>
                        <w:rPr>
                          <w:color w:val="000000" w:themeColor="text1"/>
                          <w:sz w:val="16"/>
                        </w:rPr>
                        <w:t> </w:t>
                      </w:r>
                      <w:r w:rsidRPr="00F74FA8">
                        <w:rPr>
                          <w:color w:val="000000" w:themeColor="text1"/>
                          <w:sz w:val="16"/>
                        </w:rPr>
                        <w:t xml:space="preserve">ručením obmedzeným zárukou (UK private company limited by guarantee), a jej členských firiem. Každá z týchto firiem predstavuje samostatný a nezávislý právny subjekt. Podrobný opis právnej štruktúry združenia Deloitte Touche Tohmatsu Limited a jeho členských firiem sa uvádza na adrese </w:t>
                      </w:r>
                      <w:hyperlink r:id="rId44" w:history="1">
                        <w:r w:rsidRPr="00AC235A">
                          <w:rPr>
                            <w:rStyle w:val="Hyperlink"/>
                            <w:sz w:val="16"/>
                          </w:rPr>
                          <w:t>http://www.deloitte.com/sk/o-nas</w:t>
                        </w:r>
                      </w:hyperlink>
                      <w:r w:rsidRPr="00F74FA8">
                        <w:rPr>
                          <w:color w:val="000000" w:themeColor="text1"/>
                          <w:sz w:val="16"/>
                        </w:rPr>
                        <w:t>.</w:t>
                      </w:r>
                      <w:r>
                        <w:rPr>
                          <w:color w:val="000000" w:themeColor="text1"/>
                          <w:sz w:val="16"/>
                        </w:rPr>
                        <w:t xml:space="preserve"> </w:t>
                      </w:r>
                    </w:p>
                    <w:p w14:paraId="44C05A34" w14:textId="77777777" w:rsidR="001177F7" w:rsidRPr="00F74FA8" w:rsidRDefault="001177F7" w:rsidP="00AA40CD">
                      <w:pPr>
                        <w:pStyle w:val="Legaltext"/>
                        <w:rPr>
                          <w:color w:val="000000" w:themeColor="text1"/>
                          <w:sz w:val="16"/>
                        </w:rPr>
                      </w:pPr>
                    </w:p>
                    <w:p w14:paraId="2251602C" w14:textId="77777777" w:rsidR="001177F7" w:rsidRPr="00F74FA8" w:rsidRDefault="001177F7" w:rsidP="00AA40CD">
                      <w:pPr>
                        <w:pStyle w:val="Legaltext"/>
                        <w:rPr>
                          <w:color w:val="000000" w:themeColor="text1"/>
                          <w:sz w:val="16"/>
                        </w:rPr>
                      </w:pPr>
                      <w:r w:rsidRPr="00F74FA8">
                        <w:rPr>
                          <w:color w:val="000000" w:themeColor="text1"/>
                          <w:sz w:val="16"/>
                        </w:rPr>
                        <w:t>Spoločnosť Deloitte poskytuje služby v oblasti auditu, daní, práva, podnikového a transakčného poradenstva klientom v</w:t>
                      </w:r>
                      <w:r>
                        <w:rPr>
                          <w:color w:val="000000" w:themeColor="text1"/>
                          <w:sz w:val="16"/>
                        </w:rPr>
                        <w:t> </w:t>
                      </w:r>
                      <w:r w:rsidRPr="00F74FA8">
                        <w:rPr>
                          <w:color w:val="000000" w:themeColor="text1"/>
                          <w:sz w:val="16"/>
                        </w:rPr>
                        <w:t>mnohých odvetviach verejného a súkromného sektora. Vďaka globálne prepojenej sieti členských firiem vo viac ako 150</w:t>
                      </w:r>
                      <w:r>
                        <w:rPr>
                          <w:color w:val="000000" w:themeColor="text1"/>
                          <w:sz w:val="16"/>
                        </w:rPr>
                        <w:t> </w:t>
                      </w:r>
                      <w:r w:rsidRPr="00F74FA8">
                        <w:rPr>
                          <w:color w:val="000000" w:themeColor="text1"/>
                          <w:sz w:val="16"/>
                        </w:rPr>
                        <w:t>krajinách má Deloitte svetové možnosti a dôkladnú znalosť miestneho prostredia, a tak môže pomáhať svojim klientom dosahovať úspechy na všetkých miest</w:t>
                      </w:r>
                      <w:r>
                        <w:rPr>
                          <w:color w:val="000000" w:themeColor="text1"/>
                          <w:sz w:val="16"/>
                        </w:rPr>
                        <w:t>ach ich pôsobnosti. Približne 245</w:t>
                      </w:r>
                      <w:r w:rsidRPr="00F74FA8">
                        <w:rPr>
                          <w:color w:val="000000" w:themeColor="text1"/>
                          <w:sz w:val="16"/>
                        </w:rPr>
                        <w:t xml:space="preserve"> 000 odborníkov spoločnosti Deloitte sa usiluje konať tak, aby vytvárali hodnoty, na ktorých záleží. </w:t>
                      </w:r>
                    </w:p>
                    <w:p w14:paraId="26E34550" w14:textId="77777777" w:rsidR="001177F7" w:rsidRPr="00F74FA8" w:rsidRDefault="001177F7" w:rsidP="00AA40CD">
                      <w:pPr>
                        <w:pStyle w:val="Legaltext"/>
                        <w:rPr>
                          <w:color w:val="000000" w:themeColor="text1"/>
                          <w:sz w:val="16"/>
                        </w:rPr>
                      </w:pPr>
                    </w:p>
                    <w:p w14:paraId="77E6D2EB" w14:textId="77777777" w:rsidR="001177F7" w:rsidRPr="00F74FA8" w:rsidRDefault="001177F7" w:rsidP="00AA40CD">
                      <w:pPr>
                        <w:pStyle w:val="Legaltext"/>
                        <w:rPr>
                          <w:color w:val="000000" w:themeColor="text1"/>
                          <w:sz w:val="16"/>
                        </w:rPr>
                      </w:pPr>
                      <w:r w:rsidRPr="00F74FA8">
                        <w:rPr>
                          <w:color w:val="000000" w:themeColor="text1"/>
                          <w:sz w:val="16"/>
                        </w:rPr>
                        <w:t>© 201</w:t>
                      </w:r>
                      <w:r>
                        <w:rPr>
                          <w:color w:val="000000" w:themeColor="text1"/>
                          <w:sz w:val="16"/>
                        </w:rPr>
                        <w:t>9</w:t>
                      </w:r>
                      <w:r w:rsidRPr="00F74FA8">
                        <w:rPr>
                          <w:color w:val="000000" w:themeColor="text1"/>
                          <w:sz w:val="16"/>
                        </w:rPr>
                        <w:t xml:space="preserve"> Deloitte na Slovensku</w:t>
                      </w:r>
                    </w:p>
                    <w:p w14:paraId="6D367ECC" w14:textId="77777777" w:rsidR="001177F7" w:rsidRPr="00BF6F8B" w:rsidRDefault="001177F7" w:rsidP="00F10CCB">
                      <w:pPr>
                        <w:pStyle w:val="Legaltext"/>
                        <w:rPr>
                          <w:color w:val="000000" w:themeColor="text1"/>
                        </w:rPr>
                      </w:pPr>
                    </w:p>
                  </w:txbxContent>
                </v:textbox>
                <w10:wrap anchorx="page" anchory="page"/>
                <w10:anchorlock/>
              </v:rect>
            </w:pict>
          </mc:Fallback>
        </mc:AlternateContent>
      </w:r>
    </w:p>
    <w:p w14:paraId="20422FDF" w14:textId="77777777" w:rsidR="00BF6F8B" w:rsidRPr="00053D7B" w:rsidRDefault="00BF6F8B" w:rsidP="009B139F"/>
    <w:sectPr w:rsidR="00BF6F8B" w:rsidRPr="00053D7B" w:rsidSect="00847AD7">
      <w:type w:val="continuous"/>
      <w:pgSz w:w="11906" w:h="16838" w:code="9"/>
      <w:pgMar w:top="1987" w:right="1138" w:bottom="1138" w:left="1411" w:header="677" w:footer="562" w:gutter="0"/>
      <w:cols w:num="3" w:space="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A8DFB" w14:textId="77777777" w:rsidR="001177F7" w:rsidRDefault="001177F7" w:rsidP="00C702C7">
      <w:r>
        <w:separator/>
      </w:r>
    </w:p>
  </w:endnote>
  <w:endnote w:type="continuationSeparator" w:id="0">
    <w:p w14:paraId="52D93F21" w14:textId="77777777" w:rsidR="001177F7" w:rsidRDefault="001177F7" w:rsidP="00C70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OpenSans-Bold">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433013"/>
      <w:docPartObj>
        <w:docPartGallery w:val="Page Numbers (Bottom of Page)"/>
        <w:docPartUnique/>
      </w:docPartObj>
    </w:sdtPr>
    <w:sdtEndPr>
      <w:rPr>
        <w:noProof/>
      </w:rPr>
    </w:sdtEndPr>
    <w:sdtContent>
      <w:p w14:paraId="2453E1BE" w14:textId="458E6C02" w:rsidR="001177F7" w:rsidRDefault="001177F7">
        <w:pPr>
          <w:pStyle w:val="Footer"/>
          <w:jc w:val="right"/>
        </w:pPr>
        <w:r>
          <w:fldChar w:fldCharType="begin"/>
        </w:r>
        <w:r>
          <w:instrText xml:space="preserve"> PAGE   \* MERGEFORMAT </w:instrText>
        </w:r>
        <w:r>
          <w:fldChar w:fldCharType="separate"/>
        </w:r>
        <w:r w:rsidR="00DC3C97">
          <w:rPr>
            <w:noProof/>
          </w:rPr>
          <w:t>3</w:t>
        </w:r>
        <w:r>
          <w:rPr>
            <w:noProof/>
          </w:rPr>
          <w:fldChar w:fldCharType="end"/>
        </w:r>
      </w:p>
    </w:sdtContent>
  </w:sdt>
  <w:p w14:paraId="4107F497" w14:textId="77777777" w:rsidR="001177F7" w:rsidRDefault="001177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0526235"/>
      <w:docPartObj>
        <w:docPartGallery w:val="Page Numbers (Bottom of Page)"/>
        <w:docPartUnique/>
      </w:docPartObj>
    </w:sdtPr>
    <w:sdtEndPr>
      <w:rPr>
        <w:noProof/>
      </w:rPr>
    </w:sdtEndPr>
    <w:sdtContent>
      <w:p w14:paraId="3520C641" w14:textId="0FA00E15" w:rsidR="001177F7" w:rsidRDefault="001177F7">
        <w:pPr>
          <w:pStyle w:val="Footer"/>
          <w:jc w:val="right"/>
        </w:pPr>
        <w:r>
          <w:fldChar w:fldCharType="begin"/>
        </w:r>
        <w:r>
          <w:instrText xml:space="preserve"> PAGE   \* MERGEFORMAT </w:instrText>
        </w:r>
        <w:r>
          <w:fldChar w:fldCharType="separate"/>
        </w:r>
        <w:r w:rsidR="00DC3C97">
          <w:rPr>
            <w:noProof/>
          </w:rPr>
          <w:t>20</w:t>
        </w:r>
        <w:r>
          <w:rPr>
            <w:noProof/>
          </w:rPr>
          <w:fldChar w:fldCharType="end"/>
        </w:r>
      </w:p>
    </w:sdtContent>
  </w:sdt>
  <w:p w14:paraId="45626B14" w14:textId="77777777" w:rsidR="001177F7" w:rsidRPr="00335CF3" w:rsidRDefault="001177F7" w:rsidP="00D21B5F">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4330978"/>
      <w:docPartObj>
        <w:docPartGallery w:val="Page Numbers (Bottom of Page)"/>
        <w:docPartUnique/>
      </w:docPartObj>
    </w:sdtPr>
    <w:sdtEndPr>
      <w:rPr>
        <w:noProof/>
      </w:rPr>
    </w:sdtEndPr>
    <w:sdtContent>
      <w:p w14:paraId="14CFAC63" w14:textId="250012E8" w:rsidR="001177F7" w:rsidRDefault="001177F7">
        <w:pPr>
          <w:pStyle w:val="Footer"/>
          <w:jc w:val="right"/>
        </w:pPr>
        <w:r>
          <w:fldChar w:fldCharType="begin"/>
        </w:r>
        <w:r>
          <w:instrText xml:space="preserve"> PAGE   \* MERGEFORMAT </w:instrText>
        </w:r>
        <w:r>
          <w:fldChar w:fldCharType="separate"/>
        </w:r>
        <w:r w:rsidR="00DC3C97">
          <w:rPr>
            <w:noProof/>
          </w:rPr>
          <w:t>4</w:t>
        </w:r>
        <w:r>
          <w:rPr>
            <w:noProof/>
          </w:rPr>
          <w:fldChar w:fldCharType="end"/>
        </w:r>
      </w:p>
    </w:sdtContent>
  </w:sdt>
  <w:p w14:paraId="7E151C37" w14:textId="77777777" w:rsidR="001177F7" w:rsidRDefault="001177F7" w:rsidP="00D21B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26D14" w14:textId="77777777" w:rsidR="001177F7" w:rsidRDefault="001177F7" w:rsidP="00C702C7">
      <w:r>
        <w:separator/>
      </w:r>
    </w:p>
  </w:footnote>
  <w:footnote w:type="continuationSeparator" w:id="0">
    <w:p w14:paraId="3F009937" w14:textId="77777777" w:rsidR="001177F7" w:rsidRDefault="001177F7" w:rsidP="00C702C7">
      <w:r>
        <w:continuationSeparator/>
      </w:r>
    </w:p>
  </w:footnote>
  <w:footnote w:id="1">
    <w:p w14:paraId="05B5E852" w14:textId="77777777" w:rsidR="001177F7" w:rsidRPr="0020405B" w:rsidRDefault="001177F7" w:rsidP="00081C31">
      <w:pPr>
        <w:pStyle w:val="FootnoteText"/>
      </w:pPr>
      <w:r>
        <w:rPr>
          <w:rStyle w:val="FootnoteReference"/>
        </w:rPr>
        <w:footnoteRef/>
      </w:r>
      <w:r>
        <w:rPr>
          <w:rStyle w:val="FootnoteReference"/>
        </w:rPr>
        <w:footnoteRef/>
      </w:r>
      <w:r>
        <w:t xml:space="preserve"> </w:t>
      </w:r>
      <w:r w:rsidRPr="00FB7270">
        <w:t>Centrálny koordinačný</w:t>
      </w:r>
      <w:r>
        <w:t xml:space="preserve"> orgán, 2016: </w:t>
      </w:r>
      <w:hyperlink r:id="rId1" w:history="1">
        <w:r w:rsidRPr="0097247D">
          <w:rPr>
            <w:rStyle w:val="Hyperlink"/>
          </w:rPr>
          <w:t>https://www.partnerskadohoda.gov.sk/data/files/556_tandardy-kvality-hodnotenia-esif-v-programovom-obdobi-2014-–-2020.pdf</w:t>
        </w:r>
      </w:hyperlink>
      <w:r>
        <w:t xml:space="preserve"> </w:t>
      </w:r>
    </w:p>
  </w:footnote>
  <w:footnote w:id="2">
    <w:p w14:paraId="2E9E4B09" w14:textId="77777777" w:rsidR="001177F7" w:rsidRPr="00491526" w:rsidRDefault="001177F7" w:rsidP="00F3249F">
      <w:pPr>
        <w:pStyle w:val="FootnoteText"/>
      </w:pPr>
      <w:r w:rsidRPr="00491526">
        <w:rPr>
          <w:rStyle w:val="FootnoteReference"/>
        </w:rPr>
        <w:footnoteRef/>
      </w:r>
      <w:r w:rsidRPr="00491526">
        <w:t xml:space="preserve"> Nie je predmetom hodnotenia </w:t>
      </w:r>
    </w:p>
  </w:footnote>
  <w:footnote w:id="3">
    <w:p w14:paraId="09B1696C" w14:textId="77777777" w:rsidR="001177F7" w:rsidRDefault="001177F7">
      <w:pPr>
        <w:pStyle w:val="FootnoteText"/>
      </w:pPr>
      <w:r>
        <w:rPr>
          <w:rStyle w:val="FootnoteReference"/>
        </w:rPr>
        <w:footnoteRef/>
      </w:r>
      <w:r>
        <w:t xml:space="preserve"> Pre prioritnú os 8 nie je stanovený výkonnostný rámec</w:t>
      </w:r>
    </w:p>
  </w:footnote>
  <w:footnote w:id="4">
    <w:p w14:paraId="7625FCD8" w14:textId="77777777" w:rsidR="001177F7" w:rsidRDefault="001177F7">
      <w:pPr>
        <w:pStyle w:val="FootnoteText"/>
      </w:pPr>
      <w:r>
        <w:rPr>
          <w:rStyle w:val="FootnoteReference"/>
        </w:rPr>
        <w:footnoteRef/>
      </w:r>
      <w:r>
        <w:t xml:space="preserve"> Ukazovateľ P0237 bude naplnený na základe realizovaných projektov. Posledné dva projekty majú obdobie ukončenia presahujúce obdobie oprávnenosti výdavkov pre programové obdobie 2014 </w:t>
      </w:r>
      <w:r>
        <w:rPr>
          <w:i/>
        </w:rPr>
        <w:t xml:space="preserve">‒ </w:t>
      </w:r>
      <w:r>
        <w:t xml:space="preserve">2020.  </w:t>
      </w:r>
    </w:p>
  </w:footnote>
  <w:footnote w:id="5">
    <w:p w14:paraId="2A61D58B" w14:textId="77777777" w:rsidR="001177F7" w:rsidRDefault="001177F7">
      <w:pPr>
        <w:pStyle w:val="FootnoteText"/>
      </w:pPr>
      <w:r>
        <w:rPr>
          <w:rStyle w:val="FootnoteReference"/>
        </w:rPr>
        <w:footnoteRef/>
      </w:r>
      <w:r>
        <w:t xml:space="preserve"> Projekty označené oranžovou farbou sú podmienené schválením štátnej pomoci a zmenou OPII. Projekty ZSSK označené šedou farbou sú projekty schválené RO OPII v roku 2019.</w:t>
      </w:r>
    </w:p>
  </w:footnote>
  <w:footnote w:id="6">
    <w:p w14:paraId="0649FEB4" w14:textId="77777777" w:rsidR="001177F7" w:rsidRDefault="001177F7" w:rsidP="00E9198A">
      <w:pPr>
        <w:pStyle w:val="FootnoteText"/>
        <w:contextualSpacing/>
      </w:pPr>
      <w:r>
        <w:rPr>
          <w:rStyle w:val="FootnoteReference"/>
        </w:rPr>
        <w:footnoteRef/>
      </w:r>
      <w:r>
        <w:t xml:space="preserve"> Rok certifikácie Ministerstvom financií SR – k 31. 12.</w:t>
      </w:r>
    </w:p>
  </w:footnote>
  <w:footnote w:id="7">
    <w:p w14:paraId="5FBD049F" w14:textId="77777777" w:rsidR="001177F7" w:rsidRDefault="001177F7" w:rsidP="008C2CBB">
      <w:pPr>
        <w:pStyle w:val="FootnoteText"/>
      </w:pPr>
      <w:r>
        <w:rPr>
          <w:rStyle w:val="FootnoteReference"/>
        </w:rPr>
        <w:footnoteRef/>
      </w:r>
      <w:r>
        <w:t xml:space="preserve"> Odhadované čerpanie je stanovené na základe údajov zo zazmluvnených projektov a ich čerpania.</w:t>
      </w:r>
    </w:p>
  </w:footnote>
  <w:footnote w:id="8">
    <w:p w14:paraId="716741AB" w14:textId="77777777" w:rsidR="001177F7" w:rsidRDefault="001177F7" w:rsidP="007A3B2F">
      <w:pPr>
        <w:pStyle w:val="FootnoteText"/>
        <w:contextualSpacing/>
      </w:pPr>
      <w:r>
        <w:rPr>
          <w:rStyle w:val="FootnoteReference"/>
        </w:rPr>
        <w:footnoteRef/>
      </w:r>
      <w:r>
        <w:t xml:space="preserve"> Vrátane projektu „</w:t>
      </w:r>
      <w:r w:rsidRPr="000726EA">
        <w:t xml:space="preserve">Zmena rýchlosti prúdenia v dolnej časti zdrže Hrušov </w:t>
      </w:r>
      <w:r w:rsidRPr="00DD6590">
        <w:t>–</w:t>
      </w:r>
      <w:r w:rsidRPr="000726EA">
        <w:t xml:space="preserve"> predprojektová a projektová príprava</w:t>
      </w:r>
      <w:r>
        <w:t>“ zazmluvneného 16. 2. 2019.</w:t>
      </w:r>
    </w:p>
  </w:footnote>
  <w:footnote w:id="9">
    <w:p w14:paraId="214F2B45" w14:textId="77777777" w:rsidR="001177F7" w:rsidRDefault="001177F7" w:rsidP="00100F61">
      <w:pPr>
        <w:pStyle w:val="FootnoteText"/>
        <w:contextualSpacing/>
      </w:pPr>
      <w:r>
        <w:rPr>
          <w:rStyle w:val="FootnoteReference"/>
        </w:rPr>
        <w:footnoteRef/>
      </w:r>
      <w:r>
        <w:t xml:space="preserve"> Odhadovaná hodnota projektov stanovená projektovými manažérmi RO, pri plánovaných projektoch nebola určená ani PHZ.</w:t>
      </w:r>
    </w:p>
  </w:footnote>
  <w:footnote w:id="10">
    <w:p w14:paraId="753BAA23" w14:textId="77777777" w:rsidR="001177F7" w:rsidRDefault="001177F7" w:rsidP="00100F61">
      <w:pPr>
        <w:pStyle w:val="FootnoteText"/>
        <w:contextualSpacing/>
      </w:pPr>
      <w:r>
        <w:rPr>
          <w:rStyle w:val="FootnoteReference"/>
        </w:rPr>
        <w:footnoteRef/>
      </w:r>
      <w:r>
        <w:t xml:space="preserve"> Výška korekcie stanovená z dôvodu, že pri projektoch, ktoré majú napĺňať implementačný krok a výstupový ukazovateľ, nebol stanovený predpokladaný termín realizácie a hodnoty projektov boli len odhadované.  </w:t>
      </w:r>
    </w:p>
  </w:footnote>
  <w:footnote w:id="11">
    <w:p w14:paraId="0CFB0A23" w14:textId="77777777" w:rsidR="001177F7" w:rsidRDefault="001177F7" w:rsidP="007A3B2F">
      <w:pPr>
        <w:pStyle w:val="FootnoteText"/>
        <w:contextualSpacing/>
      </w:pPr>
      <w:r>
        <w:rPr>
          <w:rStyle w:val="FootnoteReference"/>
        </w:rPr>
        <w:footnoteRef/>
      </w:r>
      <w:r>
        <w:t xml:space="preserve"> Tento ukazovateľ je plánovaný na dvoch projektoch: „</w:t>
      </w:r>
      <w:r w:rsidRPr="00C9432A">
        <w:t xml:space="preserve">Bezpečnostná ochrana prístavov </w:t>
      </w:r>
      <w:r>
        <w:t>–</w:t>
      </w:r>
      <w:r w:rsidRPr="00C9432A">
        <w:t xml:space="preserve"> realizácia</w:t>
      </w:r>
      <w:r>
        <w:t>“ a  „</w:t>
      </w:r>
      <w:r w:rsidRPr="00C9432A">
        <w:t>Vybudovanie terminálu LNG vo verejnom prístave Bratislava – realizácia</w:t>
      </w:r>
      <w:r>
        <w:t xml:space="preserve">“, ktorých realizácia je podmienená schválením projektov na štúdiu, resp. projektovú dokumentáciu. Predpokladáme, že tento ukazovateľ nebude naplnený. </w:t>
      </w:r>
    </w:p>
  </w:footnote>
  <w:footnote w:id="12">
    <w:p w14:paraId="15C0994A" w14:textId="77777777" w:rsidR="001177F7" w:rsidRDefault="001177F7" w:rsidP="00100F61">
      <w:pPr>
        <w:pStyle w:val="FootnoteText"/>
        <w:spacing w:before="60" w:after="0"/>
        <w:contextualSpacing/>
      </w:pPr>
      <w:r>
        <w:rPr>
          <w:rStyle w:val="FootnoteReference"/>
        </w:rPr>
        <w:footnoteRef/>
      </w:r>
      <w:r>
        <w:t xml:space="preserve"> V prípade zazmluvnenia projektov predložených prijímateľom ZSSK.</w:t>
      </w:r>
    </w:p>
  </w:footnote>
  <w:footnote w:id="13">
    <w:p w14:paraId="18C564AE" w14:textId="77777777" w:rsidR="001177F7" w:rsidRDefault="001177F7" w:rsidP="004E0A2C">
      <w:pPr>
        <w:pStyle w:val="FootnoteText"/>
        <w:contextualSpacing/>
      </w:pPr>
      <w:r>
        <w:rPr>
          <w:rStyle w:val="FootnoteReference"/>
        </w:rPr>
        <w:footnoteRef/>
      </w:r>
      <w:r>
        <w:t xml:space="preserve"> Prijímateľ uviedol sedem plánovaných projektov, pri troch určil dĺžku trate. </w:t>
      </w:r>
    </w:p>
  </w:footnote>
  <w:footnote w:id="14">
    <w:p w14:paraId="67B434E9" w14:textId="77777777" w:rsidR="001177F7" w:rsidRDefault="001177F7" w:rsidP="004E0A2C">
      <w:pPr>
        <w:pStyle w:val="FootnoteText"/>
        <w:spacing w:before="60" w:after="0"/>
        <w:contextualSpacing/>
      </w:pPr>
      <w:r>
        <w:rPr>
          <w:rStyle w:val="FootnoteReference"/>
        </w:rPr>
        <w:footnoteRef/>
      </w:r>
      <w:r>
        <w:t xml:space="preserve"> </w:t>
      </w:r>
      <w:r w:rsidRPr="00E8725A">
        <w:t>V prípade zazmluvnenia projektov predložených prijímateľom ZSSK</w:t>
      </w:r>
      <w:r>
        <w:t>.</w:t>
      </w:r>
    </w:p>
  </w:footnote>
  <w:footnote w:id="15">
    <w:p w14:paraId="075EB659" w14:textId="77777777" w:rsidR="001177F7" w:rsidRDefault="001177F7" w:rsidP="008312BF">
      <w:pPr>
        <w:pStyle w:val="FootnoteText"/>
        <w:contextualSpacing/>
      </w:pPr>
      <w:r>
        <w:rPr>
          <w:rStyle w:val="FootnoteReference"/>
        </w:rPr>
        <w:footnoteRef/>
      </w:r>
      <w:r>
        <w:t xml:space="preserve"> Odhadovaná hodnota projektov stanovená projektovými manažérmi SO.</w:t>
      </w:r>
    </w:p>
  </w:footnote>
  <w:footnote w:id="16">
    <w:p w14:paraId="578636CB" w14:textId="77777777" w:rsidR="001177F7" w:rsidRDefault="001177F7" w:rsidP="008312BF">
      <w:pPr>
        <w:pStyle w:val="FootnoteText"/>
        <w:contextualSpacing/>
      </w:pPr>
      <w:r>
        <w:rPr>
          <w:rStyle w:val="FootnoteReference"/>
        </w:rPr>
        <w:footnoteRef/>
      </w:r>
      <w:r>
        <w:t xml:space="preserve"> Je potrebné vypracovať metodiku agregácie projektových ukazovateľov na úroveň ukazovateľov stanovených v OPII.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14766" w14:textId="0B80ED3F" w:rsidR="001177F7" w:rsidRPr="007D6B43" w:rsidRDefault="001177F7">
    <w:pPr>
      <w:pStyle w:val="Header"/>
      <w:rPr>
        <w:b w:val="0"/>
        <w:sz w:val="16"/>
      </w:rPr>
    </w:pPr>
    <w:r w:rsidRPr="007D6B43">
      <w:rPr>
        <w:sz w:val="16"/>
      </w:rPr>
      <w:fldChar w:fldCharType="begin"/>
    </w:r>
    <w:r w:rsidRPr="007D6B43">
      <w:rPr>
        <w:sz w:val="16"/>
      </w:rPr>
      <w:instrText xml:space="preserve"> STYLEREF  "Document title"  \* MERGEFORMAT </w:instrText>
    </w:r>
    <w:r w:rsidRPr="007D6B43">
      <w:rPr>
        <w:sz w:val="16"/>
      </w:rPr>
      <w:fldChar w:fldCharType="separate"/>
    </w:r>
    <w:r w:rsidR="00DC3C97" w:rsidRPr="00DC3C97">
      <w:rPr>
        <w:b w:val="0"/>
        <w:bCs/>
        <w:noProof/>
        <w:sz w:val="16"/>
      </w:rPr>
      <w:t>Záverečná správa</w:t>
    </w:r>
    <w:r w:rsidRPr="007D6B43">
      <w:rPr>
        <w:sz w:val="16"/>
      </w:rPr>
      <w:fldChar w:fldCharType="end"/>
    </w:r>
    <w:r w:rsidRPr="007D6B43">
      <w:rPr>
        <w:b w:val="0"/>
        <w:sz w:val="16"/>
      </w:rPr>
      <w:t xml:space="preserve"> |</w:t>
    </w:r>
    <w:r>
      <w:rPr>
        <w:b w:val="0"/>
        <w:sz w:val="16"/>
      </w:rPr>
      <w:fldChar w:fldCharType="begin"/>
    </w:r>
    <w:r>
      <w:rPr>
        <w:b w:val="0"/>
        <w:sz w:val="16"/>
      </w:rPr>
      <w:instrText xml:space="preserve"> STYLEREF  "Section title"  \* MERGEFORMAT </w:instrText>
    </w:r>
    <w:r w:rsidR="00DC3C97">
      <w:rPr>
        <w:b w:val="0"/>
        <w:sz w:val="16"/>
      </w:rPr>
      <w:fldChar w:fldCharType="separate"/>
    </w:r>
    <w:r w:rsidR="00DC3C97">
      <w:rPr>
        <w:b w:val="0"/>
        <w:noProof/>
        <w:sz w:val="16"/>
      </w:rPr>
      <w:t>Zoznam skratiek</w:t>
    </w:r>
    <w:r>
      <w:rPr>
        <w:b w:val="0"/>
        <w:sz w:val="16"/>
      </w:rPr>
      <w:fldChar w:fldCharType="end"/>
    </w:r>
    <w:r w:rsidRPr="007D6B43">
      <w:rPr>
        <w:b w:val="0"/>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Deloitte1"/>
      <w:tblW w:w="9590"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79"/>
      <w:gridCol w:w="222"/>
      <w:gridCol w:w="1789"/>
    </w:tblGrid>
    <w:tr w:rsidR="001177F7" w14:paraId="5F973CF1" w14:textId="77777777" w:rsidTr="00066F34">
      <w:trPr>
        <w:jc w:val="center"/>
      </w:trPr>
      <w:tc>
        <w:tcPr>
          <w:tcW w:w="7579" w:type="dxa"/>
          <w:vAlign w:val="center"/>
          <w:hideMark/>
        </w:tcPr>
        <w:p w14:paraId="3716127D" w14:textId="77777777" w:rsidR="001177F7" w:rsidRDefault="001177F7" w:rsidP="007D7881">
          <w:pPr>
            <w:spacing w:after="0" w:line="240" w:lineRule="auto"/>
            <w:ind w:left="-227"/>
            <w:rPr>
              <w:rFonts w:ascii="Times New Roman" w:eastAsia="Times New Roman" w:hAnsi="Times New Roman" w:cs="Calibri"/>
              <w:b/>
              <w:bCs/>
              <w:color w:val="000000"/>
              <w:sz w:val="20"/>
              <w:lang w:val="en-US"/>
            </w:rPr>
          </w:pPr>
          <w:r>
            <w:rPr>
              <w:noProof/>
              <w:lang w:eastAsia="sk-SK"/>
            </w:rPr>
            <w:drawing>
              <wp:inline distT="0" distB="0" distL="0" distR="0" wp14:anchorId="6AA70EA7" wp14:editId="25EA1DD9">
                <wp:extent cx="4813300" cy="539750"/>
                <wp:effectExtent l="0" t="0" r="6350" b="0"/>
                <wp:docPr id="6" name="Picture 6" descr="logo OPII a MDV_ES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OPII a MDV_ES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3300" cy="539750"/>
                        </a:xfrm>
                        <a:prstGeom prst="rect">
                          <a:avLst/>
                        </a:prstGeom>
                        <a:noFill/>
                        <a:ln>
                          <a:noFill/>
                        </a:ln>
                      </pic:spPr>
                    </pic:pic>
                  </a:graphicData>
                </a:graphic>
              </wp:inline>
            </w:drawing>
          </w:r>
        </w:p>
      </w:tc>
      <w:tc>
        <w:tcPr>
          <w:tcW w:w="222" w:type="dxa"/>
        </w:tcPr>
        <w:p w14:paraId="64D0258B" w14:textId="77777777" w:rsidR="001177F7" w:rsidRDefault="001177F7" w:rsidP="007D7881">
          <w:pPr>
            <w:spacing w:after="0" w:line="240" w:lineRule="auto"/>
            <w:ind w:left="-227"/>
            <w:jc w:val="right"/>
            <w:rPr>
              <w:rFonts w:eastAsia="Times New Roman" w:cs="Calibri"/>
              <w:b/>
              <w:bCs/>
              <w:color w:val="000000"/>
              <w:sz w:val="20"/>
              <w:lang w:val="en-US"/>
            </w:rPr>
          </w:pPr>
        </w:p>
      </w:tc>
      <w:tc>
        <w:tcPr>
          <w:tcW w:w="1789" w:type="dxa"/>
          <w:vAlign w:val="center"/>
        </w:tcPr>
        <w:p w14:paraId="203D2110" w14:textId="77777777" w:rsidR="001177F7" w:rsidRDefault="001177F7" w:rsidP="007D7881">
          <w:pPr>
            <w:spacing w:after="0" w:line="240" w:lineRule="auto"/>
            <w:ind w:left="-227"/>
            <w:jc w:val="right"/>
            <w:rPr>
              <w:rFonts w:eastAsia="Times New Roman" w:cs="Calibri"/>
              <w:b/>
              <w:bCs/>
              <w:color w:val="000000"/>
              <w:sz w:val="20"/>
              <w:lang w:val="en-US"/>
            </w:rPr>
          </w:pPr>
        </w:p>
        <w:p w14:paraId="642A14F0" w14:textId="77777777" w:rsidR="001177F7" w:rsidRDefault="001177F7" w:rsidP="007D7881">
          <w:pPr>
            <w:spacing w:after="0" w:line="240" w:lineRule="auto"/>
            <w:ind w:left="-227"/>
            <w:jc w:val="right"/>
            <w:rPr>
              <w:rFonts w:eastAsia="Times New Roman" w:cs="Calibri"/>
              <w:b/>
              <w:bCs/>
              <w:color w:val="000000"/>
              <w:sz w:val="20"/>
              <w:lang w:val="en-US"/>
            </w:rPr>
          </w:pPr>
          <w:r>
            <w:rPr>
              <w:rFonts w:eastAsia="Times New Roman" w:cs="Calibri"/>
              <w:b/>
              <w:noProof/>
              <w:color w:val="000000"/>
              <w:sz w:val="20"/>
              <w:lang w:eastAsia="sk-SK"/>
            </w:rPr>
            <w:drawing>
              <wp:inline distT="0" distB="0" distL="0" distR="0" wp14:anchorId="2187C701" wp14:editId="70EA3B8A">
                <wp:extent cx="1066800" cy="1968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196850"/>
                        </a:xfrm>
                        <a:prstGeom prst="rect">
                          <a:avLst/>
                        </a:prstGeom>
                        <a:noFill/>
                        <a:ln>
                          <a:noFill/>
                        </a:ln>
                      </pic:spPr>
                    </pic:pic>
                  </a:graphicData>
                </a:graphic>
              </wp:inline>
            </w:drawing>
          </w:r>
        </w:p>
        <w:p w14:paraId="3D7228E2" w14:textId="77777777" w:rsidR="001177F7" w:rsidRDefault="001177F7" w:rsidP="007D7881">
          <w:pPr>
            <w:spacing w:after="0" w:line="240" w:lineRule="auto"/>
            <w:ind w:left="-227"/>
            <w:rPr>
              <w:rFonts w:eastAsia="Times New Roman" w:cs="Calibri"/>
              <w:b/>
              <w:bCs/>
              <w:color w:val="000000"/>
              <w:sz w:val="20"/>
              <w:lang w:val="en-US"/>
            </w:rPr>
          </w:pPr>
          <w:r>
            <w:rPr>
              <w:rFonts w:eastAsia="Times New Roman" w:cs="Calibri"/>
              <w:b/>
              <w:noProof/>
              <w:color w:val="000000"/>
              <w:sz w:val="20"/>
              <w:lang w:eastAsia="sk-SK"/>
            </w:rPr>
            <w:drawing>
              <wp:inline distT="0" distB="0" distL="0" distR="0" wp14:anchorId="64FB1697" wp14:editId="0F9E89A2">
                <wp:extent cx="1143000" cy="298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43000" cy="298450"/>
                        </a:xfrm>
                        <a:prstGeom prst="rect">
                          <a:avLst/>
                        </a:prstGeom>
                        <a:noFill/>
                        <a:ln>
                          <a:noFill/>
                        </a:ln>
                      </pic:spPr>
                    </pic:pic>
                  </a:graphicData>
                </a:graphic>
              </wp:inline>
            </w:drawing>
          </w:r>
        </w:p>
      </w:tc>
    </w:tr>
  </w:tbl>
  <w:p w14:paraId="4809D765" w14:textId="77777777" w:rsidR="001177F7" w:rsidRPr="007D7881" w:rsidRDefault="001177F7" w:rsidP="007D78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C3B32" w14:textId="2636115B" w:rsidR="001177F7" w:rsidRDefault="001177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AAEDC" w14:textId="4A763208" w:rsidR="001177F7" w:rsidRPr="00363C7B" w:rsidRDefault="001177F7">
    <w:pPr>
      <w:pStyle w:val="Header"/>
      <w:rPr>
        <w:b w:val="0"/>
        <w:sz w:val="16"/>
      </w:rPr>
    </w:pPr>
    <w:r w:rsidRPr="007D6B43">
      <w:rPr>
        <w:sz w:val="16"/>
      </w:rPr>
      <w:fldChar w:fldCharType="begin"/>
    </w:r>
    <w:r w:rsidRPr="007D6B43">
      <w:rPr>
        <w:sz w:val="16"/>
      </w:rPr>
      <w:instrText xml:space="preserve"> STYLEREF  "Document title"  \* MERGEFORMAT </w:instrText>
    </w:r>
    <w:r w:rsidRPr="007D6B43">
      <w:rPr>
        <w:sz w:val="16"/>
      </w:rPr>
      <w:fldChar w:fldCharType="separate"/>
    </w:r>
    <w:r w:rsidR="00DC3C97" w:rsidRPr="00DC3C97">
      <w:rPr>
        <w:b w:val="0"/>
        <w:bCs/>
        <w:noProof/>
        <w:sz w:val="16"/>
      </w:rPr>
      <w:t>Záverečná správa</w:t>
    </w:r>
    <w:r w:rsidRPr="007D6B43">
      <w:rPr>
        <w:sz w:val="16"/>
      </w:rPr>
      <w:fldChar w:fldCharType="end"/>
    </w:r>
    <w:r w:rsidRPr="007D6B43">
      <w:rPr>
        <w:b w:val="0"/>
        <w:sz w:val="16"/>
      </w:rPr>
      <w:t xml:space="preserve"> | </w:t>
    </w:r>
    <w:r w:rsidRPr="007D6B43">
      <w:rPr>
        <w:b w:val="0"/>
        <w:sz w:val="16"/>
      </w:rPr>
      <w:fldChar w:fldCharType="begin"/>
    </w:r>
    <w:r w:rsidRPr="007D6B43">
      <w:rPr>
        <w:b w:val="0"/>
        <w:sz w:val="16"/>
      </w:rPr>
      <w:instrText xml:space="preserve"> STYLEREF  "Section title"  \* MERGEFORMAT </w:instrText>
    </w:r>
    <w:r w:rsidRPr="007D6B43">
      <w:rPr>
        <w:b w:val="0"/>
        <w:sz w:val="16"/>
      </w:rPr>
      <w:fldChar w:fldCharType="separate"/>
    </w:r>
    <w:r w:rsidR="00DC3C97">
      <w:rPr>
        <w:b w:val="0"/>
        <w:noProof/>
        <w:sz w:val="16"/>
      </w:rPr>
      <w:t>Výsledky analýzy</w:t>
    </w:r>
    <w:r w:rsidRPr="007D6B43">
      <w:rPr>
        <w:b w:val="0"/>
        <w:sz w:val="16"/>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05F70" w14:textId="711E0FF9" w:rsidR="001177F7" w:rsidRPr="00363C7B" w:rsidRDefault="001177F7">
    <w:pPr>
      <w:pStyle w:val="Header"/>
      <w:rPr>
        <w:b w:val="0"/>
        <w:sz w:val="16"/>
      </w:rPr>
    </w:pPr>
    <w:r w:rsidRPr="007D6B43">
      <w:rPr>
        <w:sz w:val="16"/>
      </w:rPr>
      <w:fldChar w:fldCharType="begin"/>
    </w:r>
    <w:r w:rsidRPr="007D6B43">
      <w:rPr>
        <w:sz w:val="16"/>
      </w:rPr>
      <w:instrText xml:space="preserve"> STYLEREF  "Document title"  \* MERGEFORMAT </w:instrText>
    </w:r>
    <w:r w:rsidRPr="007D6B43">
      <w:rPr>
        <w:sz w:val="16"/>
      </w:rPr>
      <w:fldChar w:fldCharType="separate"/>
    </w:r>
    <w:r w:rsidR="00DC3C97" w:rsidRPr="00DC3C97">
      <w:rPr>
        <w:b w:val="0"/>
        <w:bCs/>
        <w:noProof/>
        <w:sz w:val="16"/>
      </w:rPr>
      <w:t>Záverečná správa</w:t>
    </w:r>
    <w:r w:rsidRPr="007D6B43">
      <w:rPr>
        <w:sz w:val="16"/>
      </w:rPr>
      <w:fldChar w:fldCharType="end"/>
    </w:r>
    <w:r w:rsidRPr="007D6B43">
      <w:rPr>
        <w:b w:val="0"/>
        <w:sz w:val="16"/>
      </w:rPr>
      <w:t xml:space="preserve"> | </w:t>
    </w:r>
    <w:r w:rsidRPr="007D6B43">
      <w:rPr>
        <w:b w:val="0"/>
        <w:sz w:val="16"/>
      </w:rPr>
      <w:fldChar w:fldCharType="begin"/>
    </w:r>
    <w:r w:rsidRPr="007D6B43">
      <w:rPr>
        <w:b w:val="0"/>
        <w:sz w:val="16"/>
      </w:rPr>
      <w:instrText xml:space="preserve"> STYLEREF  "Section title"  \* MERGEFORMAT </w:instrText>
    </w:r>
    <w:r w:rsidRPr="007D6B43">
      <w:rPr>
        <w:b w:val="0"/>
        <w:sz w:val="16"/>
      </w:rPr>
      <w:fldChar w:fldCharType="separate"/>
    </w:r>
    <w:r w:rsidR="00DC3C97">
      <w:rPr>
        <w:b w:val="0"/>
        <w:noProof/>
        <w:sz w:val="16"/>
      </w:rPr>
      <w:t>Manažérske zhrnutie</w:t>
    </w:r>
    <w:r w:rsidRPr="007D6B43">
      <w:rPr>
        <w:b w:val="0"/>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A4D4E6FE"/>
    <w:lvl w:ilvl="0">
      <w:start w:val="1"/>
      <w:numFmt w:val="lowerLetter"/>
      <w:pStyle w:val="ListNumber2"/>
      <w:lvlText w:val="%1."/>
      <w:lvlJc w:val="left"/>
      <w:pPr>
        <w:ind w:left="644" w:hanging="360"/>
      </w:pPr>
    </w:lvl>
  </w:abstractNum>
  <w:abstractNum w:abstractNumId="1" w15:restartNumberingAfterBreak="0">
    <w:nsid w:val="FFFFFF83"/>
    <w:multiLevelType w:val="singleLevel"/>
    <w:tmpl w:val="8EAA911C"/>
    <w:lvl w:ilvl="0">
      <w:start w:val="1"/>
      <w:numFmt w:val="bullet"/>
      <w:pStyle w:val="ListBullet2"/>
      <w:lvlText w:val="‒"/>
      <w:lvlJc w:val="left"/>
      <w:pPr>
        <w:ind w:left="587" w:hanging="360"/>
      </w:pPr>
      <w:rPr>
        <w:rFonts w:ascii="Calibri" w:hAnsi="Calibri" w:hint="default"/>
      </w:rPr>
    </w:lvl>
  </w:abstractNum>
  <w:abstractNum w:abstractNumId="2" w15:restartNumberingAfterBreak="0">
    <w:nsid w:val="FFFFFF88"/>
    <w:multiLevelType w:val="singleLevel"/>
    <w:tmpl w:val="F716B3DA"/>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2A4026B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F1546E"/>
    <w:multiLevelType w:val="hybridMultilevel"/>
    <w:tmpl w:val="9390A5DC"/>
    <w:lvl w:ilvl="0" w:tplc="D10C504E">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50D659F"/>
    <w:multiLevelType w:val="hybridMultilevel"/>
    <w:tmpl w:val="BD70E5B8"/>
    <w:lvl w:ilvl="0" w:tplc="04090003">
      <w:start w:val="1"/>
      <w:numFmt w:val="bullet"/>
      <w:lvlText w:val="o"/>
      <w:lvlJc w:val="left"/>
      <w:pPr>
        <w:ind w:left="1500" w:hanging="360"/>
      </w:pPr>
      <w:rPr>
        <w:rFonts w:ascii="Courier New" w:hAnsi="Courier New" w:cs="Courier New" w:hint="default"/>
      </w:rPr>
    </w:lvl>
    <w:lvl w:ilvl="1" w:tplc="041B0003" w:tentative="1">
      <w:start w:val="1"/>
      <w:numFmt w:val="bullet"/>
      <w:lvlText w:val="o"/>
      <w:lvlJc w:val="left"/>
      <w:pPr>
        <w:ind w:left="2220" w:hanging="360"/>
      </w:pPr>
      <w:rPr>
        <w:rFonts w:ascii="Courier New" w:hAnsi="Courier New" w:cs="Courier New" w:hint="default"/>
      </w:rPr>
    </w:lvl>
    <w:lvl w:ilvl="2" w:tplc="041B0005" w:tentative="1">
      <w:start w:val="1"/>
      <w:numFmt w:val="bullet"/>
      <w:lvlText w:val=""/>
      <w:lvlJc w:val="left"/>
      <w:pPr>
        <w:ind w:left="2940" w:hanging="360"/>
      </w:pPr>
      <w:rPr>
        <w:rFonts w:ascii="Wingdings" w:hAnsi="Wingdings" w:hint="default"/>
      </w:rPr>
    </w:lvl>
    <w:lvl w:ilvl="3" w:tplc="041B0001" w:tentative="1">
      <w:start w:val="1"/>
      <w:numFmt w:val="bullet"/>
      <w:lvlText w:val=""/>
      <w:lvlJc w:val="left"/>
      <w:pPr>
        <w:ind w:left="3660" w:hanging="360"/>
      </w:pPr>
      <w:rPr>
        <w:rFonts w:ascii="Symbol" w:hAnsi="Symbol" w:hint="default"/>
      </w:rPr>
    </w:lvl>
    <w:lvl w:ilvl="4" w:tplc="041B0003" w:tentative="1">
      <w:start w:val="1"/>
      <w:numFmt w:val="bullet"/>
      <w:lvlText w:val="o"/>
      <w:lvlJc w:val="left"/>
      <w:pPr>
        <w:ind w:left="4380" w:hanging="360"/>
      </w:pPr>
      <w:rPr>
        <w:rFonts w:ascii="Courier New" w:hAnsi="Courier New" w:cs="Courier New" w:hint="default"/>
      </w:rPr>
    </w:lvl>
    <w:lvl w:ilvl="5" w:tplc="041B0005" w:tentative="1">
      <w:start w:val="1"/>
      <w:numFmt w:val="bullet"/>
      <w:lvlText w:val=""/>
      <w:lvlJc w:val="left"/>
      <w:pPr>
        <w:ind w:left="5100" w:hanging="360"/>
      </w:pPr>
      <w:rPr>
        <w:rFonts w:ascii="Wingdings" w:hAnsi="Wingdings" w:hint="default"/>
      </w:rPr>
    </w:lvl>
    <w:lvl w:ilvl="6" w:tplc="041B0001" w:tentative="1">
      <w:start w:val="1"/>
      <w:numFmt w:val="bullet"/>
      <w:lvlText w:val=""/>
      <w:lvlJc w:val="left"/>
      <w:pPr>
        <w:ind w:left="5820" w:hanging="360"/>
      </w:pPr>
      <w:rPr>
        <w:rFonts w:ascii="Symbol" w:hAnsi="Symbol" w:hint="default"/>
      </w:rPr>
    </w:lvl>
    <w:lvl w:ilvl="7" w:tplc="041B0003" w:tentative="1">
      <w:start w:val="1"/>
      <w:numFmt w:val="bullet"/>
      <w:lvlText w:val="o"/>
      <w:lvlJc w:val="left"/>
      <w:pPr>
        <w:ind w:left="6540" w:hanging="360"/>
      </w:pPr>
      <w:rPr>
        <w:rFonts w:ascii="Courier New" w:hAnsi="Courier New" w:cs="Courier New" w:hint="default"/>
      </w:rPr>
    </w:lvl>
    <w:lvl w:ilvl="8" w:tplc="041B0005" w:tentative="1">
      <w:start w:val="1"/>
      <w:numFmt w:val="bullet"/>
      <w:lvlText w:val=""/>
      <w:lvlJc w:val="left"/>
      <w:pPr>
        <w:ind w:left="7260" w:hanging="360"/>
      </w:pPr>
      <w:rPr>
        <w:rFonts w:ascii="Wingdings" w:hAnsi="Wingdings" w:hint="default"/>
      </w:rPr>
    </w:lvl>
  </w:abstractNum>
  <w:abstractNum w:abstractNumId="6" w15:restartNumberingAfterBreak="0">
    <w:nsid w:val="05EC5B65"/>
    <w:multiLevelType w:val="multilevel"/>
    <w:tmpl w:val="F5FA3D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60D3F35"/>
    <w:multiLevelType w:val="hybridMultilevel"/>
    <w:tmpl w:val="3A623CA0"/>
    <w:lvl w:ilvl="0" w:tplc="D10C504E">
      <w:numFmt w:val="bullet"/>
      <w:lvlText w:val="-"/>
      <w:lvlJc w:val="left"/>
      <w:pPr>
        <w:ind w:left="360" w:hanging="360"/>
      </w:pPr>
      <w:rPr>
        <w:rFonts w:ascii="Calibri" w:eastAsiaTheme="minorHAns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6D6749D"/>
    <w:multiLevelType w:val="hybridMultilevel"/>
    <w:tmpl w:val="0F3E4268"/>
    <w:lvl w:ilvl="0" w:tplc="9F08750E">
      <w:start w:val="1"/>
      <w:numFmt w:val="upperLetter"/>
      <w:lvlText w:val="%1."/>
      <w:lvlJc w:val="left"/>
      <w:pPr>
        <w:ind w:left="450" w:hanging="360"/>
      </w:pPr>
      <w:rPr>
        <w:rFonts w:hint="default"/>
      </w:rPr>
    </w:lvl>
    <w:lvl w:ilvl="1" w:tplc="D10C504E">
      <w:numFmt w:val="bullet"/>
      <w:lvlText w:val="-"/>
      <w:lvlJc w:val="left"/>
      <w:pPr>
        <w:ind w:left="1170" w:hanging="360"/>
      </w:pPr>
      <w:rPr>
        <w:rFonts w:ascii="Calibri" w:eastAsiaTheme="minorHAnsi" w:hAnsi="Calibri" w:hint="default"/>
      </w:rPr>
    </w:lvl>
    <w:lvl w:ilvl="2" w:tplc="1400AD66">
      <w:start w:val="1"/>
      <w:numFmt w:val="decimal"/>
      <w:lvlText w:val="%3."/>
      <w:lvlJc w:val="left"/>
      <w:pPr>
        <w:ind w:left="2070" w:hanging="360"/>
      </w:pPr>
      <w:rPr>
        <w:rFonts w:hint="default"/>
      </w:r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0737687E"/>
    <w:multiLevelType w:val="hybridMultilevel"/>
    <w:tmpl w:val="DFC2D8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8E0551"/>
    <w:multiLevelType w:val="hybridMultilevel"/>
    <w:tmpl w:val="02C22996"/>
    <w:lvl w:ilvl="0" w:tplc="9F08750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7AB5C13"/>
    <w:multiLevelType w:val="hybridMultilevel"/>
    <w:tmpl w:val="FECA1176"/>
    <w:lvl w:ilvl="0" w:tplc="E41826D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A71487"/>
    <w:multiLevelType w:val="hybridMultilevel"/>
    <w:tmpl w:val="674E8BA6"/>
    <w:lvl w:ilvl="0" w:tplc="04050001">
      <w:start w:val="1"/>
      <w:numFmt w:val="bullet"/>
      <w:lvlText w:val=""/>
      <w:lvlJc w:val="left"/>
      <w:pPr>
        <w:ind w:left="720" w:hanging="360"/>
      </w:pPr>
      <w:rPr>
        <w:rFonts w:ascii="Symbol" w:hAnsi="Symbol" w:hint="default"/>
      </w:rPr>
    </w:lvl>
    <w:lvl w:ilvl="1" w:tplc="D10C504E">
      <w:numFmt w:val="bullet"/>
      <w:lvlText w:val="-"/>
      <w:lvlJc w:val="left"/>
      <w:pPr>
        <w:ind w:left="1440" w:hanging="360"/>
      </w:pPr>
      <w:rPr>
        <w:rFonts w:ascii="Calibri" w:eastAsiaTheme="minorHAns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A592C5D"/>
    <w:multiLevelType w:val="hybridMultilevel"/>
    <w:tmpl w:val="32A426C8"/>
    <w:lvl w:ilvl="0" w:tplc="E41826D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526A00"/>
    <w:multiLevelType w:val="hybridMultilevel"/>
    <w:tmpl w:val="9EACC5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4B3A54"/>
    <w:multiLevelType w:val="hybridMultilevel"/>
    <w:tmpl w:val="3C7A9D5C"/>
    <w:lvl w:ilvl="0" w:tplc="287A5174">
      <w:numFmt w:val="bullet"/>
      <w:lvlText w:val="•"/>
      <w:lvlJc w:val="left"/>
      <w:pPr>
        <w:ind w:left="1080" w:hanging="720"/>
      </w:pPr>
      <w:rPr>
        <w:rFonts w:ascii="Verdana" w:eastAsia="Verdana"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5116083"/>
    <w:multiLevelType w:val="hybridMultilevel"/>
    <w:tmpl w:val="BC06C1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F73EC0"/>
    <w:multiLevelType w:val="hybridMultilevel"/>
    <w:tmpl w:val="3D8C7D94"/>
    <w:lvl w:ilvl="0" w:tplc="E41826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5675BC"/>
    <w:multiLevelType w:val="hybridMultilevel"/>
    <w:tmpl w:val="1AEC13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8E6309"/>
    <w:multiLevelType w:val="hybridMultilevel"/>
    <w:tmpl w:val="3FFAE18C"/>
    <w:lvl w:ilvl="0" w:tplc="D10C504E">
      <w:numFmt w:val="bullet"/>
      <w:lvlText w:val="-"/>
      <w:lvlJc w:val="left"/>
      <w:pPr>
        <w:ind w:left="720" w:hanging="360"/>
      </w:pPr>
      <w:rPr>
        <w:rFonts w:ascii="Calibri" w:eastAsiaTheme="minorHAnsi"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C1169D5"/>
    <w:multiLevelType w:val="hybridMultilevel"/>
    <w:tmpl w:val="96B41E02"/>
    <w:lvl w:ilvl="0" w:tplc="E41826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21174A"/>
    <w:multiLevelType w:val="hybridMultilevel"/>
    <w:tmpl w:val="6C5A5048"/>
    <w:lvl w:ilvl="0" w:tplc="9F08750E">
      <w:start w:val="1"/>
      <w:numFmt w:val="upperLetter"/>
      <w:lvlText w:val="%1."/>
      <w:lvlJc w:val="left"/>
      <w:pPr>
        <w:ind w:left="450" w:hanging="360"/>
      </w:pPr>
      <w:rPr>
        <w:rFonts w:hint="default"/>
      </w:rPr>
    </w:lvl>
    <w:lvl w:ilvl="1" w:tplc="D10C504E">
      <w:numFmt w:val="bullet"/>
      <w:lvlText w:val="-"/>
      <w:lvlJc w:val="left"/>
      <w:pPr>
        <w:ind w:left="1170" w:hanging="360"/>
      </w:pPr>
      <w:rPr>
        <w:rFonts w:ascii="Calibri" w:eastAsiaTheme="minorHAnsi" w:hAnsi="Calibri"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1F437708"/>
    <w:multiLevelType w:val="hybridMultilevel"/>
    <w:tmpl w:val="371CA554"/>
    <w:lvl w:ilvl="0" w:tplc="2D72B276">
      <w:start w:val="1"/>
      <w:numFmt w:val="upperLetter"/>
      <w:lvlText w:val="%1."/>
      <w:lvlJc w:val="left"/>
      <w:pPr>
        <w:ind w:left="720" w:hanging="360"/>
      </w:pPr>
      <w:rPr>
        <w:rFonts w:asciiTheme="minorHAnsi" w:hAnsi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1D10102"/>
    <w:multiLevelType w:val="hybridMultilevel"/>
    <w:tmpl w:val="B0229B58"/>
    <w:lvl w:ilvl="0" w:tplc="48D6B82C">
      <w:start w:val="1"/>
      <w:numFmt w:val="decimal"/>
      <w:lvlText w:val="%1."/>
      <w:lvlJc w:val="left"/>
      <w:pPr>
        <w:ind w:left="720" w:hanging="360"/>
      </w:pPr>
      <w:rPr>
        <w:rFonts w:hint="default"/>
        <w:b w:val="0"/>
      </w:rPr>
    </w:lvl>
    <w:lvl w:ilvl="1" w:tplc="E41826D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2861CE5"/>
    <w:multiLevelType w:val="hybridMultilevel"/>
    <w:tmpl w:val="5B286D6E"/>
    <w:lvl w:ilvl="0" w:tplc="0409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46C77F0"/>
    <w:multiLevelType w:val="hybridMultilevel"/>
    <w:tmpl w:val="16D8B562"/>
    <w:lvl w:ilvl="0" w:tplc="0409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5BD71E5"/>
    <w:multiLevelType w:val="hybridMultilevel"/>
    <w:tmpl w:val="B35C766E"/>
    <w:lvl w:ilvl="0" w:tplc="D410EC44">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26B478AA"/>
    <w:multiLevelType w:val="hybridMultilevel"/>
    <w:tmpl w:val="EA36D00A"/>
    <w:lvl w:ilvl="0" w:tplc="D10C504E">
      <w:numFmt w:val="bullet"/>
      <w:lvlText w:val="-"/>
      <w:lvlJc w:val="left"/>
      <w:pPr>
        <w:ind w:left="360" w:hanging="360"/>
      </w:pPr>
      <w:rPr>
        <w:rFonts w:ascii="Calibri" w:eastAsiaTheme="minorHAns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27D12D11"/>
    <w:multiLevelType w:val="hybridMultilevel"/>
    <w:tmpl w:val="21F07400"/>
    <w:lvl w:ilvl="0" w:tplc="0405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15:restartNumberingAfterBreak="0">
    <w:nsid w:val="298214CF"/>
    <w:multiLevelType w:val="hybridMultilevel"/>
    <w:tmpl w:val="85ACB9DC"/>
    <w:lvl w:ilvl="0" w:tplc="9F08750E">
      <w:start w:val="1"/>
      <w:numFmt w:val="upperLetter"/>
      <w:lvlText w:val="%1."/>
      <w:lvlJc w:val="left"/>
      <w:pPr>
        <w:ind w:left="450" w:hanging="360"/>
      </w:pPr>
      <w:rPr>
        <w:rFonts w:hint="default"/>
      </w:rPr>
    </w:lvl>
    <w:lvl w:ilvl="1" w:tplc="04090019">
      <w:start w:val="1"/>
      <w:numFmt w:val="lowerLetter"/>
      <w:lvlText w:val="%2."/>
      <w:lvlJc w:val="left"/>
      <w:pPr>
        <w:ind w:left="1170" w:hanging="360"/>
      </w:pPr>
    </w:lvl>
    <w:lvl w:ilvl="2" w:tplc="0BAC20C4">
      <w:numFmt w:val="bullet"/>
      <w:lvlText w:val="–"/>
      <w:lvlJc w:val="left"/>
      <w:pPr>
        <w:ind w:left="2070" w:hanging="360"/>
      </w:pPr>
      <w:rPr>
        <w:rFonts w:ascii="Verdana" w:eastAsiaTheme="minorHAnsi" w:hAnsi="Verdana" w:cstheme="minorBidi" w:hint="default"/>
      </w:r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2B35497D"/>
    <w:multiLevelType w:val="hybridMultilevel"/>
    <w:tmpl w:val="12442D94"/>
    <w:lvl w:ilvl="0" w:tplc="D10C504E">
      <w:numFmt w:val="bullet"/>
      <w:lvlText w:val="-"/>
      <w:lvlJc w:val="left"/>
      <w:pPr>
        <w:ind w:left="360" w:hanging="360"/>
      </w:pPr>
      <w:rPr>
        <w:rFonts w:ascii="Calibri" w:eastAsiaTheme="minorHAns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D654486"/>
    <w:multiLevelType w:val="hybridMultilevel"/>
    <w:tmpl w:val="2AF43F2E"/>
    <w:lvl w:ilvl="0" w:tplc="04050001">
      <w:start w:val="1"/>
      <w:numFmt w:val="bullet"/>
      <w:lvlText w:val=""/>
      <w:lvlJc w:val="left"/>
      <w:pPr>
        <w:ind w:left="720" w:hanging="360"/>
      </w:pPr>
      <w:rPr>
        <w:rFonts w:ascii="Symbol" w:hAnsi="Symbol" w:hint="default"/>
      </w:rPr>
    </w:lvl>
    <w:lvl w:ilvl="1" w:tplc="D10C504E">
      <w:numFmt w:val="bullet"/>
      <w:lvlText w:val="-"/>
      <w:lvlJc w:val="left"/>
      <w:pPr>
        <w:ind w:left="1440" w:hanging="360"/>
      </w:pPr>
      <w:rPr>
        <w:rFonts w:ascii="Calibri" w:eastAsiaTheme="minorHAns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F337363"/>
    <w:multiLevelType w:val="hybridMultilevel"/>
    <w:tmpl w:val="6A0E2A74"/>
    <w:lvl w:ilvl="0" w:tplc="2F1C8C5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A51AA7"/>
    <w:multiLevelType w:val="hybridMultilevel"/>
    <w:tmpl w:val="7DB27FAC"/>
    <w:lvl w:ilvl="0" w:tplc="D10C504E">
      <w:numFmt w:val="bullet"/>
      <w:lvlText w:val="-"/>
      <w:lvlJc w:val="left"/>
      <w:pPr>
        <w:ind w:left="360" w:hanging="360"/>
      </w:pPr>
      <w:rPr>
        <w:rFonts w:ascii="Calibri" w:eastAsiaTheme="minorHAnsi" w:hAnsi="Calibri" w:hint="default"/>
      </w:rPr>
    </w:lvl>
    <w:lvl w:ilvl="1" w:tplc="04090019">
      <w:start w:val="1"/>
      <w:numFmt w:val="lowerLetter"/>
      <w:lvlText w:val="%2."/>
      <w:lvlJc w:val="left"/>
      <w:pPr>
        <w:ind w:left="1080" w:hanging="360"/>
      </w:pPr>
    </w:lvl>
    <w:lvl w:ilvl="2" w:tplc="0BAC20C4">
      <w:numFmt w:val="bullet"/>
      <w:lvlText w:val="–"/>
      <w:lvlJc w:val="left"/>
      <w:pPr>
        <w:ind w:left="1980" w:hanging="360"/>
      </w:pPr>
      <w:rPr>
        <w:rFonts w:ascii="Verdana" w:eastAsiaTheme="minorHAnsi" w:hAnsi="Verdana" w:cstheme="minorBidi"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04C1642"/>
    <w:multiLevelType w:val="hybridMultilevel"/>
    <w:tmpl w:val="1D38391A"/>
    <w:lvl w:ilvl="0" w:tplc="D10C504E">
      <w:numFmt w:val="bullet"/>
      <w:lvlText w:val="-"/>
      <w:lvlJc w:val="left"/>
      <w:pPr>
        <w:ind w:left="360" w:hanging="360"/>
      </w:pPr>
      <w:rPr>
        <w:rFonts w:ascii="Calibri" w:eastAsiaTheme="minorHAns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31BC3B9D"/>
    <w:multiLevelType w:val="hybridMultilevel"/>
    <w:tmpl w:val="4C2451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1F1335D"/>
    <w:multiLevelType w:val="multilevel"/>
    <w:tmpl w:val="6A8275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324D76EE"/>
    <w:multiLevelType w:val="hybridMultilevel"/>
    <w:tmpl w:val="9C6EB81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3556F30"/>
    <w:multiLevelType w:val="hybridMultilevel"/>
    <w:tmpl w:val="1ACEC306"/>
    <w:lvl w:ilvl="0" w:tplc="E41826D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3AA3B54"/>
    <w:multiLevelType w:val="hybridMultilevel"/>
    <w:tmpl w:val="FEF82A54"/>
    <w:lvl w:ilvl="0" w:tplc="9F08750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3B27DE5"/>
    <w:multiLevelType w:val="hybridMultilevel"/>
    <w:tmpl w:val="1E4E0110"/>
    <w:lvl w:ilvl="0" w:tplc="0405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1" w15:restartNumberingAfterBreak="0">
    <w:nsid w:val="34415317"/>
    <w:multiLevelType w:val="hybridMultilevel"/>
    <w:tmpl w:val="A5484C6E"/>
    <w:lvl w:ilvl="0" w:tplc="D10C504E">
      <w:numFmt w:val="bullet"/>
      <w:lvlText w:val="-"/>
      <w:lvlJc w:val="left"/>
      <w:pPr>
        <w:ind w:left="1080" w:hanging="360"/>
      </w:pPr>
      <w:rPr>
        <w:rFonts w:ascii="Calibri" w:eastAsiaTheme="minorHAnsi" w:hAnsi="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2" w15:restartNumberingAfterBreak="0">
    <w:nsid w:val="354D0EAC"/>
    <w:multiLevelType w:val="multilevel"/>
    <w:tmpl w:val="263ACD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379F1C8B"/>
    <w:multiLevelType w:val="hybridMultilevel"/>
    <w:tmpl w:val="66C89FA2"/>
    <w:lvl w:ilvl="0" w:tplc="D10C504E">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39C57EC0"/>
    <w:multiLevelType w:val="hybridMultilevel"/>
    <w:tmpl w:val="9D345DB8"/>
    <w:lvl w:ilvl="0" w:tplc="E41826D2">
      <w:start w:val="1"/>
      <w:numFmt w:val="lowerLetter"/>
      <w:lvlText w:val="%1)"/>
      <w:lvlJc w:val="left"/>
      <w:pPr>
        <w:ind w:left="720" w:hanging="360"/>
      </w:pPr>
      <w:rPr>
        <w:rFonts w:hint="default"/>
      </w:rPr>
    </w:lvl>
    <w:lvl w:ilvl="1" w:tplc="E41826D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DBD3D15"/>
    <w:multiLevelType w:val="hybridMultilevel"/>
    <w:tmpl w:val="B2C0E5E4"/>
    <w:lvl w:ilvl="0" w:tplc="9F08750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E5800C7"/>
    <w:multiLevelType w:val="hybridMultilevel"/>
    <w:tmpl w:val="F182CAC4"/>
    <w:lvl w:ilvl="0" w:tplc="D10C504E">
      <w:numFmt w:val="bullet"/>
      <w:lvlText w:val="-"/>
      <w:lvlJc w:val="left"/>
      <w:pPr>
        <w:ind w:left="720" w:hanging="360"/>
      </w:pPr>
      <w:rPr>
        <w:rFonts w:ascii="Calibri" w:eastAsiaTheme="minorHAnsi" w:hAnsi="Calibri" w:hint="default"/>
      </w:rPr>
    </w:lvl>
    <w:lvl w:ilvl="1" w:tplc="04090019">
      <w:start w:val="1"/>
      <w:numFmt w:val="lowerLetter"/>
      <w:lvlText w:val="%2."/>
      <w:lvlJc w:val="left"/>
      <w:pPr>
        <w:ind w:left="1440" w:hanging="360"/>
      </w:pPr>
    </w:lvl>
    <w:lvl w:ilvl="2" w:tplc="0BAC20C4">
      <w:numFmt w:val="bullet"/>
      <w:lvlText w:val="–"/>
      <w:lvlJc w:val="left"/>
      <w:pPr>
        <w:ind w:left="2340" w:hanging="360"/>
      </w:pPr>
      <w:rPr>
        <w:rFonts w:ascii="Verdana" w:eastAsiaTheme="minorHAnsi" w:hAnsi="Verdana" w:cstheme="minorBid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F753CD7"/>
    <w:multiLevelType w:val="hybridMultilevel"/>
    <w:tmpl w:val="8E780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F7F1B9D"/>
    <w:multiLevelType w:val="hybridMultilevel"/>
    <w:tmpl w:val="973A2618"/>
    <w:lvl w:ilvl="0" w:tplc="9F08750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E4A2B22A">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24212B4"/>
    <w:multiLevelType w:val="multilevel"/>
    <w:tmpl w:val="4DCE3C78"/>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15:restartNumberingAfterBreak="0">
    <w:nsid w:val="457C67BE"/>
    <w:multiLevelType w:val="hybridMultilevel"/>
    <w:tmpl w:val="6EAEA3C8"/>
    <w:lvl w:ilvl="0" w:tplc="2E444D5E">
      <w:start w:val="1"/>
      <w:numFmt w:val="bullet"/>
      <w:pStyle w:val="Table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5E76697"/>
    <w:multiLevelType w:val="hybridMultilevel"/>
    <w:tmpl w:val="D5B28564"/>
    <w:lvl w:ilvl="0" w:tplc="2752CD9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6D6439F"/>
    <w:multiLevelType w:val="hybridMultilevel"/>
    <w:tmpl w:val="00925A92"/>
    <w:lvl w:ilvl="0" w:tplc="D10C504E">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49126BD0"/>
    <w:multiLevelType w:val="hybridMultilevel"/>
    <w:tmpl w:val="31E6CFB2"/>
    <w:lvl w:ilvl="0" w:tplc="9F08750E">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4" w15:restartNumberingAfterBreak="0">
    <w:nsid w:val="4B2E76AA"/>
    <w:multiLevelType w:val="hybridMultilevel"/>
    <w:tmpl w:val="4DA899C4"/>
    <w:lvl w:ilvl="0" w:tplc="0409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4CA46E84"/>
    <w:multiLevelType w:val="hybridMultilevel"/>
    <w:tmpl w:val="A8647C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E194850"/>
    <w:multiLevelType w:val="hybridMultilevel"/>
    <w:tmpl w:val="CE320C84"/>
    <w:lvl w:ilvl="0" w:tplc="D10C504E">
      <w:numFmt w:val="bullet"/>
      <w:lvlText w:val="-"/>
      <w:lvlJc w:val="left"/>
      <w:pPr>
        <w:ind w:left="360" w:hanging="360"/>
      </w:pPr>
      <w:rPr>
        <w:rFonts w:ascii="Calibri" w:eastAsiaTheme="minorHAns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4F5825BB"/>
    <w:multiLevelType w:val="hybridMultilevel"/>
    <w:tmpl w:val="758032A4"/>
    <w:lvl w:ilvl="0" w:tplc="FBB4B35C">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8" w15:restartNumberingAfterBreak="0">
    <w:nsid w:val="4FAE0B2F"/>
    <w:multiLevelType w:val="hybridMultilevel"/>
    <w:tmpl w:val="64DA5C3E"/>
    <w:lvl w:ilvl="0" w:tplc="D10C504E">
      <w:numFmt w:val="bullet"/>
      <w:lvlText w:val="-"/>
      <w:lvlJc w:val="left"/>
      <w:pPr>
        <w:ind w:left="360" w:hanging="360"/>
      </w:pPr>
      <w:rPr>
        <w:rFonts w:ascii="Calibri" w:eastAsiaTheme="minorHAns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3A36787"/>
    <w:multiLevelType w:val="hybridMultilevel"/>
    <w:tmpl w:val="D6FE7CC8"/>
    <w:lvl w:ilvl="0" w:tplc="9F08750E">
      <w:start w:val="1"/>
      <w:numFmt w:val="upperLetter"/>
      <w:lvlText w:val="%1."/>
      <w:lvlJc w:val="left"/>
      <w:pPr>
        <w:ind w:left="720" w:hanging="360"/>
      </w:pPr>
      <w:rPr>
        <w:rFonts w:hint="default"/>
      </w:rPr>
    </w:lvl>
    <w:lvl w:ilvl="1" w:tplc="D10C504E">
      <w:numFmt w:val="bullet"/>
      <w:lvlText w:val="-"/>
      <w:lvlJc w:val="left"/>
      <w:pPr>
        <w:ind w:left="1440" w:hanging="360"/>
      </w:pPr>
      <w:rPr>
        <w:rFonts w:ascii="Calibri" w:eastAsiaTheme="minorHAnsi" w:hAnsi="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5835B43"/>
    <w:multiLevelType w:val="hybridMultilevel"/>
    <w:tmpl w:val="E6F60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5CF260D"/>
    <w:multiLevelType w:val="hybridMultilevel"/>
    <w:tmpl w:val="EDDA8390"/>
    <w:lvl w:ilvl="0" w:tplc="9B72FFC4">
      <w:start w:val="1"/>
      <w:numFmt w:val="decimal"/>
      <w:lvlText w:val="%1."/>
      <w:lvlJc w:val="left"/>
      <w:pPr>
        <w:ind w:left="720" w:hanging="360"/>
      </w:pPr>
      <w:rPr>
        <w:rFonts w:ascii="Verdana" w:eastAsia="Times New Roman" w:hAnsi="Verdana" w:cs="Times New Roman"/>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6F9450B"/>
    <w:multiLevelType w:val="hybridMultilevel"/>
    <w:tmpl w:val="F2402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DCB7673"/>
    <w:multiLevelType w:val="multilevel"/>
    <w:tmpl w:val="EDAC9F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5DDD2C74"/>
    <w:multiLevelType w:val="hybridMultilevel"/>
    <w:tmpl w:val="71706D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EDA112A"/>
    <w:multiLevelType w:val="hybridMultilevel"/>
    <w:tmpl w:val="8C9A94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0557AFB"/>
    <w:multiLevelType w:val="hybridMultilevel"/>
    <w:tmpl w:val="7248A714"/>
    <w:lvl w:ilvl="0" w:tplc="E41826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09152D5"/>
    <w:multiLevelType w:val="hybridMultilevel"/>
    <w:tmpl w:val="DDA0FDEA"/>
    <w:lvl w:ilvl="0" w:tplc="03565C20">
      <w:start w:val="1"/>
      <w:numFmt w:val="decimal"/>
      <w:pStyle w:val="Table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09634AC"/>
    <w:multiLevelType w:val="hybridMultilevel"/>
    <w:tmpl w:val="A4CEF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1EA0CD6"/>
    <w:multiLevelType w:val="hybridMultilevel"/>
    <w:tmpl w:val="64441018"/>
    <w:lvl w:ilvl="0" w:tplc="D10C504E">
      <w:numFmt w:val="bullet"/>
      <w:lvlText w:val="-"/>
      <w:lvlJc w:val="left"/>
      <w:pPr>
        <w:ind w:left="360" w:hanging="360"/>
      </w:pPr>
      <w:rPr>
        <w:rFonts w:ascii="Calibri" w:eastAsiaTheme="minorHAns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63464AFC"/>
    <w:multiLevelType w:val="hybridMultilevel"/>
    <w:tmpl w:val="5A6C46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44029A3"/>
    <w:multiLevelType w:val="multilevel"/>
    <w:tmpl w:val="EDAC9F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66075D94"/>
    <w:multiLevelType w:val="hybridMultilevel"/>
    <w:tmpl w:val="475277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6884CE7"/>
    <w:multiLevelType w:val="multilevel"/>
    <w:tmpl w:val="0850594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4" w15:restartNumberingAfterBreak="0">
    <w:nsid w:val="668A0B60"/>
    <w:multiLevelType w:val="hybridMultilevel"/>
    <w:tmpl w:val="12AA7456"/>
    <w:lvl w:ilvl="0" w:tplc="D10C504E">
      <w:numFmt w:val="bullet"/>
      <w:lvlText w:val="-"/>
      <w:lvlJc w:val="left"/>
      <w:pPr>
        <w:ind w:left="720" w:hanging="360"/>
      </w:pPr>
      <w:rPr>
        <w:rFonts w:ascii="Calibri" w:eastAsiaTheme="minorHAns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8890F48"/>
    <w:multiLevelType w:val="hybridMultilevel"/>
    <w:tmpl w:val="BB7AC774"/>
    <w:lvl w:ilvl="0" w:tplc="D10C504E">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69787B48"/>
    <w:multiLevelType w:val="hybridMultilevel"/>
    <w:tmpl w:val="BD887F50"/>
    <w:lvl w:ilvl="0" w:tplc="D10C504E">
      <w:numFmt w:val="bullet"/>
      <w:lvlText w:val="-"/>
      <w:lvlJc w:val="left"/>
      <w:pPr>
        <w:ind w:left="360" w:hanging="360"/>
      </w:pPr>
      <w:rPr>
        <w:rFonts w:ascii="Calibri" w:eastAsiaTheme="minorHAnsi" w:hAnsi="Calibri" w:hint="default"/>
      </w:rPr>
    </w:lvl>
    <w:lvl w:ilvl="1" w:tplc="04090003">
      <w:start w:val="1"/>
      <w:numFmt w:val="bullet"/>
      <w:lvlText w:val="o"/>
      <w:lvlJc w:val="left"/>
      <w:pPr>
        <w:ind w:left="1080" w:hanging="360"/>
      </w:pPr>
      <w:rPr>
        <w:rFonts w:ascii="Courier New" w:hAnsi="Courier New" w:cs="Courier New" w:hint="default"/>
      </w:rPr>
    </w:lvl>
    <w:lvl w:ilvl="2" w:tplc="D10C504E">
      <w:numFmt w:val="bullet"/>
      <w:lvlText w:val="-"/>
      <w:lvlJc w:val="left"/>
      <w:pPr>
        <w:ind w:left="1800" w:hanging="360"/>
      </w:pPr>
      <w:rPr>
        <w:rFonts w:ascii="Calibri" w:eastAsiaTheme="minorHAnsi"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69FE08F0"/>
    <w:multiLevelType w:val="hybridMultilevel"/>
    <w:tmpl w:val="3A9A8706"/>
    <w:lvl w:ilvl="0" w:tplc="04050003">
      <w:start w:val="1"/>
      <w:numFmt w:val="bullet"/>
      <w:lvlText w:val="o"/>
      <w:lvlJc w:val="left"/>
      <w:pPr>
        <w:ind w:left="1440" w:hanging="360"/>
      </w:pPr>
      <w:rPr>
        <w:rFonts w:ascii="Courier New" w:hAnsi="Courier New" w:cs="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8" w15:restartNumberingAfterBreak="0">
    <w:nsid w:val="6AE5293E"/>
    <w:multiLevelType w:val="hybridMultilevel"/>
    <w:tmpl w:val="D4FE8B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B073FDE"/>
    <w:multiLevelType w:val="hybridMultilevel"/>
    <w:tmpl w:val="71706D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BFC6346"/>
    <w:multiLevelType w:val="hybridMultilevel"/>
    <w:tmpl w:val="6E20202C"/>
    <w:lvl w:ilvl="0" w:tplc="D10C504E">
      <w:numFmt w:val="bullet"/>
      <w:lvlText w:val="-"/>
      <w:lvlJc w:val="left"/>
      <w:pPr>
        <w:ind w:left="360" w:hanging="360"/>
      </w:pPr>
      <w:rPr>
        <w:rFonts w:ascii="Calibri" w:eastAsiaTheme="minorHAns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6E0A408A"/>
    <w:multiLevelType w:val="hybridMultilevel"/>
    <w:tmpl w:val="57B65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F445FF8"/>
    <w:multiLevelType w:val="hybridMultilevel"/>
    <w:tmpl w:val="13F4DC0A"/>
    <w:lvl w:ilvl="0" w:tplc="9F08750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F6B264B"/>
    <w:multiLevelType w:val="hybridMultilevel"/>
    <w:tmpl w:val="439ABF50"/>
    <w:lvl w:ilvl="0" w:tplc="D234A1C8">
      <w:start w:val="1"/>
      <w:numFmt w:val="decimal"/>
      <w:lvlText w:val="%1."/>
      <w:lvlJc w:val="left"/>
      <w:pPr>
        <w:ind w:left="720" w:hanging="360"/>
      </w:pPr>
      <w:rPr>
        <w:rFonts w:asciiTheme="minorHAnsi" w:hAnsi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70930BE4"/>
    <w:multiLevelType w:val="hybridMultilevel"/>
    <w:tmpl w:val="2B1A0D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71244D69"/>
    <w:multiLevelType w:val="hybridMultilevel"/>
    <w:tmpl w:val="8A2EA7FA"/>
    <w:lvl w:ilvl="0" w:tplc="9F08750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73CB1609"/>
    <w:multiLevelType w:val="hybridMultilevel"/>
    <w:tmpl w:val="043E2A08"/>
    <w:lvl w:ilvl="0" w:tplc="D10C504E">
      <w:numFmt w:val="bullet"/>
      <w:lvlText w:val="-"/>
      <w:lvlJc w:val="left"/>
      <w:pPr>
        <w:ind w:left="360" w:hanging="360"/>
      </w:pPr>
      <w:rPr>
        <w:rFonts w:ascii="Calibri" w:eastAsiaTheme="minorHAns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74327D4A"/>
    <w:multiLevelType w:val="hybridMultilevel"/>
    <w:tmpl w:val="7AAECCA4"/>
    <w:lvl w:ilvl="0" w:tplc="8FCE6878">
      <w:start w:val="1"/>
      <w:numFmt w:val="lowerLetter"/>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745648D5"/>
    <w:multiLevelType w:val="hybridMultilevel"/>
    <w:tmpl w:val="2E1C68FC"/>
    <w:lvl w:ilvl="0" w:tplc="D592D768">
      <w:numFmt w:val="bullet"/>
      <w:lvlText w:val="-"/>
      <w:lvlJc w:val="left"/>
      <w:pPr>
        <w:ind w:left="720" w:hanging="360"/>
      </w:pPr>
      <w:rPr>
        <w:rFonts w:ascii="Verdana" w:eastAsiaTheme="minorHAnsi" w:hAnsi="Verdan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759655FE"/>
    <w:multiLevelType w:val="hybridMultilevel"/>
    <w:tmpl w:val="896A2454"/>
    <w:lvl w:ilvl="0" w:tplc="CB6CA1A0">
      <w:start w:val="28"/>
      <w:numFmt w:val="bullet"/>
      <w:lvlText w:val="-"/>
      <w:lvlJc w:val="left"/>
      <w:pPr>
        <w:ind w:left="720" w:hanging="360"/>
      </w:pPr>
      <w:rPr>
        <w:rFonts w:ascii="Verdana" w:eastAsiaTheme="minorHAnsi" w:hAnsi="Verdan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7744493C"/>
    <w:multiLevelType w:val="multilevel"/>
    <w:tmpl w:val="7C0EC0E2"/>
    <w:lvl w:ilvl="0">
      <w:start w:val="1"/>
      <w:numFmt w:val="lowerLetter"/>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1" w15:restartNumberingAfterBreak="0">
    <w:nsid w:val="77567C51"/>
    <w:multiLevelType w:val="hybridMultilevel"/>
    <w:tmpl w:val="EBEA250A"/>
    <w:lvl w:ilvl="0" w:tplc="04050001">
      <w:start w:val="1"/>
      <w:numFmt w:val="bullet"/>
      <w:lvlText w:val=""/>
      <w:lvlJc w:val="left"/>
      <w:pPr>
        <w:ind w:left="720" w:hanging="360"/>
      </w:pPr>
      <w:rPr>
        <w:rFonts w:ascii="Symbol" w:hAnsi="Symbol" w:hint="default"/>
      </w:rPr>
    </w:lvl>
    <w:lvl w:ilvl="1" w:tplc="D10C504E">
      <w:numFmt w:val="bullet"/>
      <w:lvlText w:val="-"/>
      <w:lvlJc w:val="left"/>
      <w:pPr>
        <w:ind w:left="1440" w:hanging="360"/>
      </w:pPr>
      <w:rPr>
        <w:rFonts w:ascii="Calibri" w:eastAsiaTheme="minorHAns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77C0445C"/>
    <w:multiLevelType w:val="hybridMultilevel"/>
    <w:tmpl w:val="A8182902"/>
    <w:lvl w:ilvl="0" w:tplc="CB6CA1A0">
      <w:start w:val="28"/>
      <w:numFmt w:val="bullet"/>
      <w:lvlText w:val="-"/>
      <w:lvlJc w:val="left"/>
      <w:pPr>
        <w:ind w:left="720" w:hanging="360"/>
      </w:pPr>
      <w:rPr>
        <w:rFonts w:ascii="Verdana" w:eastAsiaTheme="minorHAnsi" w:hAnsi="Verdan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15:restartNumberingAfterBreak="0">
    <w:nsid w:val="77C878A5"/>
    <w:multiLevelType w:val="hybridMultilevel"/>
    <w:tmpl w:val="4538DE76"/>
    <w:lvl w:ilvl="0" w:tplc="9F08750E">
      <w:start w:val="1"/>
      <w:numFmt w:val="upperLetter"/>
      <w:lvlText w:val="%1."/>
      <w:lvlJc w:val="left"/>
      <w:pPr>
        <w:ind w:left="450" w:hanging="360"/>
      </w:pPr>
      <w:rPr>
        <w:rFonts w:hint="default"/>
      </w:rPr>
    </w:lvl>
    <w:lvl w:ilvl="1" w:tplc="D10C504E">
      <w:numFmt w:val="bullet"/>
      <w:lvlText w:val="-"/>
      <w:lvlJc w:val="left"/>
      <w:pPr>
        <w:ind w:left="1170" w:hanging="360"/>
      </w:pPr>
      <w:rPr>
        <w:rFonts w:ascii="Calibri" w:eastAsiaTheme="minorHAnsi" w:hAnsi="Calibri"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4" w15:restartNumberingAfterBreak="0">
    <w:nsid w:val="79EC25C9"/>
    <w:multiLevelType w:val="hybridMultilevel"/>
    <w:tmpl w:val="75E2C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AC41260"/>
    <w:multiLevelType w:val="hybridMultilevel"/>
    <w:tmpl w:val="407C3F18"/>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6" w15:restartNumberingAfterBreak="0">
    <w:nsid w:val="7CE66048"/>
    <w:multiLevelType w:val="hybridMultilevel"/>
    <w:tmpl w:val="CA9C596A"/>
    <w:lvl w:ilvl="0" w:tplc="0409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50"/>
  </w:num>
  <w:num w:numId="6">
    <w:abstractNumId w:val="67"/>
  </w:num>
  <w:num w:numId="7">
    <w:abstractNumId w:val="49"/>
  </w:num>
  <w:num w:numId="8">
    <w:abstractNumId w:val="23"/>
  </w:num>
  <w:num w:numId="9">
    <w:abstractNumId w:val="6"/>
  </w:num>
  <w:num w:numId="10">
    <w:abstractNumId w:val="95"/>
  </w:num>
  <w:num w:numId="11">
    <w:abstractNumId w:val="16"/>
  </w:num>
  <w:num w:numId="12">
    <w:abstractNumId w:val="51"/>
  </w:num>
  <w:num w:numId="13">
    <w:abstractNumId w:val="35"/>
  </w:num>
  <w:num w:numId="14">
    <w:abstractNumId w:val="84"/>
  </w:num>
  <w:num w:numId="15">
    <w:abstractNumId w:val="37"/>
  </w:num>
  <w:num w:numId="16">
    <w:abstractNumId w:val="57"/>
  </w:num>
  <w:num w:numId="17">
    <w:abstractNumId w:val="53"/>
  </w:num>
  <w:num w:numId="18">
    <w:abstractNumId w:val="42"/>
  </w:num>
  <w:num w:numId="19">
    <w:abstractNumId w:val="78"/>
  </w:num>
  <w:num w:numId="20">
    <w:abstractNumId w:val="65"/>
  </w:num>
  <w:num w:numId="21">
    <w:abstractNumId w:val="26"/>
  </w:num>
  <w:num w:numId="22">
    <w:abstractNumId w:val="55"/>
  </w:num>
  <w:num w:numId="23">
    <w:abstractNumId w:val="79"/>
  </w:num>
  <w:num w:numId="24">
    <w:abstractNumId w:val="64"/>
  </w:num>
  <w:num w:numId="25">
    <w:abstractNumId w:val="36"/>
  </w:num>
  <w:num w:numId="26">
    <w:abstractNumId w:val="72"/>
  </w:num>
  <w:num w:numId="27">
    <w:abstractNumId w:val="18"/>
  </w:num>
  <w:num w:numId="28">
    <w:abstractNumId w:val="73"/>
  </w:num>
  <w:num w:numId="29">
    <w:abstractNumId w:val="14"/>
  </w:num>
  <w:num w:numId="30">
    <w:abstractNumId w:val="70"/>
  </w:num>
  <w:num w:numId="31">
    <w:abstractNumId w:val="9"/>
  </w:num>
  <w:num w:numId="32">
    <w:abstractNumId w:val="32"/>
  </w:num>
  <w:num w:numId="33">
    <w:abstractNumId w:val="63"/>
  </w:num>
  <w:num w:numId="34">
    <w:abstractNumId w:val="71"/>
  </w:num>
  <w:num w:numId="35">
    <w:abstractNumId w:val="15"/>
  </w:num>
  <w:num w:numId="36">
    <w:abstractNumId w:val="74"/>
  </w:num>
  <w:num w:numId="37">
    <w:abstractNumId w:val="92"/>
  </w:num>
  <w:num w:numId="38">
    <w:abstractNumId w:val="5"/>
  </w:num>
  <w:num w:numId="39">
    <w:abstractNumId w:val="77"/>
  </w:num>
  <w:num w:numId="40">
    <w:abstractNumId w:val="89"/>
  </w:num>
  <w:num w:numId="41">
    <w:abstractNumId w:val="4"/>
  </w:num>
  <w:num w:numId="42">
    <w:abstractNumId w:val="41"/>
  </w:num>
  <w:num w:numId="43">
    <w:abstractNumId w:val="90"/>
  </w:num>
  <w:num w:numId="44">
    <w:abstractNumId w:val="48"/>
  </w:num>
  <w:num w:numId="45">
    <w:abstractNumId w:val="59"/>
  </w:num>
  <w:num w:numId="46">
    <w:abstractNumId w:val="54"/>
  </w:num>
  <w:num w:numId="47">
    <w:abstractNumId w:val="29"/>
  </w:num>
  <w:num w:numId="48">
    <w:abstractNumId w:val="93"/>
  </w:num>
  <w:num w:numId="49">
    <w:abstractNumId w:val="8"/>
  </w:num>
  <w:num w:numId="50">
    <w:abstractNumId w:val="21"/>
  </w:num>
  <w:num w:numId="51">
    <w:abstractNumId w:val="38"/>
  </w:num>
  <w:num w:numId="52">
    <w:abstractNumId w:val="20"/>
  </w:num>
  <w:num w:numId="53">
    <w:abstractNumId w:val="17"/>
  </w:num>
  <w:num w:numId="54">
    <w:abstractNumId w:val="44"/>
  </w:num>
  <w:num w:numId="55">
    <w:abstractNumId w:val="13"/>
  </w:num>
  <w:num w:numId="56">
    <w:abstractNumId w:val="66"/>
  </w:num>
  <w:num w:numId="57">
    <w:abstractNumId w:val="11"/>
  </w:num>
  <w:num w:numId="58">
    <w:abstractNumId w:val="33"/>
  </w:num>
  <w:num w:numId="59">
    <w:abstractNumId w:val="69"/>
  </w:num>
  <w:num w:numId="60">
    <w:abstractNumId w:val="22"/>
  </w:num>
  <w:num w:numId="61">
    <w:abstractNumId w:val="27"/>
  </w:num>
  <w:num w:numId="62">
    <w:abstractNumId w:val="46"/>
  </w:num>
  <w:num w:numId="63">
    <w:abstractNumId w:val="7"/>
  </w:num>
  <w:num w:numId="64">
    <w:abstractNumId w:val="85"/>
  </w:num>
  <w:num w:numId="65">
    <w:abstractNumId w:val="34"/>
  </w:num>
  <w:num w:numId="66">
    <w:abstractNumId w:val="86"/>
  </w:num>
  <w:num w:numId="67">
    <w:abstractNumId w:val="45"/>
  </w:num>
  <w:num w:numId="68">
    <w:abstractNumId w:val="76"/>
  </w:num>
  <w:num w:numId="69">
    <w:abstractNumId w:val="80"/>
  </w:num>
  <w:num w:numId="70">
    <w:abstractNumId w:val="82"/>
  </w:num>
  <w:num w:numId="71">
    <w:abstractNumId w:val="56"/>
  </w:num>
  <w:num w:numId="72">
    <w:abstractNumId w:val="30"/>
  </w:num>
  <w:num w:numId="73">
    <w:abstractNumId w:val="58"/>
  </w:num>
  <w:num w:numId="74">
    <w:abstractNumId w:val="39"/>
  </w:num>
  <w:num w:numId="75">
    <w:abstractNumId w:val="10"/>
  </w:num>
  <w:num w:numId="76">
    <w:abstractNumId w:val="12"/>
  </w:num>
  <w:num w:numId="77">
    <w:abstractNumId w:val="91"/>
  </w:num>
  <w:num w:numId="78">
    <w:abstractNumId w:val="31"/>
  </w:num>
  <w:num w:numId="79">
    <w:abstractNumId w:val="24"/>
  </w:num>
  <w:num w:numId="80">
    <w:abstractNumId w:val="88"/>
  </w:num>
  <w:num w:numId="81">
    <w:abstractNumId w:val="25"/>
  </w:num>
  <w:num w:numId="82">
    <w:abstractNumId w:val="52"/>
  </w:num>
  <w:num w:numId="83">
    <w:abstractNumId w:val="19"/>
  </w:num>
  <w:num w:numId="84">
    <w:abstractNumId w:val="75"/>
  </w:num>
  <w:num w:numId="85">
    <w:abstractNumId w:val="40"/>
  </w:num>
  <w:num w:numId="86">
    <w:abstractNumId w:val="96"/>
  </w:num>
  <w:num w:numId="87">
    <w:abstractNumId w:val="28"/>
  </w:num>
  <w:num w:numId="88">
    <w:abstractNumId w:val="87"/>
  </w:num>
  <w:num w:numId="89">
    <w:abstractNumId w:val="83"/>
  </w:num>
  <w:num w:numId="90">
    <w:abstractNumId w:val="47"/>
  </w:num>
  <w:num w:numId="91">
    <w:abstractNumId w:val="60"/>
  </w:num>
  <w:num w:numId="92">
    <w:abstractNumId w:val="62"/>
  </w:num>
  <w:num w:numId="93">
    <w:abstractNumId w:val="94"/>
  </w:num>
  <w:num w:numId="94">
    <w:abstractNumId w:val="81"/>
  </w:num>
  <w:num w:numId="95">
    <w:abstractNumId w:val="68"/>
  </w:num>
  <w:num w:numId="96">
    <w:abstractNumId w:val="43"/>
  </w:num>
  <w:num w:numId="97">
    <w:abstractNumId w:val="6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SortMethod w:val="0000"/>
  <w:defaultTabStop w:val="720"/>
  <w:hyphenationZone w:val="425"/>
  <w:characterSpacingControl w:val="doNotCompress"/>
  <w:hdrShapeDefaults>
    <o:shapedefaults v:ext="edit" spidmax="206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3FE"/>
    <w:rsid w:val="00000334"/>
    <w:rsid w:val="000005FE"/>
    <w:rsid w:val="00005680"/>
    <w:rsid w:val="000058A1"/>
    <w:rsid w:val="000063C9"/>
    <w:rsid w:val="00006B9F"/>
    <w:rsid w:val="00011550"/>
    <w:rsid w:val="00011DD4"/>
    <w:rsid w:val="00012E5A"/>
    <w:rsid w:val="000131A3"/>
    <w:rsid w:val="000135F9"/>
    <w:rsid w:val="00014B89"/>
    <w:rsid w:val="00015214"/>
    <w:rsid w:val="00017256"/>
    <w:rsid w:val="000172FC"/>
    <w:rsid w:val="000173B3"/>
    <w:rsid w:val="00020D44"/>
    <w:rsid w:val="00021A39"/>
    <w:rsid w:val="00022715"/>
    <w:rsid w:val="000229EF"/>
    <w:rsid w:val="00022E1D"/>
    <w:rsid w:val="000251F1"/>
    <w:rsid w:val="00025E7D"/>
    <w:rsid w:val="00031F08"/>
    <w:rsid w:val="00032B71"/>
    <w:rsid w:val="00033FC8"/>
    <w:rsid w:val="00035845"/>
    <w:rsid w:val="00035DBA"/>
    <w:rsid w:val="00037C17"/>
    <w:rsid w:val="00040464"/>
    <w:rsid w:val="00041DB4"/>
    <w:rsid w:val="000429AC"/>
    <w:rsid w:val="00042B6A"/>
    <w:rsid w:val="00042B99"/>
    <w:rsid w:val="00043BD3"/>
    <w:rsid w:val="00043CF2"/>
    <w:rsid w:val="00045ECD"/>
    <w:rsid w:val="00045FE8"/>
    <w:rsid w:val="000516C4"/>
    <w:rsid w:val="000517C0"/>
    <w:rsid w:val="00052768"/>
    <w:rsid w:val="00052EA7"/>
    <w:rsid w:val="00053D7B"/>
    <w:rsid w:val="0005400F"/>
    <w:rsid w:val="00055C2E"/>
    <w:rsid w:val="000576C3"/>
    <w:rsid w:val="00057C98"/>
    <w:rsid w:val="000604BF"/>
    <w:rsid w:val="00061C6E"/>
    <w:rsid w:val="000637A6"/>
    <w:rsid w:val="00065D26"/>
    <w:rsid w:val="0006696D"/>
    <w:rsid w:val="00066BBA"/>
    <w:rsid w:val="00066F34"/>
    <w:rsid w:val="000709B9"/>
    <w:rsid w:val="00071509"/>
    <w:rsid w:val="00072349"/>
    <w:rsid w:val="000726EA"/>
    <w:rsid w:val="00072858"/>
    <w:rsid w:val="00072B76"/>
    <w:rsid w:val="000730F3"/>
    <w:rsid w:val="0007715B"/>
    <w:rsid w:val="000808A3"/>
    <w:rsid w:val="000810F6"/>
    <w:rsid w:val="00081C31"/>
    <w:rsid w:val="00083DD5"/>
    <w:rsid w:val="00084DFA"/>
    <w:rsid w:val="00090C7A"/>
    <w:rsid w:val="0009224F"/>
    <w:rsid w:val="00092341"/>
    <w:rsid w:val="00092877"/>
    <w:rsid w:val="00093F81"/>
    <w:rsid w:val="0009411F"/>
    <w:rsid w:val="0009444A"/>
    <w:rsid w:val="00094645"/>
    <w:rsid w:val="00094F54"/>
    <w:rsid w:val="00095A8D"/>
    <w:rsid w:val="000961D8"/>
    <w:rsid w:val="00096C42"/>
    <w:rsid w:val="000A05DB"/>
    <w:rsid w:val="000A39BD"/>
    <w:rsid w:val="000A3D42"/>
    <w:rsid w:val="000A44F3"/>
    <w:rsid w:val="000A5514"/>
    <w:rsid w:val="000A61CB"/>
    <w:rsid w:val="000A66A9"/>
    <w:rsid w:val="000A783D"/>
    <w:rsid w:val="000A7F05"/>
    <w:rsid w:val="000B1D31"/>
    <w:rsid w:val="000B2077"/>
    <w:rsid w:val="000B2E3C"/>
    <w:rsid w:val="000B438F"/>
    <w:rsid w:val="000B4403"/>
    <w:rsid w:val="000B493A"/>
    <w:rsid w:val="000B5F92"/>
    <w:rsid w:val="000B60AC"/>
    <w:rsid w:val="000B6C05"/>
    <w:rsid w:val="000B6D74"/>
    <w:rsid w:val="000C1BB4"/>
    <w:rsid w:val="000C20BD"/>
    <w:rsid w:val="000C2750"/>
    <w:rsid w:val="000C2B24"/>
    <w:rsid w:val="000C3230"/>
    <w:rsid w:val="000C3C7F"/>
    <w:rsid w:val="000C4E5A"/>
    <w:rsid w:val="000C5EA5"/>
    <w:rsid w:val="000D1B02"/>
    <w:rsid w:val="000D2DE0"/>
    <w:rsid w:val="000D5A99"/>
    <w:rsid w:val="000D67AE"/>
    <w:rsid w:val="000E2C94"/>
    <w:rsid w:val="000E4AA4"/>
    <w:rsid w:val="000E6138"/>
    <w:rsid w:val="000F31B2"/>
    <w:rsid w:val="000F3629"/>
    <w:rsid w:val="000F37D4"/>
    <w:rsid w:val="000F3BFF"/>
    <w:rsid w:val="000F3C7C"/>
    <w:rsid w:val="000F4404"/>
    <w:rsid w:val="000F5A5C"/>
    <w:rsid w:val="000F5C22"/>
    <w:rsid w:val="000F71BD"/>
    <w:rsid w:val="000F785A"/>
    <w:rsid w:val="001008F5"/>
    <w:rsid w:val="00100F61"/>
    <w:rsid w:val="0010113D"/>
    <w:rsid w:val="001016CC"/>
    <w:rsid w:val="001018AB"/>
    <w:rsid w:val="00102A6C"/>
    <w:rsid w:val="0010462B"/>
    <w:rsid w:val="00106067"/>
    <w:rsid w:val="00110C92"/>
    <w:rsid w:val="00110F65"/>
    <w:rsid w:val="00112649"/>
    <w:rsid w:val="001142BC"/>
    <w:rsid w:val="0011439F"/>
    <w:rsid w:val="00115A15"/>
    <w:rsid w:val="00116819"/>
    <w:rsid w:val="001177F7"/>
    <w:rsid w:val="00117DC5"/>
    <w:rsid w:val="00120523"/>
    <w:rsid w:val="00120650"/>
    <w:rsid w:val="001208AE"/>
    <w:rsid w:val="00120B4B"/>
    <w:rsid w:val="00123AD3"/>
    <w:rsid w:val="0012599A"/>
    <w:rsid w:val="001265CF"/>
    <w:rsid w:val="001267CA"/>
    <w:rsid w:val="00127AE6"/>
    <w:rsid w:val="00130191"/>
    <w:rsid w:val="00132576"/>
    <w:rsid w:val="0013283B"/>
    <w:rsid w:val="00132A29"/>
    <w:rsid w:val="00134E92"/>
    <w:rsid w:val="001351C0"/>
    <w:rsid w:val="00136294"/>
    <w:rsid w:val="001362AF"/>
    <w:rsid w:val="00137513"/>
    <w:rsid w:val="001411CB"/>
    <w:rsid w:val="00143A60"/>
    <w:rsid w:val="00144AD8"/>
    <w:rsid w:val="001457BC"/>
    <w:rsid w:val="00147347"/>
    <w:rsid w:val="00147CE0"/>
    <w:rsid w:val="00153E97"/>
    <w:rsid w:val="00156FD1"/>
    <w:rsid w:val="00157BD7"/>
    <w:rsid w:val="00157E6E"/>
    <w:rsid w:val="001616A1"/>
    <w:rsid w:val="0016189E"/>
    <w:rsid w:val="00162B0D"/>
    <w:rsid w:val="00163881"/>
    <w:rsid w:val="00165112"/>
    <w:rsid w:val="001657EF"/>
    <w:rsid w:val="001659E4"/>
    <w:rsid w:val="00166337"/>
    <w:rsid w:val="00166757"/>
    <w:rsid w:val="00167200"/>
    <w:rsid w:val="001708B9"/>
    <w:rsid w:val="00171273"/>
    <w:rsid w:val="0017280D"/>
    <w:rsid w:val="0017318A"/>
    <w:rsid w:val="00174FEF"/>
    <w:rsid w:val="001757CE"/>
    <w:rsid w:val="0017585F"/>
    <w:rsid w:val="001808D2"/>
    <w:rsid w:val="00180BDA"/>
    <w:rsid w:val="00180E1E"/>
    <w:rsid w:val="0018108F"/>
    <w:rsid w:val="00183E0D"/>
    <w:rsid w:val="0018451F"/>
    <w:rsid w:val="001845D0"/>
    <w:rsid w:val="00186929"/>
    <w:rsid w:val="00186FC8"/>
    <w:rsid w:val="0019043F"/>
    <w:rsid w:val="0019144B"/>
    <w:rsid w:val="001925C1"/>
    <w:rsid w:val="00193B84"/>
    <w:rsid w:val="00193D43"/>
    <w:rsid w:val="001945F9"/>
    <w:rsid w:val="00195734"/>
    <w:rsid w:val="00195CAE"/>
    <w:rsid w:val="00195F15"/>
    <w:rsid w:val="00195F7B"/>
    <w:rsid w:val="00197155"/>
    <w:rsid w:val="001975EF"/>
    <w:rsid w:val="0019765A"/>
    <w:rsid w:val="001A0292"/>
    <w:rsid w:val="001A0962"/>
    <w:rsid w:val="001A45CF"/>
    <w:rsid w:val="001A4DEE"/>
    <w:rsid w:val="001A582C"/>
    <w:rsid w:val="001A65CF"/>
    <w:rsid w:val="001B0F94"/>
    <w:rsid w:val="001B21F8"/>
    <w:rsid w:val="001B4781"/>
    <w:rsid w:val="001B49AF"/>
    <w:rsid w:val="001B52AB"/>
    <w:rsid w:val="001B535E"/>
    <w:rsid w:val="001B5C19"/>
    <w:rsid w:val="001B73AD"/>
    <w:rsid w:val="001B7757"/>
    <w:rsid w:val="001B7E58"/>
    <w:rsid w:val="001C0133"/>
    <w:rsid w:val="001C3BE7"/>
    <w:rsid w:val="001C487B"/>
    <w:rsid w:val="001C7535"/>
    <w:rsid w:val="001D03A7"/>
    <w:rsid w:val="001D2671"/>
    <w:rsid w:val="001D4B22"/>
    <w:rsid w:val="001D50C3"/>
    <w:rsid w:val="001D52E4"/>
    <w:rsid w:val="001D6822"/>
    <w:rsid w:val="001D6F81"/>
    <w:rsid w:val="001D7490"/>
    <w:rsid w:val="001E016B"/>
    <w:rsid w:val="001E125E"/>
    <w:rsid w:val="001E293A"/>
    <w:rsid w:val="001E4462"/>
    <w:rsid w:val="001E450C"/>
    <w:rsid w:val="001E6E19"/>
    <w:rsid w:val="001E7D3E"/>
    <w:rsid w:val="001F0AC6"/>
    <w:rsid w:val="001F1079"/>
    <w:rsid w:val="001F38BE"/>
    <w:rsid w:val="001F4B59"/>
    <w:rsid w:val="001F61B8"/>
    <w:rsid w:val="001F6839"/>
    <w:rsid w:val="002019FC"/>
    <w:rsid w:val="00202F6F"/>
    <w:rsid w:val="00204CBA"/>
    <w:rsid w:val="00212852"/>
    <w:rsid w:val="00212CDB"/>
    <w:rsid w:val="00213931"/>
    <w:rsid w:val="00214566"/>
    <w:rsid w:val="00215563"/>
    <w:rsid w:val="002164ED"/>
    <w:rsid w:val="002167D2"/>
    <w:rsid w:val="00216CF6"/>
    <w:rsid w:val="00217747"/>
    <w:rsid w:val="00220492"/>
    <w:rsid w:val="00220CCF"/>
    <w:rsid w:val="00220CE4"/>
    <w:rsid w:val="00220CEC"/>
    <w:rsid w:val="0022232D"/>
    <w:rsid w:val="0022322B"/>
    <w:rsid w:val="002239BD"/>
    <w:rsid w:val="00227F1F"/>
    <w:rsid w:val="00230B49"/>
    <w:rsid w:val="00230B7E"/>
    <w:rsid w:val="00231B44"/>
    <w:rsid w:val="0023344F"/>
    <w:rsid w:val="002340B6"/>
    <w:rsid w:val="00234BA2"/>
    <w:rsid w:val="00235284"/>
    <w:rsid w:val="00235582"/>
    <w:rsid w:val="0023699A"/>
    <w:rsid w:val="002370AB"/>
    <w:rsid w:val="00237872"/>
    <w:rsid w:val="00242795"/>
    <w:rsid w:val="00244010"/>
    <w:rsid w:val="00244915"/>
    <w:rsid w:val="002512EF"/>
    <w:rsid w:val="002519EE"/>
    <w:rsid w:val="00252514"/>
    <w:rsid w:val="00253D2A"/>
    <w:rsid w:val="00254E12"/>
    <w:rsid w:val="00255B0C"/>
    <w:rsid w:val="00255D53"/>
    <w:rsid w:val="00260CDE"/>
    <w:rsid w:val="00261E3B"/>
    <w:rsid w:val="00261E5F"/>
    <w:rsid w:val="002624DF"/>
    <w:rsid w:val="00262F61"/>
    <w:rsid w:val="00263DAE"/>
    <w:rsid w:val="002640B5"/>
    <w:rsid w:val="00264D10"/>
    <w:rsid w:val="002651BD"/>
    <w:rsid w:val="0026705D"/>
    <w:rsid w:val="00267D70"/>
    <w:rsid w:val="002713F0"/>
    <w:rsid w:val="00271695"/>
    <w:rsid w:val="00272A78"/>
    <w:rsid w:val="00272F3D"/>
    <w:rsid w:val="00274949"/>
    <w:rsid w:val="00274C23"/>
    <w:rsid w:val="00275C4A"/>
    <w:rsid w:val="00284D72"/>
    <w:rsid w:val="002866FF"/>
    <w:rsid w:val="002867E7"/>
    <w:rsid w:val="00292D75"/>
    <w:rsid w:val="002930B2"/>
    <w:rsid w:val="002937CD"/>
    <w:rsid w:val="00294819"/>
    <w:rsid w:val="00294BBA"/>
    <w:rsid w:val="00295586"/>
    <w:rsid w:val="00295ECD"/>
    <w:rsid w:val="002962BF"/>
    <w:rsid w:val="00297214"/>
    <w:rsid w:val="002A0E97"/>
    <w:rsid w:val="002A13EF"/>
    <w:rsid w:val="002A2AE2"/>
    <w:rsid w:val="002A4002"/>
    <w:rsid w:val="002B13EC"/>
    <w:rsid w:val="002B1B99"/>
    <w:rsid w:val="002B2376"/>
    <w:rsid w:val="002B25BF"/>
    <w:rsid w:val="002B37E9"/>
    <w:rsid w:val="002B4054"/>
    <w:rsid w:val="002B4D02"/>
    <w:rsid w:val="002B6284"/>
    <w:rsid w:val="002B63DA"/>
    <w:rsid w:val="002B6D2E"/>
    <w:rsid w:val="002B6E06"/>
    <w:rsid w:val="002C18DA"/>
    <w:rsid w:val="002C3BCC"/>
    <w:rsid w:val="002C4B75"/>
    <w:rsid w:val="002C5FEA"/>
    <w:rsid w:val="002C690A"/>
    <w:rsid w:val="002C6E97"/>
    <w:rsid w:val="002C6F50"/>
    <w:rsid w:val="002C72AA"/>
    <w:rsid w:val="002C7C62"/>
    <w:rsid w:val="002D085E"/>
    <w:rsid w:val="002D1D1E"/>
    <w:rsid w:val="002D41F7"/>
    <w:rsid w:val="002D7BFB"/>
    <w:rsid w:val="002E022C"/>
    <w:rsid w:val="002E1C00"/>
    <w:rsid w:val="002E25A0"/>
    <w:rsid w:val="002E3538"/>
    <w:rsid w:val="002E3BAE"/>
    <w:rsid w:val="002E4C1A"/>
    <w:rsid w:val="002E55B0"/>
    <w:rsid w:val="002E7099"/>
    <w:rsid w:val="002E79C6"/>
    <w:rsid w:val="002F0388"/>
    <w:rsid w:val="002F2771"/>
    <w:rsid w:val="002F4450"/>
    <w:rsid w:val="002F5462"/>
    <w:rsid w:val="002F56C8"/>
    <w:rsid w:val="002F75BC"/>
    <w:rsid w:val="002F7BAE"/>
    <w:rsid w:val="0030357B"/>
    <w:rsid w:val="00304105"/>
    <w:rsid w:val="00305EA5"/>
    <w:rsid w:val="00305EEE"/>
    <w:rsid w:val="00310AB4"/>
    <w:rsid w:val="00312097"/>
    <w:rsid w:val="003121C1"/>
    <w:rsid w:val="0032044D"/>
    <w:rsid w:val="0032066E"/>
    <w:rsid w:val="00320D28"/>
    <w:rsid w:val="003213F3"/>
    <w:rsid w:val="00321AE1"/>
    <w:rsid w:val="00322F91"/>
    <w:rsid w:val="0032373B"/>
    <w:rsid w:val="00324D59"/>
    <w:rsid w:val="00325FD9"/>
    <w:rsid w:val="003273E7"/>
    <w:rsid w:val="00331D1F"/>
    <w:rsid w:val="00333D70"/>
    <w:rsid w:val="00336C0D"/>
    <w:rsid w:val="00337680"/>
    <w:rsid w:val="00337AB0"/>
    <w:rsid w:val="00343F35"/>
    <w:rsid w:val="003503DF"/>
    <w:rsid w:val="00350A24"/>
    <w:rsid w:val="00351C61"/>
    <w:rsid w:val="003522BF"/>
    <w:rsid w:val="003536B5"/>
    <w:rsid w:val="0035442D"/>
    <w:rsid w:val="00356E52"/>
    <w:rsid w:val="00357A3C"/>
    <w:rsid w:val="00357E4F"/>
    <w:rsid w:val="003612CF"/>
    <w:rsid w:val="00361D85"/>
    <w:rsid w:val="00362CEB"/>
    <w:rsid w:val="00363ABD"/>
    <w:rsid w:val="00363C7B"/>
    <w:rsid w:val="00363FAB"/>
    <w:rsid w:val="00365C40"/>
    <w:rsid w:val="00366C89"/>
    <w:rsid w:val="003672A5"/>
    <w:rsid w:val="0036797A"/>
    <w:rsid w:val="0037019A"/>
    <w:rsid w:val="00372D47"/>
    <w:rsid w:val="00375393"/>
    <w:rsid w:val="00375D3D"/>
    <w:rsid w:val="00375EB8"/>
    <w:rsid w:val="00376134"/>
    <w:rsid w:val="00376317"/>
    <w:rsid w:val="0037660E"/>
    <w:rsid w:val="00377AE4"/>
    <w:rsid w:val="00377B4C"/>
    <w:rsid w:val="00377D44"/>
    <w:rsid w:val="003810B3"/>
    <w:rsid w:val="0038122E"/>
    <w:rsid w:val="00382B24"/>
    <w:rsid w:val="00384353"/>
    <w:rsid w:val="003853E2"/>
    <w:rsid w:val="003863C7"/>
    <w:rsid w:val="0039181B"/>
    <w:rsid w:val="003918B4"/>
    <w:rsid w:val="003923FD"/>
    <w:rsid w:val="0039267B"/>
    <w:rsid w:val="00395D0D"/>
    <w:rsid w:val="003973F8"/>
    <w:rsid w:val="003A064B"/>
    <w:rsid w:val="003A0AF6"/>
    <w:rsid w:val="003A1C6F"/>
    <w:rsid w:val="003A360C"/>
    <w:rsid w:val="003A3A4D"/>
    <w:rsid w:val="003A494E"/>
    <w:rsid w:val="003A7C27"/>
    <w:rsid w:val="003B3379"/>
    <w:rsid w:val="003B3987"/>
    <w:rsid w:val="003B3C47"/>
    <w:rsid w:val="003B3F96"/>
    <w:rsid w:val="003B6522"/>
    <w:rsid w:val="003B679F"/>
    <w:rsid w:val="003B76EC"/>
    <w:rsid w:val="003B7B77"/>
    <w:rsid w:val="003C12AF"/>
    <w:rsid w:val="003C34B8"/>
    <w:rsid w:val="003C4BE4"/>
    <w:rsid w:val="003C4DE4"/>
    <w:rsid w:val="003C4E87"/>
    <w:rsid w:val="003C65FF"/>
    <w:rsid w:val="003C77AB"/>
    <w:rsid w:val="003D0493"/>
    <w:rsid w:val="003D16ED"/>
    <w:rsid w:val="003D1A80"/>
    <w:rsid w:val="003D54BF"/>
    <w:rsid w:val="003D5AD9"/>
    <w:rsid w:val="003D6E98"/>
    <w:rsid w:val="003D7F8B"/>
    <w:rsid w:val="003E108C"/>
    <w:rsid w:val="003E138D"/>
    <w:rsid w:val="003E1820"/>
    <w:rsid w:val="003E1CD0"/>
    <w:rsid w:val="003E2349"/>
    <w:rsid w:val="003E3540"/>
    <w:rsid w:val="003E49BA"/>
    <w:rsid w:val="003E761D"/>
    <w:rsid w:val="003F0749"/>
    <w:rsid w:val="003F2224"/>
    <w:rsid w:val="003F2F79"/>
    <w:rsid w:val="003F4EDC"/>
    <w:rsid w:val="003F5A01"/>
    <w:rsid w:val="003F7332"/>
    <w:rsid w:val="00402CBB"/>
    <w:rsid w:val="00402D56"/>
    <w:rsid w:val="00404077"/>
    <w:rsid w:val="004041A9"/>
    <w:rsid w:val="00404297"/>
    <w:rsid w:val="004052BC"/>
    <w:rsid w:val="0040530D"/>
    <w:rsid w:val="004056F8"/>
    <w:rsid w:val="004066C3"/>
    <w:rsid w:val="00411284"/>
    <w:rsid w:val="00412EA0"/>
    <w:rsid w:val="004160D6"/>
    <w:rsid w:val="00420811"/>
    <w:rsid w:val="00420E07"/>
    <w:rsid w:val="00424B46"/>
    <w:rsid w:val="00425F9A"/>
    <w:rsid w:val="004260CE"/>
    <w:rsid w:val="004265FD"/>
    <w:rsid w:val="0043006A"/>
    <w:rsid w:val="004312D5"/>
    <w:rsid w:val="004314E1"/>
    <w:rsid w:val="00431E74"/>
    <w:rsid w:val="00432002"/>
    <w:rsid w:val="00434B3C"/>
    <w:rsid w:val="00436B1D"/>
    <w:rsid w:val="00436E4A"/>
    <w:rsid w:val="00440582"/>
    <w:rsid w:val="0044117C"/>
    <w:rsid w:val="004427DE"/>
    <w:rsid w:val="00442BFF"/>
    <w:rsid w:val="00444397"/>
    <w:rsid w:val="0044558B"/>
    <w:rsid w:val="00447916"/>
    <w:rsid w:val="0045006A"/>
    <w:rsid w:val="004509E3"/>
    <w:rsid w:val="00451AD9"/>
    <w:rsid w:val="00451C51"/>
    <w:rsid w:val="00452ABB"/>
    <w:rsid w:val="00452BD2"/>
    <w:rsid w:val="004533F9"/>
    <w:rsid w:val="0045650C"/>
    <w:rsid w:val="0045730E"/>
    <w:rsid w:val="004627B0"/>
    <w:rsid w:val="00465882"/>
    <w:rsid w:val="004677F8"/>
    <w:rsid w:val="00470C21"/>
    <w:rsid w:val="00472F0F"/>
    <w:rsid w:val="00473614"/>
    <w:rsid w:val="00473B91"/>
    <w:rsid w:val="004806C5"/>
    <w:rsid w:val="00484356"/>
    <w:rsid w:val="0048498B"/>
    <w:rsid w:val="0048525B"/>
    <w:rsid w:val="004860A3"/>
    <w:rsid w:val="0048624A"/>
    <w:rsid w:val="00486736"/>
    <w:rsid w:val="00487999"/>
    <w:rsid w:val="00487EB8"/>
    <w:rsid w:val="00491526"/>
    <w:rsid w:val="00492028"/>
    <w:rsid w:val="00494A36"/>
    <w:rsid w:val="00495619"/>
    <w:rsid w:val="004977BE"/>
    <w:rsid w:val="00497CFA"/>
    <w:rsid w:val="004A0742"/>
    <w:rsid w:val="004A0DCC"/>
    <w:rsid w:val="004A4506"/>
    <w:rsid w:val="004A5145"/>
    <w:rsid w:val="004A5EA8"/>
    <w:rsid w:val="004A6133"/>
    <w:rsid w:val="004A6AF4"/>
    <w:rsid w:val="004A6C1B"/>
    <w:rsid w:val="004B0B22"/>
    <w:rsid w:val="004B34E8"/>
    <w:rsid w:val="004B55AE"/>
    <w:rsid w:val="004B6258"/>
    <w:rsid w:val="004C0E4D"/>
    <w:rsid w:val="004C1017"/>
    <w:rsid w:val="004C183C"/>
    <w:rsid w:val="004C2616"/>
    <w:rsid w:val="004C623A"/>
    <w:rsid w:val="004C63A8"/>
    <w:rsid w:val="004D0D6D"/>
    <w:rsid w:val="004D11D7"/>
    <w:rsid w:val="004D159E"/>
    <w:rsid w:val="004D1F57"/>
    <w:rsid w:val="004D2EA9"/>
    <w:rsid w:val="004D3B8A"/>
    <w:rsid w:val="004D49FC"/>
    <w:rsid w:val="004D58CE"/>
    <w:rsid w:val="004D661F"/>
    <w:rsid w:val="004E0A2C"/>
    <w:rsid w:val="004E0D08"/>
    <w:rsid w:val="004E3155"/>
    <w:rsid w:val="004E3A07"/>
    <w:rsid w:val="004E3E7D"/>
    <w:rsid w:val="004E58F8"/>
    <w:rsid w:val="004E6992"/>
    <w:rsid w:val="004E71C0"/>
    <w:rsid w:val="004E7BDE"/>
    <w:rsid w:val="004E7FA3"/>
    <w:rsid w:val="004F290D"/>
    <w:rsid w:val="004F2CEE"/>
    <w:rsid w:val="004F3CBB"/>
    <w:rsid w:val="004F47B4"/>
    <w:rsid w:val="004F4A4B"/>
    <w:rsid w:val="004F5380"/>
    <w:rsid w:val="004F7EAB"/>
    <w:rsid w:val="005004C0"/>
    <w:rsid w:val="005015F0"/>
    <w:rsid w:val="00501EFF"/>
    <w:rsid w:val="00502154"/>
    <w:rsid w:val="0050296C"/>
    <w:rsid w:val="00503157"/>
    <w:rsid w:val="00504856"/>
    <w:rsid w:val="00507A71"/>
    <w:rsid w:val="00507D7D"/>
    <w:rsid w:val="00507E6C"/>
    <w:rsid w:val="00511CC5"/>
    <w:rsid w:val="00512D5A"/>
    <w:rsid w:val="00512F8F"/>
    <w:rsid w:val="005145CC"/>
    <w:rsid w:val="00520A0C"/>
    <w:rsid w:val="00520B86"/>
    <w:rsid w:val="00522423"/>
    <w:rsid w:val="00523F6F"/>
    <w:rsid w:val="00526863"/>
    <w:rsid w:val="00526D31"/>
    <w:rsid w:val="005270F9"/>
    <w:rsid w:val="00527BCC"/>
    <w:rsid w:val="00527D72"/>
    <w:rsid w:val="00530886"/>
    <w:rsid w:val="005308BE"/>
    <w:rsid w:val="00530F84"/>
    <w:rsid w:val="00531801"/>
    <w:rsid w:val="00532F51"/>
    <w:rsid w:val="00542505"/>
    <w:rsid w:val="00543BA8"/>
    <w:rsid w:val="005454BC"/>
    <w:rsid w:val="00545593"/>
    <w:rsid w:val="005473F3"/>
    <w:rsid w:val="0054741F"/>
    <w:rsid w:val="005513EB"/>
    <w:rsid w:val="00560C96"/>
    <w:rsid w:val="00560D57"/>
    <w:rsid w:val="00561C52"/>
    <w:rsid w:val="00563C6F"/>
    <w:rsid w:val="00564F21"/>
    <w:rsid w:val="00566556"/>
    <w:rsid w:val="00566C4C"/>
    <w:rsid w:val="005676F0"/>
    <w:rsid w:val="00570C44"/>
    <w:rsid w:val="00573556"/>
    <w:rsid w:val="00573D2F"/>
    <w:rsid w:val="0057510A"/>
    <w:rsid w:val="0057637C"/>
    <w:rsid w:val="005775F7"/>
    <w:rsid w:val="005810D9"/>
    <w:rsid w:val="005843DE"/>
    <w:rsid w:val="005847CD"/>
    <w:rsid w:val="00585853"/>
    <w:rsid w:val="00586F3E"/>
    <w:rsid w:val="005902D8"/>
    <w:rsid w:val="0059053C"/>
    <w:rsid w:val="00590694"/>
    <w:rsid w:val="00592E11"/>
    <w:rsid w:val="00592E6C"/>
    <w:rsid w:val="00593BF7"/>
    <w:rsid w:val="00593CD9"/>
    <w:rsid w:val="0059457A"/>
    <w:rsid w:val="00595170"/>
    <w:rsid w:val="005951FB"/>
    <w:rsid w:val="005967D7"/>
    <w:rsid w:val="0059682F"/>
    <w:rsid w:val="005969FB"/>
    <w:rsid w:val="00596AE3"/>
    <w:rsid w:val="00596E75"/>
    <w:rsid w:val="005975D8"/>
    <w:rsid w:val="00597AE6"/>
    <w:rsid w:val="005A29A3"/>
    <w:rsid w:val="005A35AB"/>
    <w:rsid w:val="005A45C7"/>
    <w:rsid w:val="005A4733"/>
    <w:rsid w:val="005A4C04"/>
    <w:rsid w:val="005A4DB1"/>
    <w:rsid w:val="005A4FDE"/>
    <w:rsid w:val="005A6464"/>
    <w:rsid w:val="005A6E7A"/>
    <w:rsid w:val="005B0592"/>
    <w:rsid w:val="005B0EA1"/>
    <w:rsid w:val="005B39FA"/>
    <w:rsid w:val="005B5956"/>
    <w:rsid w:val="005B6911"/>
    <w:rsid w:val="005B6B53"/>
    <w:rsid w:val="005C205F"/>
    <w:rsid w:val="005C2D89"/>
    <w:rsid w:val="005C4CE4"/>
    <w:rsid w:val="005C6341"/>
    <w:rsid w:val="005D05CF"/>
    <w:rsid w:val="005D3CF7"/>
    <w:rsid w:val="005D4417"/>
    <w:rsid w:val="005D4F99"/>
    <w:rsid w:val="005D52FD"/>
    <w:rsid w:val="005D5512"/>
    <w:rsid w:val="005D5CF6"/>
    <w:rsid w:val="005D77DA"/>
    <w:rsid w:val="005E03AF"/>
    <w:rsid w:val="005E3501"/>
    <w:rsid w:val="005E64D5"/>
    <w:rsid w:val="005E65DB"/>
    <w:rsid w:val="005F1968"/>
    <w:rsid w:val="005F1CDE"/>
    <w:rsid w:val="005F2159"/>
    <w:rsid w:val="005F2C8D"/>
    <w:rsid w:val="005F3082"/>
    <w:rsid w:val="005F3D7B"/>
    <w:rsid w:val="005F525A"/>
    <w:rsid w:val="005F54F5"/>
    <w:rsid w:val="005F5563"/>
    <w:rsid w:val="005F5A7D"/>
    <w:rsid w:val="005F5F5B"/>
    <w:rsid w:val="005F68FD"/>
    <w:rsid w:val="005F74C0"/>
    <w:rsid w:val="00601161"/>
    <w:rsid w:val="00602056"/>
    <w:rsid w:val="006023A0"/>
    <w:rsid w:val="00602782"/>
    <w:rsid w:val="00604D90"/>
    <w:rsid w:val="00605199"/>
    <w:rsid w:val="00605C16"/>
    <w:rsid w:val="0061057F"/>
    <w:rsid w:val="00610D63"/>
    <w:rsid w:val="00611821"/>
    <w:rsid w:val="00612222"/>
    <w:rsid w:val="0061285D"/>
    <w:rsid w:val="006144AD"/>
    <w:rsid w:val="00621D34"/>
    <w:rsid w:val="0062361B"/>
    <w:rsid w:val="00624AB9"/>
    <w:rsid w:val="00624C5E"/>
    <w:rsid w:val="00626FD8"/>
    <w:rsid w:val="006316A8"/>
    <w:rsid w:val="006320DB"/>
    <w:rsid w:val="006325C6"/>
    <w:rsid w:val="00633BD0"/>
    <w:rsid w:val="00634260"/>
    <w:rsid w:val="0063441D"/>
    <w:rsid w:val="006346F9"/>
    <w:rsid w:val="00634F2D"/>
    <w:rsid w:val="0063693E"/>
    <w:rsid w:val="00636F50"/>
    <w:rsid w:val="00640E86"/>
    <w:rsid w:val="00641C24"/>
    <w:rsid w:val="006436E5"/>
    <w:rsid w:val="006464CD"/>
    <w:rsid w:val="00650D85"/>
    <w:rsid w:val="006528C9"/>
    <w:rsid w:val="006540ED"/>
    <w:rsid w:val="00654546"/>
    <w:rsid w:val="0065467D"/>
    <w:rsid w:val="00655889"/>
    <w:rsid w:val="00657E9F"/>
    <w:rsid w:val="006609D8"/>
    <w:rsid w:val="00660C0C"/>
    <w:rsid w:val="00661EAF"/>
    <w:rsid w:val="00662DAD"/>
    <w:rsid w:val="0066395C"/>
    <w:rsid w:val="00665515"/>
    <w:rsid w:val="006673E8"/>
    <w:rsid w:val="00671645"/>
    <w:rsid w:val="00671CBD"/>
    <w:rsid w:val="00671EC0"/>
    <w:rsid w:val="006759E4"/>
    <w:rsid w:val="00675ACB"/>
    <w:rsid w:val="00676F48"/>
    <w:rsid w:val="0067770B"/>
    <w:rsid w:val="00680A72"/>
    <w:rsid w:val="00682EC5"/>
    <w:rsid w:val="00684A9E"/>
    <w:rsid w:val="00684B44"/>
    <w:rsid w:val="006855C0"/>
    <w:rsid w:val="006856D4"/>
    <w:rsid w:val="00685E83"/>
    <w:rsid w:val="00686056"/>
    <w:rsid w:val="00686763"/>
    <w:rsid w:val="00690C1E"/>
    <w:rsid w:val="00691C32"/>
    <w:rsid w:val="006944FB"/>
    <w:rsid w:val="00695590"/>
    <w:rsid w:val="00695628"/>
    <w:rsid w:val="00695F18"/>
    <w:rsid w:val="006A27B4"/>
    <w:rsid w:val="006A27FF"/>
    <w:rsid w:val="006A3A79"/>
    <w:rsid w:val="006A473D"/>
    <w:rsid w:val="006A579E"/>
    <w:rsid w:val="006B0513"/>
    <w:rsid w:val="006B06F3"/>
    <w:rsid w:val="006B16E0"/>
    <w:rsid w:val="006B1D99"/>
    <w:rsid w:val="006B24BB"/>
    <w:rsid w:val="006B30D1"/>
    <w:rsid w:val="006B3C11"/>
    <w:rsid w:val="006B4816"/>
    <w:rsid w:val="006B6D9C"/>
    <w:rsid w:val="006B729F"/>
    <w:rsid w:val="006B7E82"/>
    <w:rsid w:val="006C02E4"/>
    <w:rsid w:val="006C0B23"/>
    <w:rsid w:val="006C1B91"/>
    <w:rsid w:val="006C37CF"/>
    <w:rsid w:val="006C392F"/>
    <w:rsid w:val="006C439F"/>
    <w:rsid w:val="006C4A21"/>
    <w:rsid w:val="006C4B84"/>
    <w:rsid w:val="006C5AD3"/>
    <w:rsid w:val="006C617F"/>
    <w:rsid w:val="006C647F"/>
    <w:rsid w:val="006C6C33"/>
    <w:rsid w:val="006D01E3"/>
    <w:rsid w:val="006D0F1F"/>
    <w:rsid w:val="006D1220"/>
    <w:rsid w:val="006D1F76"/>
    <w:rsid w:val="006D6A17"/>
    <w:rsid w:val="006D749F"/>
    <w:rsid w:val="006D77C7"/>
    <w:rsid w:val="006D7902"/>
    <w:rsid w:val="006E0085"/>
    <w:rsid w:val="006E34F5"/>
    <w:rsid w:val="006E6FAC"/>
    <w:rsid w:val="006F0DBC"/>
    <w:rsid w:val="006F65CA"/>
    <w:rsid w:val="006F6F8B"/>
    <w:rsid w:val="006F72B6"/>
    <w:rsid w:val="00700B4D"/>
    <w:rsid w:val="007013A8"/>
    <w:rsid w:val="00701494"/>
    <w:rsid w:val="00702E31"/>
    <w:rsid w:val="00705766"/>
    <w:rsid w:val="0070591E"/>
    <w:rsid w:val="00705E85"/>
    <w:rsid w:val="007066F2"/>
    <w:rsid w:val="007071A0"/>
    <w:rsid w:val="0071077B"/>
    <w:rsid w:val="007121A8"/>
    <w:rsid w:val="00713E1F"/>
    <w:rsid w:val="00714470"/>
    <w:rsid w:val="007144F4"/>
    <w:rsid w:val="00714778"/>
    <w:rsid w:val="0071610A"/>
    <w:rsid w:val="007172D9"/>
    <w:rsid w:val="00717D06"/>
    <w:rsid w:val="00720888"/>
    <w:rsid w:val="0072138D"/>
    <w:rsid w:val="007237AF"/>
    <w:rsid w:val="00724194"/>
    <w:rsid w:val="00725323"/>
    <w:rsid w:val="00725CA5"/>
    <w:rsid w:val="007263D5"/>
    <w:rsid w:val="0072746D"/>
    <w:rsid w:val="007303A8"/>
    <w:rsid w:val="00730CCA"/>
    <w:rsid w:val="007312AA"/>
    <w:rsid w:val="007339D0"/>
    <w:rsid w:val="00734C1B"/>
    <w:rsid w:val="00734EAB"/>
    <w:rsid w:val="00736A98"/>
    <w:rsid w:val="007373A9"/>
    <w:rsid w:val="0074207A"/>
    <w:rsid w:val="00743491"/>
    <w:rsid w:val="00744F8E"/>
    <w:rsid w:val="00745DF4"/>
    <w:rsid w:val="007460A4"/>
    <w:rsid w:val="007478C7"/>
    <w:rsid w:val="0075094A"/>
    <w:rsid w:val="00750D3B"/>
    <w:rsid w:val="0075159B"/>
    <w:rsid w:val="007516F0"/>
    <w:rsid w:val="00751A2E"/>
    <w:rsid w:val="007525D3"/>
    <w:rsid w:val="00753A99"/>
    <w:rsid w:val="007550AB"/>
    <w:rsid w:val="007553AA"/>
    <w:rsid w:val="0076022E"/>
    <w:rsid w:val="007640E7"/>
    <w:rsid w:val="007653DA"/>
    <w:rsid w:val="0076614E"/>
    <w:rsid w:val="007667B1"/>
    <w:rsid w:val="00772986"/>
    <w:rsid w:val="00773725"/>
    <w:rsid w:val="00774BBB"/>
    <w:rsid w:val="007752A1"/>
    <w:rsid w:val="00776184"/>
    <w:rsid w:val="00777313"/>
    <w:rsid w:val="00777893"/>
    <w:rsid w:val="007815C1"/>
    <w:rsid w:val="00782608"/>
    <w:rsid w:val="007844FD"/>
    <w:rsid w:val="0078478C"/>
    <w:rsid w:val="00785215"/>
    <w:rsid w:val="00785725"/>
    <w:rsid w:val="0078691E"/>
    <w:rsid w:val="00790AF8"/>
    <w:rsid w:val="0079305A"/>
    <w:rsid w:val="007947A4"/>
    <w:rsid w:val="00795F3B"/>
    <w:rsid w:val="00796A12"/>
    <w:rsid w:val="00796B77"/>
    <w:rsid w:val="007A1421"/>
    <w:rsid w:val="007A3B2F"/>
    <w:rsid w:val="007A4FB4"/>
    <w:rsid w:val="007A543C"/>
    <w:rsid w:val="007A68E9"/>
    <w:rsid w:val="007A6B2B"/>
    <w:rsid w:val="007A7786"/>
    <w:rsid w:val="007A7918"/>
    <w:rsid w:val="007B0AB5"/>
    <w:rsid w:val="007B0CF2"/>
    <w:rsid w:val="007B11EC"/>
    <w:rsid w:val="007B29C4"/>
    <w:rsid w:val="007B2FB1"/>
    <w:rsid w:val="007B343F"/>
    <w:rsid w:val="007B4243"/>
    <w:rsid w:val="007B4261"/>
    <w:rsid w:val="007B4321"/>
    <w:rsid w:val="007C008A"/>
    <w:rsid w:val="007C0A4D"/>
    <w:rsid w:val="007C0C20"/>
    <w:rsid w:val="007C1087"/>
    <w:rsid w:val="007C1289"/>
    <w:rsid w:val="007C1DC5"/>
    <w:rsid w:val="007C60E0"/>
    <w:rsid w:val="007C6EB8"/>
    <w:rsid w:val="007C7944"/>
    <w:rsid w:val="007C7C55"/>
    <w:rsid w:val="007D2207"/>
    <w:rsid w:val="007D58A7"/>
    <w:rsid w:val="007D5ED1"/>
    <w:rsid w:val="007D6B43"/>
    <w:rsid w:val="007D72F6"/>
    <w:rsid w:val="007D7881"/>
    <w:rsid w:val="007E03C0"/>
    <w:rsid w:val="007E0BDA"/>
    <w:rsid w:val="007E0DF3"/>
    <w:rsid w:val="007E2034"/>
    <w:rsid w:val="007E2836"/>
    <w:rsid w:val="007E330B"/>
    <w:rsid w:val="007E4060"/>
    <w:rsid w:val="007E568A"/>
    <w:rsid w:val="007E62E6"/>
    <w:rsid w:val="007F0629"/>
    <w:rsid w:val="007F0AFF"/>
    <w:rsid w:val="007F0D03"/>
    <w:rsid w:val="007F14C1"/>
    <w:rsid w:val="007F1B61"/>
    <w:rsid w:val="007F4828"/>
    <w:rsid w:val="007F57DA"/>
    <w:rsid w:val="008005C8"/>
    <w:rsid w:val="008006BE"/>
    <w:rsid w:val="00800C1E"/>
    <w:rsid w:val="008011D1"/>
    <w:rsid w:val="0080397A"/>
    <w:rsid w:val="00803BBF"/>
    <w:rsid w:val="00804059"/>
    <w:rsid w:val="00807054"/>
    <w:rsid w:val="0080728A"/>
    <w:rsid w:val="00813086"/>
    <w:rsid w:val="0081335F"/>
    <w:rsid w:val="00813DBC"/>
    <w:rsid w:val="00813F7A"/>
    <w:rsid w:val="0081481E"/>
    <w:rsid w:val="00814E17"/>
    <w:rsid w:val="008159D8"/>
    <w:rsid w:val="00815EBA"/>
    <w:rsid w:val="00816491"/>
    <w:rsid w:val="0082155F"/>
    <w:rsid w:val="00821DD2"/>
    <w:rsid w:val="00821F18"/>
    <w:rsid w:val="00822203"/>
    <w:rsid w:val="00822995"/>
    <w:rsid w:val="00822FC7"/>
    <w:rsid w:val="00825CB7"/>
    <w:rsid w:val="00827A4F"/>
    <w:rsid w:val="00827B37"/>
    <w:rsid w:val="00827CCD"/>
    <w:rsid w:val="008311FE"/>
    <w:rsid w:val="008312BF"/>
    <w:rsid w:val="00833378"/>
    <w:rsid w:val="00837083"/>
    <w:rsid w:val="008376C0"/>
    <w:rsid w:val="0083779A"/>
    <w:rsid w:val="00837F81"/>
    <w:rsid w:val="00840081"/>
    <w:rsid w:val="008407F7"/>
    <w:rsid w:val="00840F1B"/>
    <w:rsid w:val="008424E8"/>
    <w:rsid w:val="00842866"/>
    <w:rsid w:val="00845238"/>
    <w:rsid w:val="00846875"/>
    <w:rsid w:val="008476FF"/>
    <w:rsid w:val="00847AD7"/>
    <w:rsid w:val="00853C21"/>
    <w:rsid w:val="00854AD0"/>
    <w:rsid w:val="00855368"/>
    <w:rsid w:val="00855A9A"/>
    <w:rsid w:val="00856A0E"/>
    <w:rsid w:val="00857388"/>
    <w:rsid w:val="00860174"/>
    <w:rsid w:val="0086185E"/>
    <w:rsid w:val="008630F5"/>
    <w:rsid w:val="008631CE"/>
    <w:rsid w:val="00863209"/>
    <w:rsid w:val="00863DEC"/>
    <w:rsid w:val="0086409B"/>
    <w:rsid w:val="0086443E"/>
    <w:rsid w:val="0086541B"/>
    <w:rsid w:val="00870271"/>
    <w:rsid w:val="00871B4E"/>
    <w:rsid w:val="00872809"/>
    <w:rsid w:val="00872FD2"/>
    <w:rsid w:val="00873D35"/>
    <w:rsid w:val="0087436F"/>
    <w:rsid w:val="00874675"/>
    <w:rsid w:val="0087651F"/>
    <w:rsid w:val="00876869"/>
    <w:rsid w:val="00876B01"/>
    <w:rsid w:val="008817CC"/>
    <w:rsid w:val="00882E5D"/>
    <w:rsid w:val="00883BB1"/>
    <w:rsid w:val="008841C9"/>
    <w:rsid w:val="008845D6"/>
    <w:rsid w:val="008872F5"/>
    <w:rsid w:val="00887516"/>
    <w:rsid w:val="0088756C"/>
    <w:rsid w:val="0088764F"/>
    <w:rsid w:val="00887A0C"/>
    <w:rsid w:val="008918F4"/>
    <w:rsid w:val="00891CB1"/>
    <w:rsid w:val="00894AFA"/>
    <w:rsid w:val="00894F9A"/>
    <w:rsid w:val="00895D5E"/>
    <w:rsid w:val="00896925"/>
    <w:rsid w:val="00896BD0"/>
    <w:rsid w:val="008A1D1E"/>
    <w:rsid w:val="008A23EF"/>
    <w:rsid w:val="008A3416"/>
    <w:rsid w:val="008A3A8C"/>
    <w:rsid w:val="008A3FD3"/>
    <w:rsid w:val="008A4970"/>
    <w:rsid w:val="008A4CAC"/>
    <w:rsid w:val="008A4FF3"/>
    <w:rsid w:val="008A7C57"/>
    <w:rsid w:val="008B0472"/>
    <w:rsid w:val="008B121C"/>
    <w:rsid w:val="008B26FD"/>
    <w:rsid w:val="008B2D10"/>
    <w:rsid w:val="008B2E86"/>
    <w:rsid w:val="008B6334"/>
    <w:rsid w:val="008B6CA1"/>
    <w:rsid w:val="008B7A37"/>
    <w:rsid w:val="008C06C2"/>
    <w:rsid w:val="008C08C3"/>
    <w:rsid w:val="008C0CF0"/>
    <w:rsid w:val="008C0EAA"/>
    <w:rsid w:val="008C2CBB"/>
    <w:rsid w:val="008C3676"/>
    <w:rsid w:val="008C41C4"/>
    <w:rsid w:val="008C469B"/>
    <w:rsid w:val="008C5A91"/>
    <w:rsid w:val="008C638F"/>
    <w:rsid w:val="008C6F86"/>
    <w:rsid w:val="008C7B07"/>
    <w:rsid w:val="008D1146"/>
    <w:rsid w:val="008D1403"/>
    <w:rsid w:val="008D1BBA"/>
    <w:rsid w:val="008D1CBD"/>
    <w:rsid w:val="008D2A44"/>
    <w:rsid w:val="008D2E5B"/>
    <w:rsid w:val="008D3AA6"/>
    <w:rsid w:val="008D3D9D"/>
    <w:rsid w:val="008D5CCB"/>
    <w:rsid w:val="008D772A"/>
    <w:rsid w:val="008E1E5B"/>
    <w:rsid w:val="008E2BE9"/>
    <w:rsid w:val="008E3123"/>
    <w:rsid w:val="008E3F9E"/>
    <w:rsid w:val="008E784F"/>
    <w:rsid w:val="008E7B8E"/>
    <w:rsid w:val="008E7ED3"/>
    <w:rsid w:val="008F0F12"/>
    <w:rsid w:val="008F31BA"/>
    <w:rsid w:val="008F3793"/>
    <w:rsid w:val="008F6942"/>
    <w:rsid w:val="00904097"/>
    <w:rsid w:val="009045C9"/>
    <w:rsid w:val="009053F7"/>
    <w:rsid w:val="00905422"/>
    <w:rsid w:val="00905A5C"/>
    <w:rsid w:val="00906283"/>
    <w:rsid w:val="00906505"/>
    <w:rsid w:val="0091035D"/>
    <w:rsid w:val="009108CC"/>
    <w:rsid w:val="00911AE1"/>
    <w:rsid w:val="00916949"/>
    <w:rsid w:val="00923BF5"/>
    <w:rsid w:val="0092418C"/>
    <w:rsid w:val="00925EA9"/>
    <w:rsid w:val="00926C2B"/>
    <w:rsid w:val="009273C8"/>
    <w:rsid w:val="00927DA8"/>
    <w:rsid w:val="00930258"/>
    <w:rsid w:val="00930A39"/>
    <w:rsid w:val="009350F0"/>
    <w:rsid w:val="0094113A"/>
    <w:rsid w:val="009419A4"/>
    <w:rsid w:val="00942658"/>
    <w:rsid w:val="009427F1"/>
    <w:rsid w:val="0094400C"/>
    <w:rsid w:val="009443AA"/>
    <w:rsid w:val="00944C63"/>
    <w:rsid w:val="00950E5E"/>
    <w:rsid w:val="00951207"/>
    <w:rsid w:val="00952D6E"/>
    <w:rsid w:val="009534DE"/>
    <w:rsid w:val="00953C25"/>
    <w:rsid w:val="009544EB"/>
    <w:rsid w:val="00954DA2"/>
    <w:rsid w:val="009569ED"/>
    <w:rsid w:val="009574E3"/>
    <w:rsid w:val="00957BA0"/>
    <w:rsid w:val="00957DDE"/>
    <w:rsid w:val="00960D1D"/>
    <w:rsid w:val="00961697"/>
    <w:rsid w:val="00962E4B"/>
    <w:rsid w:val="009648C5"/>
    <w:rsid w:val="00966540"/>
    <w:rsid w:val="00971EDF"/>
    <w:rsid w:val="0097280D"/>
    <w:rsid w:val="00972D96"/>
    <w:rsid w:val="0097413B"/>
    <w:rsid w:val="009749C6"/>
    <w:rsid w:val="00976FDD"/>
    <w:rsid w:val="00977BEA"/>
    <w:rsid w:val="00980D10"/>
    <w:rsid w:val="00981061"/>
    <w:rsid w:val="0098171B"/>
    <w:rsid w:val="00982C63"/>
    <w:rsid w:val="0098596A"/>
    <w:rsid w:val="0098739F"/>
    <w:rsid w:val="00991230"/>
    <w:rsid w:val="00991538"/>
    <w:rsid w:val="009917EA"/>
    <w:rsid w:val="00993041"/>
    <w:rsid w:val="0099372E"/>
    <w:rsid w:val="00994438"/>
    <w:rsid w:val="0099461B"/>
    <w:rsid w:val="00994C96"/>
    <w:rsid w:val="00995104"/>
    <w:rsid w:val="0099689F"/>
    <w:rsid w:val="009A0464"/>
    <w:rsid w:val="009A0909"/>
    <w:rsid w:val="009A0DE3"/>
    <w:rsid w:val="009A2C42"/>
    <w:rsid w:val="009A302B"/>
    <w:rsid w:val="009A44A5"/>
    <w:rsid w:val="009A5B1A"/>
    <w:rsid w:val="009A7585"/>
    <w:rsid w:val="009A758F"/>
    <w:rsid w:val="009B058D"/>
    <w:rsid w:val="009B139F"/>
    <w:rsid w:val="009B1A70"/>
    <w:rsid w:val="009B2B48"/>
    <w:rsid w:val="009B2D95"/>
    <w:rsid w:val="009B32BF"/>
    <w:rsid w:val="009B4048"/>
    <w:rsid w:val="009B57C3"/>
    <w:rsid w:val="009B588C"/>
    <w:rsid w:val="009B5EF0"/>
    <w:rsid w:val="009B60B8"/>
    <w:rsid w:val="009B7940"/>
    <w:rsid w:val="009C2AFC"/>
    <w:rsid w:val="009C3447"/>
    <w:rsid w:val="009C403B"/>
    <w:rsid w:val="009C51F2"/>
    <w:rsid w:val="009C5691"/>
    <w:rsid w:val="009C5B69"/>
    <w:rsid w:val="009C67F5"/>
    <w:rsid w:val="009D28E0"/>
    <w:rsid w:val="009D3564"/>
    <w:rsid w:val="009D5174"/>
    <w:rsid w:val="009D57E3"/>
    <w:rsid w:val="009E006D"/>
    <w:rsid w:val="009E042B"/>
    <w:rsid w:val="009E0A65"/>
    <w:rsid w:val="009E0E00"/>
    <w:rsid w:val="009E24F0"/>
    <w:rsid w:val="009E265C"/>
    <w:rsid w:val="009E3BD6"/>
    <w:rsid w:val="009E3D88"/>
    <w:rsid w:val="009E5122"/>
    <w:rsid w:val="009F1507"/>
    <w:rsid w:val="009F40A1"/>
    <w:rsid w:val="009F420E"/>
    <w:rsid w:val="00A01182"/>
    <w:rsid w:val="00A02087"/>
    <w:rsid w:val="00A04195"/>
    <w:rsid w:val="00A0456E"/>
    <w:rsid w:val="00A05548"/>
    <w:rsid w:val="00A063EE"/>
    <w:rsid w:val="00A11DDF"/>
    <w:rsid w:val="00A161A4"/>
    <w:rsid w:val="00A17957"/>
    <w:rsid w:val="00A20A30"/>
    <w:rsid w:val="00A22C63"/>
    <w:rsid w:val="00A23EE9"/>
    <w:rsid w:val="00A242F0"/>
    <w:rsid w:val="00A268FE"/>
    <w:rsid w:val="00A275D2"/>
    <w:rsid w:val="00A32258"/>
    <w:rsid w:val="00A33333"/>
    <w:rsid w:val="00A33567"/>
    <w:rsid w:val="00A34500"/>
    <w:rsid w:val="00A36C76"/>
    <w:rsid w:val="00A37554"/>
    <w:rsid w:val="00A40396"/>
    <w:rsid w:val="00A428E5"/>
    <w:rsid w:val="00A433FF"/>
    <w:rsid w:val="00A43B3E"/>
    <w:rsid w:val="00A4659B"/>
    <w:rsid w:val="00A47263"/>
    <w:rsid w:val="00A50A1F"/>
    <w:rsid w:val="00A52411"/>
    <w:rsid w:val="00A54EFA"/>
    <w:rsid w:val="00A555F7"/>
    <w:rsid w:val="00A55F8F"/>
    <w:rsid w:val="00A57077"/>
    <w:rsid w:val="00A57241"/>
    <w:rsid w:val="00A57617"/>
    <w:rsid w:val="00A6059A"/>
    <w:rsid w:val="00A60D48"/>
    <w:rsid w:val="00A61755"/>
    <w:rsid w:val="00A622A2"/>
    <w:rsid w:val="00A63114"/>
    <w:rsid w:val="00A63338"/>
    <w:rsid w:val="00A64AAC"/>
    <w:rsid w:val="00A64CF0"/>
    <w:rsid w:val="00A659E1"/>
    <w:rsid w:val="00A66F12"/>
    <w:rsid w:val="00A67918"/>
    <w:rsid w:val="00A70055"/>
    <w:rsid w:val="00A70401"/>
    <w:rsid w:val="00A70FC3"/>
    <w:rsid w:val="00A7281A"/>
    <w:rsid w:val="00A73B67"/>
    <w:rsid w:val="00A74D5C"/>
    <w:rsid w:val="00A75C5F"/>
    <w:rsid w:val="00A76BB7"/>
    <w:rsid w:val="00A77AE8"/>
    <w:rsid w:val="00A8060B"/>
    <w:rsid w:val="00A80E0A"/>
    <w:rsid w:val="00A80E26"/>
    <w:rsid w:val="00A824F9"/>
    <w:rsid w:val="00A82D46"/>
    <w:rsid w:val="00A830B5"/>
    <w:rsid w:val="00A85445"/>
    <w:rsid w:val="00A85853"/>
    <w:rsid w:val="00A900CC"/>
    <w:rsid w:val="00A9095F"/>
    <w:rsid w:val="00A90D78"/>
    <w:rsid w:val="00A9425C"/>
    <w:rsid w:val="00A944FA"/>
    <w:rsid w:val="00A947AC"/>
    <w:rsid w:val="00A97CA0"/>
    <w:rsid w:val="00A97EDE"/>
    <w:rsid w:val="00AA0521"/>
    <w:rsid w:val="00AA21DE"/>
    <w:rsid w:val="00AA3442"/>
    <w:rsid w:val="00AA34E3"/>
    <w:rsid w:val="00AA40CD"/>
    <w:rsid w:val="00AA4905"/>
    <w:rsid w:val="00AA6542"/>
    <w:rsid w:val="00AB08C2"/>
    <w:rsid w:val="00AB1D46"/>
    <w:rsid w:val="00AB2538"/>
    <w:rsid w:val="00AB32A9"/>
    <w:rsid w:val="00AB3C32"/>
    <w:rsid w:val="00AB3DD5"/>
    <w:rsid w:val="00AB4C8D"/>
    <w:rsid w:val="00AB7D43"/>
    <w:rsid w:val="00AC02AA"/>
    <w:rsid w:val="00AC1A43"/>
    <w:rsid w:val="00AC1D94"/>
    <w:rsid w:val="00AC2081"/>
    <w:rsid w:val="00AC4A49"/>
    <w:rsid w:val="00AC5C42"/>
    <w:rsid w:val="00AC6D57"/>
    <w:rsid w:val="00AD3290"/>
    <w:rsid w:val="00AE05E4"/>
    <w:rsid w:val="00AE0891"/>
    <w:rsid w:val="00AE0FC7"/>
    <w:rsid w:val="00AE1162"/>
    <w:rsid w:val="00AE16C3"/>
    <w:rsid w:val="00AE2E4D"/>
    <w:rsid w:val="00AE369B"/>
    <w:rsid w:val="00AE3DF8"/>
    <w:rsid w:val="00AE4BC5"/>
    <w:rsid w:val="00AE6247"/>
    <w:rsid w:val="00AE6C40"/>
    <w:rsid w:val="00AE710A"/>
    <w:rsid w:val="00AE724D"/>
    <w:rsid w:val="00AF0076"/>
    <w:rsid w:val="00AF1CE5"/>
    <w:rsid w:val="00AF27DD"/>
    <w:rsid w:val="00AF3446"/>
    <w:rsid w:val="00AF585D"/>
    <w:rsid w:val="00AF7A91"/>
    <w:rsid w:val="00B0035E"/>
    <w:rsid w:val="00B00C60"/>
    <w:rsid w:val="00B01AB7"/>
    <w:rsid w:val="00B01CA5"/>
    <w:rsid w:val="00B020E4"/>
    <w:rsid w:val="00B02432"/>
    <w:rsid w:val="00B04C34"/>
    <w:rsid w:val="00B05554"/>
    <w:rsid w:val="00B055B1"/>
    <w:rsid w:val="00B065A2"/>
    <w:rsid w:val="00B0660D"/>
    <w:rsid w:val="00B06697"/>
    <w:rsid w:val="00B10920"/>
    <w:rsid w:val="00B10A72"/>
    <w:rsid w:val="00B13443"/>
    <w:rsid w:val="00B134B9"/>
    <w:rsid w:val="00B13EA2"/>
    <w:rsid w:val="00B14890"/>
    <w:rsid w:val="00B14E48"/>
    <w:rsid w:val="00B1516F"/>
    <w:rsid w:val="00B15A0A"/>
    <w:rsid w:val="00B160F8"/>
    <w:rsid w:val="00B176C3"/>
    <w:rsid w:val="00B20167"/>
    <w:rsid w:val="00B202AD"/>
    <w:rsid w:val="00B2034B"/>
    <w:rsid w:val="00B20E03"/>
    <w:rsid w:val="00B22103"/>
    <w:rsid w:val="00B22F4F"/>
    <w:rsid w:val="00B2534C"/>
    <w:rsid w:val="00B253A1"/>
    <w:rsid w:val="00B2599F"/>
    <w:rsid w:val="00B262AB"/>
    <w:rsid w:val="00B26C06"/>
    <w:rsid w:val="00B30DD4"/>
    <w:rsid w:val="00B33CB7"/>
    <w:rsid w:val="00B33D34"/>
    <w:rsid w:val="00B352FA"/>
    <w:rsid w:val="00B36B5C"/>
    <w:rsid w:val="00B36D31"/>
    <w:rsid w:val="00B41E21"/>
    <w:rsid w:val="00B43146"/>
    <w:rsid w:val="00B439FD"/>
    <w:rsid w:val="00B44208"/>
    <w:rsid w:val="00B44442"/>
    <w:rsid w:val="00B44EDB"/>
    <w:rsid w:val="00B46969"/>
    <w:rsid w:val="00B47A1D"/>
    <w:rsid w:val="00B515B7"/>
    <w:rsid w:val="00B53183"/>
    <w:rsid w:val="00B5356B"/>
    <w:rsid w:val="00B539F7"/>
    <w:rsid w:val="00B53B6A"/>
    <w:rsid w:val="00B544D6"/>
    <w:rsid w:val="00B56812"/>
    <w:rsid w:val="00B57491"/>
    <w:rsid w:val="00B617CD"/>
    <w:rsid w:val="00B620A4"/>
    <w:rsid w:val="00B666AD"/>
    <w:rsid w:val="00B667DA"/>
    <w:rsid w:val="00B66A05"/>
    <w:rsid w:val="00B66C5A"/>
    <w:rsid w:val="00B672A8"/>
    <w:rsid w:val="00B7210C"/>
    <w:rsid w:val="00B726CB"/>
    <w:rsid w:val="00B7473F"/>
    <w:rsid w:val="00B76AF5"/>
    <w:rsid w:val="00B76E4D"/>
    <w:rsid w:val="00B775D9"/>
    <w:rsid w:val="00B77EDB"/>
    <w:rsid w:val="00B800FB"/>
    <w:rsid w:val="00B80124"/>
    <w:rsid w:val="00B805E0"/>
    <w:rsid w:val="00B81843"/>
    <w:rsid w:val="00B82026"/>
    <w:rsid w:val="00B8513F"/>
    <w:rsid w:val="00B9021B"/>
    <w:rsid w:val="00B91705"/>
    <w:rsid w:val="00B91C47"/>
    <w:rsid w:val="00B92DE1"/>
    <w:rsid w:val="00B93599"/>
    <w:rsid w:val="00B943CD"/>
    <w:rsid w:val="00B955FF"/>
    <w:rsid w:val="00B962CB"/>
    <w:rsid w:val="00B9789C"/>
    <w:rsid w:val="00B97A47"/>
    <w:rsid w:val="00BA04C9"/>
    <w:rsid w:val="00BA2902"/>
    <w:rsid w:val="00BA3BD8"/>
    <w:rsid w:val="00BA3CE4"/>
    <w:rsid w:val="00BA4F89"/>
    <w:rsid w:val="00BB0829"/>
    <w:rsid w:val="00BB0A6C"/>
    <w:rsid w:val="00BB0B97"/>
    <w:rsid w:val="00BB1C84"/>
    <w:rsid w:val="00BB30E7"/>
    <w:rsid w:val="00BB352B"/>
    <w:rsid w:val="00BB393D"/>
    <w:rsid w:val="00BB4A7A"/>
    <w:rsid w:val="00BB6CB3"/>
    <w:rsid w:val="00BC0047"/>
    <w:rsid w:val="00BC0348"/>
    <w:rsid w:val="00BC0E09"/>
    <w:rsid w:val="00BC1978"/>
    <w:rsid w:val="00BC266F"/>
    <w:rsid w:val="00BC3585"/>
    <w:rsid w:val="00BC43FE"/>
    <w:rsid w:val="00BD1785"/>
    <w:rsid w:val="00BD29F2"/>
    <w:rsid w:val="00BD2C34"/>
    <w:rsid w:val="00BD6BA2"/>
    <w:rsid w:val="00BD7D55"/>
    <w:rsid w:val="00BE06B8"/>
    <w:rsid w:val="00BE0C60"/>
    <w:rsid w:val="00BE2616"/>
    <w:rsid w:val="00BE3A2C"/>
    <w:rsid w:val="00BE3C9C"/>
    <w:rsid w:val="00BE48D2"/>
    <w:rsid w:val="00BE77B1"/>
    <w:rsid w:val="00BE7998"/>
    <w:rsid w:val="00BF3A1D"/>
    <w:rsid w:val="00BF3A20"/>
    <w:rsid w:val="00BF67EE"/>
    <w:rsid w:val="00BF6F8B"/>
    <w:rsid w:val="00BF7F3F"/>
    <w:rsid w:val="00C01B6B"/>
    <w:rsid w:val="00C045D7"/>
    <w:rsid w:val="00C048F6"/>
    <w:rsid w:val="00C04DCF"/>
    <w:rsid w:val="00C0558D"/>
    <w:rsid w:val="00C05AB3"/>
    <w:rsid w:val="00C06177"/>
    <w:rsid w:val="00C075EA"/>
    <w:rsid w:val="00C13046"/>
    <w:rsid w:val="00C14605"/>
    <w:rsid w:val="00C153B0"/>
    <w:rsid w:val="00C158DA"/>
    <w:rsid w:val="00C208C3"/>
    <w:rsid w:val="00C234A9"/>
    <w:rsid w:val="00C23990"/>
    <w:rsid w:val="00C2589D"/>
    <w:rsid w:val="00C25A46"/>
    <w:rsid w:val="00C25EC1"/>
    <w:rsid w:val="00C276AF"/>
    <w:rsid w:val="00C27F6C"/>
    <w:rsid w:val="00C30276"/>
    <w:rsid w:val="00C30625"/>
    <w:rsid w:val="00C3221F"/>
    <w:rsid w:val="00C32525"/>
    <w:rsid w:val="00C32AC1"/>
    <w:rsid w:val="00C32E41"/>
    <w:rsid w:val="00C33F51"/>
    <w:rsid w:val="00C34C43"/>
    <w:rsid w:val="00C34CE7"/>
    <w:rsid w:val="00C357DE"/>
    <w:rsid w:val="00C404B4"/>
    <w:rsid w:val="00C41BEB"/>
    <w:rsid w:val="00C41FB6"/>
    <w:rsid w:val="00C43A00"/>
    <w:rsid w:val="00C449F1"/>
    <w:rsid w:val="00C44E92"/>
    <w:rsid w:val="00C47550"/>
    <w:rsid w:val="00C50A26"/>
    <w:rsid w:val="00C54295"/>
    <w:rsid w:val="00C544F7"/>
    <w:rsid w:val="00C60217"/>
    <w:rsid w:val="00C6163D"/>
    <w:rsid w:val="00C61AC6"/>
    <w:rsid w:val="00C62D3A"/>
    <w:rsid w:val="00C65763"/>
    <w:rsid w:val="00C6737C"/>
    <w:rsid w:val="00C702C7"/>
    <w:rsid w:val="00C716C4"/>
    <w:rsid w:val="00C73EF7"/>
    <w:rsid w:val="00C7429C"/>
    <w:rsid w:val="00C74A63"/>
    <w:rsid w:val="00C762EB"/>
    <w:rsid w:val="00C80598"/>
    <w:rsid w:val="00C81CB1"/>
    <w:rsid w:val="00C82674"/>
    <w:rsid w:val="00C8300C"/>
    <w:rsid w:val="00C84045"/>
    <w:rsid w:val="00C844EE"/>
    <w:rsid w:val="00C8703B"/>
    <w:rsid w:val="00C87F99"/>
    <w:rsid w:val="00C9266D"/>
    <w:rsid w:val="00C928F2"/>
    <w:rsid w:val="00C9432A"/>
    <w:rsid w:val="00CA1D00"/>
    <w:rsid w:val="00CA21E5"/>
    <w:rsid w:val="00CA2345"/>
    <w:rsid w:val="00CA32FE"/>
    <w:rsid w:val="00CA40EE"/>
    <w:rsid w:val="00CA4E63"/>
    <w:rsid w:val="00CA5B05"/>
    <w:rsid w:val="00CA69A2"/>
    <w:rsid w:val="00CB0366"/>
    <w:rsid w:val="00CB0632"/>
    <w:rsid w:val="00CB5F8A"/>
    <w:rsid w:val="00CB6B4C"/>
    <w:rsid w:val="00CB7B1A"/>
    <w:rsid w:val="00CC08D4"/>
    <w:rsid w:val="00CC1C20"/>
    <w:rsid w:val="00CC2122"/>
    <w:rsid w:val="00CC2A1A"/>
    <w:rsid w:val="00CC2AAA"/>
    <w:rsid w:val="00CC34A3"/>
    <w:rsid w:val="00CC3BFA"/>
    <w:rsid w:val="00CC5E8F"/>
    <w:rsid w:val="00CC67BC"/>
    <w:rsid w:val="00CC73BC"/>
    <w:rsid w:val="00CC75C4"/>
    <w:rsid w:val="00CC7831"/>
    <w:rsid w:val="00CD3AE2"/>
    <w:rsid w:val="00CE0487"/>
    <w:rsid w:val="00CE1517"/>
    <w:rsid w:val="00CE1D9F"/>
    <w:rsid w:val="00CE3028"/>
    <w:rsid w:val="00CE3FD7"/>
    <w:rsid w:val="00CE7312"/>
    <w:rsid w:val="00CF0727"/>
    <w:rsid w:val="00CF259A"/>
    <w:rsid w:val="00CF2BF2"/>
    <w:rsid w:val="00CF3CA4"/>
    <w:rsid w:val="00CF546E"/>
    <w:rsid w:val="00CF560A"/>
    <w:rsid w:val="00CF73AA"/>
    <w:rsid w:val="00CF7F7F"/>
    <w:rsid w:val="00D0023B"/>
    <w:rsid w:val="00D01239"/>
    <w:rsid w:val="00D02FDA"/>
    <w:rsid w:val="00D11120"/>
    <w:rsid w:val="00D13397"/>
    <w:rsid w:val="00D16095"/>
    <w:rsid w:val="00D21B5F"/>
    <w:rsid w:val="00D236E8"/>
    <w:rsid w:val="00D23F08"/>
    <w:rsid w:val="00D250E5"/>
    <w:rsid w:val="00D251C6"/>
    <w:rsid w:val="00D25E33"/>
    <w:rsid w:val="00D27B73"/>
    <w:rsid w:val="00D307ED"/>
    <w:rsid w:val="00D326FE"/>
    <w:rsid w:val="00D329DF"/>
    <w:rsid w:val="00D33A2B"/>
    <w:rsid w:val="00D35465"/>
    <w:rsid w:val="00D35D23"/>
    <w:rsid w:val="00D36E73"/>
    <w:rsid w:val="00D410C4"/>
    <w:rsid w:val="00D4280C"/>
    <w:rsid w:val="00D42B09"/>
    <w:rsid w:val="00D42DC8"/>
    <w:rsid w:val="00D43BD9"/>
    <w:rsid w:val="00D45746"/>
    <w:rsid w:val="00D50A5B"/>
    <w:rsid w:val="00D5297D"/>
    <w:rsid w:val="00D52A6A"/>
    <w:rsid w:val="00D55683"/>
    <w:rsid w:val="00D61599"/>
    <w:rsid w:val="00D61886"/>
    <w:rsid w:val="00D61DFC"/>
    <w:rsid w:val="00D62704"/>
    <w:rsid w:val="00D62DBA"/>
    <w:rsid w:val="00D63E89"/>
    <w:rsid w:val="00D6603F"/>
    <w:rsid w:val="00D6677C"/>
    <w:rsid w:val="00D66B91"/>
    <w:rsid w:val="00D73889"/>
    <w:rsid w:val="00D75260"/>
    <w:rsid w:val="00D75925"/>
    <w:rsid w:val="00D768FD"/>
    <w:rsid w:val="00D76972"/>
    <w:rsid w:val="00D7725A"/>
    <w:rsid w:val="00D7732D"/>
    <w:rsid w:val="00D802C3"/>
    <w:rsid w:val="00D80A5C"/>
    <w:rsid w:val="00D80E1A"/>
    <w:rsid w:val="00D815D0"/>
    <w:rsid w:val="00D82425"/>
    <w:rsid w:val="00D82E12"/>
    <w:rsid w:val="00D842C0"/>
    <w:rsid w:val="00D842C8"/>
    <w:rsid w:val="00D84707"/>
    <w:rsid w:val="00D84F13"/>
    <w:rsid w:val="00D86BB8"/>
    <w:rsid w:val="00D916CE"/>
    <w:rsid w:val="00D92FCD"/>
    <w:rsid w:val="00DA132B"/>
    <w:rsid w:val="00DA1962"/>
    <w:rsid w:val="00DA29BD"/>
    <w:rsid w:val="00DA5A7B"/>
    <w:rsid w:val="00DA5DCD"/>
    <w:rsid w:val="00DA7085"/>
    <w:rsid w:val="00DA7D20"/>
    <w:rsid w:val="00DB0CB1"/>
    <w:rsid w:val="00DB39FE"/>
    <w:rsid w:val="00DB4410"/>
    <w:rsid w:val="00DB5D79"/>
    <w:rsid w:val="00DC17C0"/>
    <w:rsid w:val="00DC2522"/>
    <w:rsid w:val="00DC3C97"/>
    <w:rsid w:val="00DC3F57"/>
    <w:rsid w:val="00DC4A60"/>
    <w:rsid w:val="00DC4D91"/>
    <w:rsid w:val="00DC59F1"/>
    <w:rsid w:val="00DC65D0"/>
    <w:rsid w:val="00DC7AC4"/>
    <w:rsid w:val="00DD14B3"/>
    <w:rsid w:val="00DD5A1B"/>
    <w:rsid w:val="00DD6590"/>
    <w:rsid w:val="00DD715C"/>
    <w:rsid w:val="00DE111C"/>
    <w:rsid w:val="00DE18BC"/>
    <w:rsid w:val="00DE3A92"/>
    <w:rsid w:val="00DE5E02"/>
    <w:rsid w:val="00DE7898"/>
    <w:rsid w:val="00DF1DFC"/>
    <w:rsid w:val="00DF396F"/>
    <w:rsid w:val="00DF3B35"/>
    <w:rsid w:val="00DF41FD"/>
    <w:rsid w:val="00DF4B62"/>
    <w:rsid w:val="00DF536D"/>
    <w:rsid w:val="00DF70E8"/>
    <w:rsid w:val="00E00726"/>
    <w:rsid w:val="00E0265A"/>
    <w:rsid w:val="00E0285E"/>
    <w:rsid w:val="00E03F8C"/>
    <w:rsid w:val="00E0517E"/>
    <w:rsid w:val="00E066EC"/>
    <w:rsid w:val="00E078DE"/>
    <w:rsid w:val="00E10A53"/>
    <w:rsid w:val="00E12A43"/>
    <w:rsid w:val="00E14380"/>
    <w:rsid w:val="00E14799"/>
    <w:rsid w:val="00E15DEF"/>
    <w:rsid w:val="00E15E9E"/>
    <w:rsid w:val="00E16394"/>
    <w:rsid w:val="00E165D1"/>
    <w:rsid w:val="00E17868"/>
    <w:rsid w:val="00E17BFF"/>
    <w:rsid w:val="00E23B3D"/>
    <w:rsid w:val="00E2493C"/>
    <w:rsid w:val="00E26113"/>
    <w:rsid w:val="00E266A4"/>
    <w:rsid w:val="00E271AE"/>
    <w:rsid w:val="00E35306"/>
    <w:rsid w:val="00E35619"/>
    <w:rsid w:val="00E35847"/>
    <w:rsid w:val="00E35D1B"/>
    <w:rsid w:val="00E36C7A"/>
    <w:rsid w:val="00E37C6C"/>
    <w:rsid w:val="00E406E2"/>
    <w:rsid w:val="00E41D21"/>
    <w:rsid w:val="00E4362E"/>
    <w:rsid w:val="00E43AB6"/>
    <w:rsid w:val="00E43B9E"/>
    <w:rsid w:val="00E457C4"/>
    <w:rsid w:val="00E461D9"/>
    <w:rsid w:val="00E51605"/>
    <w:rsid w:val="00E51B83"/>
    <w:rsid w:val="00E52545"/>
    <w:rsid w:val="00E52964"/>
    <w:rsid w:val="00E52F5C"/>
    <w:rsid w:val="00E54BEF"/>
    <w:rsid w:val="00E55A41"/>
    <w:rsid w:val="00E56993"/>
    <w:rsid w:val="00E56F4A"/>
    <w:rsid w:val="00E606D2"/>
    <w:rsid w:val="00E6082C"/>
    <w:rsid w:val="00E60DD4"/>
    <w:rsid w:val="00E6123E"/>
    <w:rsid w:val="00E61D81"/>
    <w:rsid w:val="00E625F2"/>
    <w:rsid w:val="00E62625"/>
    <w:rsid w:val="00E64078"/>
    <w:rsid w:val="00E664D0"/>
    <w:rsid w:val="00E665E4"/>
    <w:rsid w:val="00E67729"/>
    <w:rsid w:val="00E70359"/>
    <w:rsid w:val="00E70874"/>
    <w:rsid w:val="00E70D8F"/>
    <w:rsid w:val="00E7300D"/>
    <w:rsid w:val="00E73CCD"/>
    <w:rsid w:val="00E73D0A"/>
    <w:rsid w:val="00E757D0"/>
    <w:rsid w:val="00E758D3"/>
    <w:rsid w:val="00E77210"/>
    <w:rsid w:val="00E77DC1"/>
    <w:rsid w:val="00E822FE"/>
    <w:rsid w:val="00E82807"/>
    <w:rsid w:val="00E83736"/>
    <w:rsid w:val="00E84067"/>
    <w:rsid w:val="00E84F40"/>
    <w:rsid w:val="00E8725A"/>
    <w:rsid w:val="00E87432"/>
    <w:rsid w:val="00E87451"/>
    <w:rsid w:val="00E9014D"/>
    <w:rsid w:val="00E91549"/>
    <w:rsid w:val="00E9198A"/>
    <w:rsid w:val="00E93DF1"/>
    <w:rsid w:val="00E943B8"/>
    <w:rsid w:val="00E94C20"/>
    <w:rsid w:val="00E96336"/>
    <w:rsid w:val="00EA040D"/>
    <w:rsid w:val="00EA1305"/>
    <w:rsid w:val="00EA3916"/>
    <w:rsid w:val="00EA56E6"/>
    <w:rsid w:val="00EB0AA3"/>
    <w:rsid w:val="00EB172B"/>
    <w:rsid w:val="00EB209E"/>
    <w:rsid w:val="00EB467A"/>
    <w:rsid w:val="00EB5CD1"/>
    <w:rsid w:val="00EB6255"/>
    <w:rsid w:val="00EC0331"/>
    <w:rsid w:val="00EC1D8B"/>
    <w:rsid w:val="00EC1F27"/>
    <w:rsid w:val="00EC6CC9"/>
    <w:rsid w:val="00EC6F5A"/>
    <w:rsid w:val="00EC7D17"/>
    <w:rsid w:val="00ED508D"/>
    <w:rsid w:val="00ED50D9"/>
    <w:rsid w:val="00ED5A75"/>
    <w:rsid w:val="00ED7C26"/>
    <w:rsid w:val="00EE0535"/>
    <w:rsid w:val="00EE05FF"/>
    <w:rsid w:val="00EE08F4"/>
    <w:rsid w:val="00EE16D4"/>
    <w:rsid w:val="00EE1CD8"/>
    <w:rsid w:val="00EE2C87"/>
    <w:rsid w:val="00EE5CDC"/>
    <w:rsid w:val="00EE61A2"/>
    <w:rsid w:val="00EE6DE6"/>
    <w:rsid w:val="00EF0925"/>
    <w:rsid w:val="00EF2CF0"/>
    <w:rsid w:val="00EF4086"/>
    <w:rsid w:val="00EF55AD"/>
    <w:rsid w:val="00EF71AC"/>
    <w:rsid w:val="00EF72B7"/>
    <w:rsid w:val="00F01B72"/>
    <w:rsid w:val="00F02087"/>
    <w:rsid w:val="00F024A8"/>
    <w:rsid w:val="00F03360"/>
    <w:rsid w:val="00F045B9"/>
    <w:rsid w:val="00F048D1"/>
    <w:rsid w:val="00F10582"/>
    <w:rsid w:val="00F106CC"/>
    <w:rsid w:val="00F10CCB"/>
    <w:rsid w:val="00F12904"/>
    <w:rsid w:val="00F12D25"/>
    <w:rsid w:val="00F1516F"/>
    <w:rsid w:val="00F1518C"/>
    <w:rsid w:val="00F153A6"/>
    <w:rsid w:val="00F15F5C"/>
    <w:rsid w:val="00F20845"/>
    <w:rsid w:val="00F22015"/>
    <w:rsid w:val="00F23266"/>
    <w:rsid w:val="00F24A14"/>
    <w:rsid w:val="00F25383"/>
    <w:rsid w:val="00F3081C"/>
    <w:rsid w:val="00F3150F"/>
    <w:rsid w:val="00F3249F"/>
    <w:rsid w:val="00F32F9F"/>
    <w:rsid w:val="00F37276"/>
    <w:rsid w:val="00F37880"/>
    <w:rsid w:val="00F41009"/>
    <w:rsid w:val="00F4301C"/>
    <w:rsid w:val="00F431E3"/>
    <w:rsid w:val="00F43238"/>
    <w:rsid w:val="00F448EC"/>
    <w:rsid w:val="00F44E7C"/>
    <w:rsid w:val="00F46119"/>
    <w:rsid w:val="00F47AD4"/>
    <w:rsid w:val="00F50048"/>
    <w:rsid w:val="00F50545"/>
    <w:rsid w:val="00F506EF"/>
    <w:rsid w:val="00F5140D"/>
    <w:rsid w:val="00F51C6F"/>
    <w:rsid w:val="00F5299F"/>
    <w:rsid w:val="00F53B09"/>
    <w:rsid w:val="00F5528F"/>
    <w:rsid w:val="00F55BB9"/>
    <w:rsid w:val="00F565A3"/>
    <w:rsid w:val="00F56953"/>
    <w:rsid w:val="00F611A5"/>
    <w:rsid w:val="00F64334"/>
    <w:rsid w:val="00F646E9"/>
    <w:rsid w:val="00F648EB"/>
    <w:rsid w:val="00F7103E"/>
    <w:rsid w:val="00F71D35"/>
    <w:rsid w:val="00F7435C"/>
    <w:rsid w:val="00F7744A"/>
    <w:rsid w:val="00F84690"/>
    <w:rsid w:val="00F846E1"/>
    <w:rsid w:val="00F87517"/>
    <w:rsid w:val="00F90DAF"/>
    <w:rsid w:val="00F9119D"/>
    <w:rsid w:val="00F958B9"/>
    <w:rsid w:val="00F973D7"/>
    <w:rsid w:val="00FA1392"/>
    <w:rsid w:val="00FA1B33"/>
    <w:rsid w:val="00FA2818"/>
    <w:rsid w:val="00FA40EA"/>
    <w:rsid w:val="00FA6EC4"/>
    <w:rsid w:val="00FA7C9A"/>
    <w:rsid w:val="00FB1C50"/>
    <w:rsid w:val="00FB25C1"/>
    <w:rsid w:val="00FB33F3"/>
    <w:rsid w:val="00FB579B"/>
    <w:rsid w:val="00FB687A"/>
    <w:rsid w:val="00FB6C38"/>
    <w:rsid w:val="00FB7270"/>
    <w:rsid w:val="00FC0514"/>
    <w:rsid w:val="00FC205C"/>
    <w:rsid w:val="00FC2104"/>
    <w:rsid w:val="00FC2B0D"/>
    <w:rsid w:val="00FC3A87"/>
    <w:rsid w:val="00FC3F37"/>
    <w:rsid w:val="00FC42B6"/>
    <w:rsid w:val="00FC5C06"/>
    <w:rsid w:val="00FC68E2"/>
    <w:rsid w:val="00FD2E1D"/>
    <w:rsid w:val="00FD3AC7"/>
    <w:rsid w:val="00FD505C"/>
    <w:rsid w:val="00FD5421"/>
    <w:rsid w:val="00FD5772"/>
    <w:rsid w:val="00FE3386"/>
    <w:rsid w:val="00FE366A"/>
    <w:rsid w:val="00FE4270"/>
    <w:rsid w:val="00FE4366"/>
    <w:rsid w:val="00FE5BE7"/>
    <w:rsid w:val="00FE7E6F"/>
    <w:rsid w:val="00FF0F52"/>
    <w:rsid w:val="00FF147F"/>
    <w:rsid w:val="00FF1A79"/>
    <w:rsid w:val="00FF1E39"/>
    <w:rsid w:val="00FF1E8D"/>
    <w:rsid w:val="00FF4083"/>
    <w:rsid w:val="00FF4664"/>
    <w:rsid w:val="00FF58C8"/>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4:docId w14:val="4A160810"/>
  <w15:docId w15:val="{2ECA58AB-C2CD-4087-B67E-ED6C18698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qFormat="1"/>
    <w:lsdException w:name="heading 4"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unhideWhenUsed="1" w:qFormat="1"/>
    <w:lsdException w:name="List Bullet 3" w:semiHidden="1" w:unhideWhenUsed="1"/>
    <w:lsdException w:name="List Bullet 4" w:semiHidden="1" w:unhideWhenUsed="1"/>
    <w:lsdException w:name="List Bullet 5" w:semiHidden="1" w:unhideWhenUsed="1"/>
    <w:lsdException w:name="List Number 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3EB"/>
    <w:pPr>
      <w:spacing w:before="120" w:after="120" w:line="288" w:lineRule="auto"/>
      <w:jc w:val="both"/>
    </w:pPr>
    <w:rPr>
      <w:sz w:val="18"/>
      <w:lang w:val="sk-SK"/>
    </w:rPr>
  </w:style>
  <w:style w:type="paragraph" w:styleId="Heading1">
    <w:name w:val="heading 1"/>
    <w:basedOn w:val="Normal"/>
    <w:next w:val="Normal"/>
    <w:link w:val="Heading1Char"/>
    <w:autoRedefine/>
    <w:uiPriority w:val="9"/>
    <w:qFormat/>
    <w:rsid w:val="00255B0C"/>
    <w:pPr>
      <w:keepNext/>
      <w:keepLines/>
      <w:spacing w:before="240" w:after="240"/>
      <w:outlineLvl w:val="0"/>
    </w:pPr>
    <w:rPr>
      <w:rFonts w:asciiTheme="majorHAnsi" w:eastAsiaTheme="majorEastAsia" w:hAnsiTheme="majorHAnsi" w:cstheme="majorBidi"/>
      <w:b/>
      <w:bCs/>
      <w:color w:val="62B5E5" w:themeColor="accent3"/>
      <w:szCs w:val="28"/>
    </w:rPr>
  </w:style>
  <w:style w:type="paragraph" w:styleId="Heading2">
    <w:name w:val="heading 2"/>
    <w:basedOn w:val="Normal"/>
    <w:next w:val="Normal"/>
    <w:link w:val="Heading2Char"/>
    <w:autoRedefine/>
    <w:uiPriority w:val="9"/>
    <w:qFormat/>
    <w:rsid w:val="00B0035E"/>
    <w:pPr>
      <w:keepNext/>
      <w:keepLines/>
      <w:spacing w:before="240" w:after="0"/>
      <w:contextualSpacing/>
      <w:outlineLvl w:val="1"/>
    </w:pPr>
    <w:rPr>
      <w:rFonts w:asciiTheme="majorHAnsi" w:eastAsiaTheme="majorEastAsia" w:hAnsiTheme="majorHAnsi" w:cstheme="majorBidi"/>
      <w:b/>
      <w:bCs/>
      <w:color w:val="000000" w:themeColor="text1"/>
      <w:szCs w:val="26"/>
    </w:rPr>
  </w:style>
  <w:style w:type="paragraph" w:styleId="Heading3">
    <w:name w:val="heading 3"/>
    <w:basedOn w:val="Normal"/>
    <w:next w:val="Normal"/>
    <w:link w:val="Heading3Char"/>
    <w:autoRedefine/>
    <w:uiPriority w:val="9"/>
    <w:qFormat/>
    <w:rsid w:val="00CC08D4"/>
    <w:pPr>
      <w:keepNext/>
      <w:keepLines/>
      <w:spacing w:before="240" w:after="240"/>
      <w:outlineLvl w:val="2"/>
    </w:pPr>
    <w:rPr>
      <w:rFonts w:asciiTheme="majorHAnsi" w:eastAsiaTheme="majorEastAsia" w:hAnsiTheme="majorHAnsi" w:cstheme="majorBidi"/>
      <w:b/>
      <w:bCs/>
      <w:color w:val="75787B" w:themeColor="accent6"/>
    </w:rPr>
  </w:style>
  <w:style w:type="paragraph" w:styleId="Heading4">
    <w:name w:val="heading 4"/>
    <w:basedOn w:val="Normal"/>
    <w:next w:val="Normal"/>
    <w:link w:val="Heading4Char"/>
    <w:uiPriority w:val="9"/>
    <w:semiHidden/>
    <w:qFormat/>
    <w:rsid w:val="00255D53"/>
    <w:pPr>
      <w:keepNext/>
      <w:keepLines/>
      <w:tabs>
        <w:tab w:val="left" w:pos="340"/>
      </w:tabs>
      <w:outlineLvl w:val="3"/>
    </w:pPr>
    <w:rPr>
      <w:rFonts w:asciiTheme="majorHAnsi" w:eastAsiaTheme="majorEastAsia" w:hAnsiTheme="majorHAnsi" w:cstheme="majorBidi"/>
      <w:b/>
      <w:bCs/>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B0C"/>
    <w:rPr>
      <w:rFonts w:asciiTheme="majorHAnsi" w:eastAsiaTheme="majorEastAsia" w:hAnsiTheme="majorHAnsi" w:cstheme="majorBidi"/>
      <w:b/>
      <w:bCs/>
      <w:color w:val="62B5E5" w:themeColor="accent3"/>
      <w:sz w:val="18"/>
      <w:szCs w:val="28"/>
      <w:lang w:val="sk-SK"/>
    </w:rPr>
  </w:style>
  <w:style w:type="character" w:customStyle="1" w:styleId="Heading2Char">
    <w:name w:val="Heading 2 Char"/>
    <w:basedOn w:val="DefaultParagraphFont"/>
    <w:link w:val="Heading2"/>
    <w:uiPriority w:val="9"/>
    <w:rsid w:val="00B0035E"/>
    <w:rPr>
      <w:rFonts w:asciiTheme="majorHAnsi" w:eastAsiaTheme="majorEastAsia" w:hAnsiTheme="majorHAnsi" w:cstheme="majorBidi"/>
      <w:b/>
      <w:bCs/>
      <w:color w:val="000000" w:themeColor="text1"/>
      <w:sz w:val="18"/>
      <w:szCs w:val="26"/>
      <w:lang w:val="sk-SK"/>
    </w:rPr>
  </w:style>
  <w:style w:type="table" w:styleId="TableGrid">
    <w:name w:val="Table Grid"/>
    <w:basedOn w:val="TableNormal"/>
    <w:rsid w:val="001E016B"/>
    <w:pPr>
      <w:spacing w:after="0" w:line="240" w:lineRule="auto"/>
    </w:pPr>
    <w:tblPr>
      <w:tblCellMar>
        <w:left w:w="0" w:type="dxa"/>
        <w:right w:w="0" w:type="dxa"/>
      </w:tblCellMar>
    </w:tblPr>
    <w:tblStylePr w:type="firstRow">
      <w:rPr>
        <w:color w:val="auto"/>
      </w:rPr>
      <w:tblPr/>
      <w:tcPr>
        <w:tcBorders>
          <w:top w:val="nil"/>
          <w:left w:val="nil"/>
          <w:bottom w:val="nil"/>
          <w:right w:val="nil"/>
          <w:insideH w:val="nil"/>
          <w:insideV w:val="nil"/>
          <w:tl2br w:val="nil"/>
          <w:tr2bl w:val="nil"/>
        </w:tcBorders>
      </w:tcPr>
    </w:tblStylePr>
  </w:style>
  <w:style w:type="paragraph" w:styleId="Header">
    <w:name w:val="header"/>
    <w:link w:val="HeaderChar"/>
    <w:uiPriority w:val="99"/>
    <w:rsid w:val="008631CE"/>
    <w:pPr>
      <w:tabs>
        <w:tab w:val="center" w:pos="4513"/>
        <w:tab w:val="right" w:pos="9026"/>
      </w:tabs>
      <w:spacing w:after="0" w:line="240" w:lineRule="auto"/>
    </w:pPr>
    <w:rPr>
      <w:b/>
      <w:sz w:val="14"/>
      <w:lang w:val="en-US"/>
    </w:rPr>
  </w:style>
  <w:style w:type="character" w:customStyle="1" w:styleId="HeaderChar">
    <w:name w:val="Header Char"/>
    <w:basedOn w:val="DefaultParagraphFont"/>
    <w:link w:val="Header"/>
    <w:uiPriority w:val="99"/>
    <w:qFormat/>
    <w:rsid w:val="008631CE"/>
    <w:rPr>
      <w:b/>
      <w:sz w:val="14"/>
      <w:lang w:val="en-US"/>
    </w:rPr>
  </w:style>
  <w:style w:type="paragraph" w:styleId="Footer">
    <w:name w:val="footer"/>
    <w:basedOn w:val="Normal"/>
    <w:link w:val="FooterChar"/>
    <w:uiPriority w:val="99"/>
    <w:rsid w:val="001975EF"/>
    <w:pPr>
      <w:tabs>
        <w:tab w:val="right" w:pos="7371"/>
      </w:tabs>
      <w:spacing w:line="200" w:lineRule="atLeast"/>
    </w:pPr>
    <w:rPr>
      <w:sz w:val="16"/>
    </w:rPr>
  </w:style>
  <w:style w:type="character" w:customStyle="1" w:styleId="FooterChar">
    <w:name w:val="Footer Char"/>
    <w:basedOn w:val="DefaultParagraphFont"/>
    <w:link w:val="Footer"/>
    <w:uiPriority w:val="99"/>
    <w:rsid w:val="007550AB"/>
    <w:rPr>
      <w:sz w:val="16"/>
      <w:lang w:val="en-US"/>
    </w:rPr>
  </w:style>
  <w:style w:type="paragraph" w:styleId="BalloonText">
    <w:name w:val="Balloon Text"/>
    <w:basedOn w:val="Normal"/>
    <w:link w:val="BalloonTextChar"/>
    <w:uiPriority w:val="99"/>
    <w:semiHidden/>
    <w:rsid w:val="00C702C7"/>
    <w:rPr>
      <w:rFonts w:ascii="Tahoma" w:hAnsi="Tahoma" w:cs="Tahoma"/>
      <w:sz w:val="16"/>
      <w:szCs w:val="16"/>
    </w:rPr>
  </w:style>
  <w:style w:type="character" w:customStyle="1" w:styleId="BalloonTextChar">
    <w:name w:val="Balloon Text Char"/>
    <w:basedOn w:val="DefaultParagraphFont"/>
    <w:link w:val="BalloonText"/>
    <w:uiPriority w:val="99"/>
    <w:semiHidden/>
    <w:rsid w:val="00C702C7"/>
    <w:rPr>
      <w:rFonts w:ascii="Tahoma" w:hAnsi="Tahoma" w:cs="Tahoma"/>
      <w:sz w:val="16"/>
      <w:szCs w:val="16"/>
    </w:rPr>
  </w:style>
  <w:style w:type="paragraph" w:customStyle="1" w:styleId="Subject">
    <w:name w:val="Subject"/>
    <w:basedOn w:val="Normal"/>
    <w:semiHidden/>
    <w:qFormat/>
    <w:rsid w:val="00A43B3E"/>
    <w:rPr>
      <w:b/>
    </w:rPr>
  </w:style>
  <w:style w:type="character" w:styleId="PlaceholderText">
    <w:name w:val="Placeholder Text"/>
    <w:basedOn w:val="DefaultParagraphFont"/>
    <w:uiPriority w:val="99"/>
    <w:semiHidden/>
    <w:rsid w:val="001975EF"/>
    <w:rPr>
      <w:color w:val="808080"/>
    </w:rPr>
  </w:style>
  <w:style w:type="paragraph" w:styleId="ListBullet">
    <w:name w:val="List Bullet"/>
    <w:basedOn w:val="Normal"/>
    <w:autoRedefine/>
    <w:uiPriority w:val="99"/>
    <w:qFormat/>
    <w:rsid w:val="004E7BDE"/>
    <w:pPr>
      <w:numPr>
        <w:numId w:val="1"/>
      </w:numPr>
      <w:tabs>
        <w:tab w:val="clear" w:pos="360"/>
      </w:tabs>
      <w:ind w:left="284" w:hanging="284"/>
      <w:contextualSpacing/>
    </w:pPr>
  </w:style>
  <w:style w:type="paragraph" w:styleId="ListBullet2">
    <w:name w:val="List Bullet 2"/>
    <w:basedOn w:val="Normal"/>
    <w:autoRedefine/>
    <w:uiPriority w:val="99"/>
    <w:qFormat/>
    <w:rsid w:val="004E7BDE"/>
    <w:pPr>
      <w:numPr>
        <w:numId w:val="2"/>
      </w:numPr>
      <w:ind w:left="568" w:hanging="284"/>
      <w:contextualSpacing/>
    </w:pPr>
  </w:style>
  <w:style w:type="paragraph" w:styleId="ListNumber">
    <w:name w:val="List Number"/>
    <w:basedOn w:val="Normal"/>
    <w:autoRedefine/>
    <w:uiPriority w:val="99"/>
    <w:qFormat/>
    <w:rsid w:val="004E7BDE"/>
    <w:pPr>
      <w:numPr>
        <w:numId w:val="3"/>
      </w:numPr>
      <w:tabs>
        <w:tab w:val="clear" w:pos="360"/>
      </w:tabs>
      <w:ind w:left="284" w:hanging="284"/>
      <w:contextualSpacing/>
    </w:pPr>
  </w:style>
  <w:style w:type="paragraph" w:styleId="ListNumber2">
    <w:name w:val="List Number 2"/>
    <w:basedOn w:val="Normal"/>
    <w:uiPriority w:val="99"/>
    <w:qFormat/>
    <w:rsid w:val="004E7BDE"/>
    <w:pPr>
      <w:numPr>
        <w:numId w:val="4"/>
      </w:numPr>
      <w:ind w:left="568" w:hanging="284"/>
      <w:contextualSpacing/>
    </w:pPr>
  </w:style>
  <w:style w:type="character" w:customStyle="1" w:styleId="Heading3Char">
    <w:name w:val="Heading 3 Char"/>
    <w:basedOn w:val="DefaultParagraphFont"/>
    <w:link w:val="Heading3"/>
    <w:uiPriority w:val="9"/>
    <w:rsid w:val="00CC08D4"/>
    <w:rPr>
      <w:rFonts w:asciiTheme="majorHAnsi" w:eastAsiaTheme="majorEastAsia" w:hAnsiTheme="majorHAnsi" w:cstheme="majorBidi"/>
      <w:b/>
      <w:bCs/>
      <w:color w:val="75787B" w:themeColor="accent6"/>
      <w:sz w:val="18"/>
      <w:lang w:val="sk-SK"/>
    </w:rPr>
  </w:style>
  <w:style w:type="character" w:customStyle="1" w:styleId="Heading4Char">
    <w:name w:val="Heading 4 Char"/>
    <w:basedOn w:val="DefaultParagraphFont"/>
    <w:link w:val="Heading4"/>
    <w:uiPriority w:val="9"/>
    <w:semiHidden/>
    <w:rsid w:val="007550AB"/>
    <w:rPr>
      <w:rFonts w:asciiTheme="majorHAnsi" w:eastAsiaTheme="majorEastAsia" w:hAnsiTheme="majorHAnsi" w:cstheme="majorBidi"/>
      <w:b/>
      <w:bCs/>
      <w:iCs/>
      <w:color w:val="000000" w:themeColor="text1"/>
      <w:sz w:val="18"/>
      <w:lang w:val="en-US"/>
    </w:rPr>
  </w:style>
  <w:style w:type="paragraph" w:styleId="FootnoteText">
    <w:name w:val="footnote text"/>
    <w:aliases w:val="Text poznámky pod čiarou 007,_Poznámka pod čiarou,Text poznámky pod èiarou 007,Stinking Styles2,Tekst przypisu- dokt,Char Char Char,Char Char Char Char Char Char Char Char Char,Char Char Ch,Car"/>
    <w:basedOn w:val="Normal"/>
    <w:link w:val="FootnoteTextChar"/>
    <w:uiPriority w:val="99"/>
    <w:rsid w:val="00F3081C"/>
    <w:rPr>
      <w:sz w:val="16"/>
      <w:szCs w:val="20"/>
    </w:rPr>
  </w:style>
  <w:style w:type="character" w:customStyle="1" w:styleId="FootnoteTextChar">
    <w:name w:val="Footnote Text Char"/>
    <w:aliases w:val="Text poznámky pod čiarou 007 Char,_Poznámka pod čiarou Char,Text poznámky pod èiarou 007 Char,Stinking Styles2 Char,Tekst przypisu- dokt Char,Char Char Char Char,Char Char Char Char Char Char Char Char Char Char,Char Char Ch Char"/>
    <w:basedOn w:val="DefaultParagraphFont"/>
    <w:link w:val="FootnoteText"/>
    <w:uiPriority w:val="99"/>
    <w:rsid w:val="007550AB"/>
    <w:rPr>
      <w:sz w:val="16"/>
      <w:szCs w:val="20"/>
      <w:lang w:val="en-US"/>
    </w:rPr>
  </w:style>
  <w:style w:type="paragraph" w:customStyle="1" w:styleId="Documenttitle">
    <w:name w:val="Document title"/>
    <w:next w:val="Documentsubtitle"/>
    <w:qFormat/>
    <w:rsid w:val="00066F34"/>
    <w:pPr>
      <w:spacing w:after="0" w:line="440" w:lineRule="atLeast"/>
    </w:pPr>
    <w:rPr>
      <w:rFonts w:asciiTheme="majorHAnsi" w:eastAsiaTheme="majorEastAsia" w:hAnsiTheme="majorHAnsi" w:cstheme="majorBidi"/>
      <w:b/>
      <w:bCs/>
      <w:color w:val="548DD4"/>
      <w:sz w:val="44"/>
      <w:szCs w:val="28"/>
    </w:rPr>
  </w:style>
  <w:style w:type="paragraph" w:customStyle="1" w:styleId="Subheading">
    <w:name w:val="Subheading"/>
    <w:basedOn w:val="Normal"/>
    <w:next w:val="Normal"/>
    <w:semiHidden/>
    <w:qFormat/>
    <w:rsid w:val="00D236E8"/>
    <w:rPr>
      <w:rFonts w:asciiTheme="majorHAnsi" w:eastAsiaTheme="majorEastAsia" w:hAnsiTheme="majorHAnsi" w:cstheme="majorBidi"/>
      <w:b/>
      <w:bCs/>
      <w:iCs/>
      <w:color w:val="000000" w:themeColor="text1"/>
    </w:r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Ref"/>
    <w:basedOn w:val="DefaultParagraphFont"/>
    <w:uiPriority w:val="99"/>
    <w:rsid w:val="00412EA0"/>
    <w:rPr>
      <w:vertAlign w:val="superscript"/>
    </w:rPr>
  </w:style>
  <w:style w:type="paragraph" w:customStyle="1" w:styleId="Sectionintro">
    <w:name w:val="Section intro"/>
    <w:basedOn w:val="Normal"/>
    <w:next w:val="Normal"/>
    <w:autoRedefine/>
    <w:qFormat/>
    <w:rsid w:val="004E7BDE"/>
    <w:rPr>
      <w:sz w:val="28"/>
    </w:rPr>
  </w:style>
  <w:style w:type="paragraph" w:customStyle="1" w:styleId="Documentdate">
    <w:name w:val="Document date"/>
    <w:qFormat/>
    <w:rsid w:val="007550AB"/>
    <w:pPr>
      <w:spacing w:after="0" w:line="240" w:lineRule="atLeast"/>
    </w:pPr>
    <w:rPr>
      <w:sz w:val="18"/>
      <w:lang w:val="en-US"/>
    </w:rPr>
  </w:style>
  <w:style w:type="paragraph" w:customStyle="1" w:styleId="Sectiontitle">
    <w:name w:val="Section title"/>
    <w:basedOn w:val="Normal"/>
    <w:next w:val="Normal"/>
    <w:link w:val="SectiontitleChar"/>
    <w:qFormat/>
    <w:rsid w:val="00EE61A2"/>
    <w:pPr>
      <w:spacing w:after="480" w:line="720" w:lineRule="atLeast"/>
    </w:pPr>
    <w:rPr>
      <w:sz w:val="60"/>
    </w:rPr>
  </w:style>
  <w:style w:type="paragraph" w:customStyle="1" w:styleId="PulloutBlue">
    <w:name w:val="Pullout Blue"/>
    <w:basedOn w:val="Normal"/>
    <w:next w:val="Normal"/>
    <w:qFormat/>
    <w:rsid w:val="00DD5A1B"/>
    <w:pPr>
      <w:spacing w:line="360" w:lineRule="atLeast"/>
    </w:pPr>
    <w:rPr>
      <w:color w:val="62B5E5" w:themeColor="accent3"/>
      <w:sz w:val="28"/>
    </w:rPr>
  </w:style>
  <w:style w:type="paragraph" w:customStyle="1" w:styleId="Contacttext">
    <w:name w:val="Contact text"/>
    <w:basedOn w:val="Normal"/>
    <w:qFormat/>
    <w:rsid w:val="00D7732D"/>
  </w:style>
  <w:style w:type="paragraph" w:customStyle="1" w:styleId="Contactus">
    <w:name w:val="Contact us"/>
    <w:basedOn w:val="Contacttext"/>
    <w:next w:val="Contacttext"/>
    <w:qFormat/>
    <w:rsid w:val="00D7732D"/>
    <w:pPr>
      <w:spacing w:after="240" w:line="340" w:lineRule="atLeast"/>
    </w:pPr>
    <w:rPr>
      <w:sz w:val="28"/>
    </w:rPr>
  </w:style>
  <w:style w:type="paragraph" w:styleId="Caption">
    <w:name w:val="caption"/>
    <w:basedOn w:val="Normal"/>
    <w:next w:val="Normal"/>
    <w:uiPriority w:val="35"/>
    <w:qFormat/>
    <w:rsid w:val="00B46969"/>
    <w:pPr>
      <w:keepNext/>
    </w:pPr>
    <w:rPr>
      <w:iCs/>
      <w:color w:val="75787B" w:themeColor="accent6"/>
      <w:sz w:val="17"/>
      <w:szCs w:val="18"/>
    </w:rPr>
  </w:style>
  <w:style w:type="character" w:styleId="Hyperlink">
    <w:name w:val="Hyperlink"/>
    <w:basedOn w:val="DefaultParagraphFont"/>
    <w:uiPriority w:val="99"/>
    <w:unhideWhenUsed/>
    <w:rsid w:val="00E94C20"/>
    <w:rPr>
      <w:color w:val="00A3E0" w:themeColor="hyperlink"/>
      <w:u w:val="single"/>
    </w:rPr>
  </w:style>
  <w:style w:type="paragraph" w:customStyle="1" w:styleId="PulloutGreen">
    <w:name w:val="Pullout Green"/>
    <w:basedOn w:val="PulloutBlue"/>
    <w:next w:val="Normal"/>
    <w:autoRedefine/>
    <w:qFormat/>
    <w:rsid w:val="004E7BDE"/>
    <w:pPr>
      <w:spacing w:line="240" w:lineRule="auto"/>
    </w:pPr>
    <w:rPr>
      <w:color w:val="86BC25" w:themeColor="accent1"/>
    </w:rPr>
  </w:style>
  <w:style w:type="paragraph" w:customStyle="1" w:styleId="QuotesourceBlue">
    <w:name w:val="Quote source Blue"/>
    <w:basedOn w:val="Normal"/>
    <w:next w:val="Normal"/>
    <w:qFormat/>
    <w:rsid w:val="000516C4"/>
    <w:pPr>
      <w:spacing w:line="200" w:lineRule="atLeast"/>
      <w:contextualSpacing/>
    </w:pPr>
    <w:rPr>
      <w:b/>
      <w:color w:val="62B5E5" w:themeColor="accent3"/>
      <w:sz w:val="17"/>
    </w:rPr>
  </w:style>
  <w:style w:type="paragraph" w:customStyle="1" w:styleId="QuotesourceGreen">
    <w:name w:val="Quote source Green"/>
    <w:basedOn w:val="QuotesourceBlue"/>
    <w:next w:val="Normal"/>
    <w:qFormat/>
    <w:rsid w:val="007B4261"/>
    <w:rPr>
      <w:color w:val="86BC25" w:themeColor="accent1"/>
    </w:rPr>
  </w:style>
  <w:style w:type="paragraph" w:customStyle="1" w:styleId="Paneltext">
    <w:name w:val="Panel text"/>
    <w:basedOn w:val="Normal"/>
    <w:qFormat/>
    <w:rsid w:val="00AE0FC7"/>
    <w:rPr>
      <w:color w:val="FFFFFF" w:themeColor="background1"/>
      <w:sz w:val="17"/>
    </w:rPr>
  </w:style>
  <w:style w:type="paragraph" w:customStyle="1" w:styleId="Paneltitle">
    <w:name w:val="Panel title"/>
    <w:basedOn w:val="Paneltext"/>
    <w:next w:val="Paneltext"/>
    <w:qFormat/>
    <w:rsid w:val="00D0023B"/>
    <w:pPr>
      <w:spacing w:line="360" w:lineRule="atLeast"/>
    </w:pPr>
    <w:rPr>
      <w:b/>
      <w:sz w:val="28"/>
    </w:rPr>
  </w:style>
  <w:style w:type="paragraph" w:customStyle="1" w:styleId="Formoreinfocalloutwhite8512ptPullOutStyles">
    <w:name w:val="For more info call out (white 8.5/12pt) (Pull Out Styles)"/>
    <w:basedOn w:val="Normal"/>
    <w:uiPriority w:val="99"/>
    <w:rsid w:val="00AE0FC7"/>
    <w:pPr>
      <w:tabs>
        <w:tab w:val="left" w:pos="283"/>
        <w:tab w:val="left" w:pos="567"/>
      </w:tabs>
      <w:suppressAutoHyphens/>
      <w:autoSpaceDE w:val="0"/>
      <w:autoSpaceDN w:val="0"/>
      <w:adjustRightInd w:val="0"/>
      <w:textAlignment w:val="center"/>
    </w:pPr>
    <w:rPr>
      <w:rFonts w:ascii="OpenSans-Bold" w:hAnsi="OpenSans-Bold" w:cs="OpenSans-Bold"/>
      <w:b/>
      <w:bCs/>
      <w:color w:val="FFFFFF"/>
      <w:spacing w:val="-2"/>
      <w:sz w:val="17"/>
      <w:szCs w:val="17"/>
    </w:rPr>
  </w:style>
  <w:style w:type="paragraph" w:customStyle="1" w:styleId="Documentsubtitle">
    <w:name w:val="Document subtitle"/>
    <w:basedOn w:val="Normal"/>
    <w:qFormat/>
    <w:rsid w:val="006528C9"/>
    <w:pPr>
      <w:spacing w:line="440" w:lineRule="atLeast"/>
    </w:pPr>
    <w:rPr>
      <w:sz w:val="36"/>
    </w:rPr>
  </w:style>
  <w:style w:type="paragraph" w:customStyle="1" w:styleId="Contentstitle">
    <w:name w:val="Contents title"/>
    <w:basedOn w:val="Sectiontitle"/>
    <w:next w:val="Normal"/>
    <w:autoRedefine/>
    <w:qFormat/>
    <w:rsid w:val="00244010"/>
  </w:style>
  <w:style w:type="paragraph" w:styleId="TOC1">
    <w:name w:val="toc 1"/>
    <w:basedOn w:val="Normal"/>
    <w:next w:val="Normal"/>
    <w:autoRedefine/>
    <w:uiPriority w:val="39"/>
    <w:rsid w:val="00DC7AC4"/>
    <w:pPr>
      <w:spacing w:line="360" w:lineRule="atLeast"/>
      <w:ind w:right="84"/>
    </w:pPr>
    <w:rPr>
      <w:sz w:val="28"/>
    </w:rPr>
  </w:style>
  <w:style w:type="paragraph" w:customStyle="1" w:styleId="Quotetext">
    <w:name w:val="Quote text"/>
    <w:basedOn w:val="PulloutBlue"/>
    <w:autoRedefine/>
    <w:qFormat/>
    <w:rsid w:val="00A70055"/>
    <w:pPr>
      <w:spacing w:line="240" w:lineRule="auto"/>
    </w:pPr>
    <w:rPr>
      <w:color w:val="FFFFFF" w:themeColor="background1"/>
      <w:sz w:val="18"/>
    </w:rPr>
  </w:style>
  <w:style w:type="paragraph" w:customStyle="1" w:styleId="Legaltext">
    <w:name w:val="Legal text"/>
    <w:basedOn w:val="Normal"/>
    <w:qFormat/>
    <w:rsid w:val="00BF6F8B"/>
    <w:pPr>
      <w:spacing w:line="180" w:lineRule="atLeast"/>
      <w:ind w:right="5387"/>
    </w:pPr>
    <w:rPr>
      <w:sz w:val="14"/>
    </w:rPr>
  </w:style>
  <w:style w:type="table" w:customStyle="1" w:styleId="Deloittetable">
    <w:name w:val="Deloitte table"/>
    <w:basedOn w:val="TableNormal"/>
    <w:uiPriority w:val="99"/>
    <w:rsid w:val="003B3379"/>
    <w:pPr>
      <w:spacing w:after="0" w:line="240" w:lineRule="auto"/>
    </w:pPr>
    <w:rPr>
      <w:sz w:val="17"/>
    </w:rPr>
    <w:tblPr>
      <w:tblBorders>
        <w:top w:val="single" w:sz="4" w:space="0" w:color="62B5E5" w:themeColor="accent3"/>
        <w:bottom w:val="single" w:sz="4" w:space="0" w:color="000000" w:themeColor="text1"/>
        <w:insideH w:val="single" w:sz="4" w:space="0" w:color="000000" w:themeColor="text1"/>
      </w:tblBorders>
      <w:tblCellMar>
        <w:top w:w="57" w:type="dxa"/>
        <w:left w:w="0" w:type="dxa"/>
        <w:bottom w:w="57" w:type="dxa"/>
        <w:right w:w="0" w:type="dxa"/>
      </w:tblCellMar>
    </w:tblPr>
    <w:tblStylePr w:type="firstRow">
      <w:tblPr/>
      <w:tcPr>
        <w:tcBorders>
          <w:top w:val="single" w:sz="24" w:space="0" w:color="62B5E5" w:themeColor="accent3"/>
        </w:tcBorders>
      </w:tcPr>
    </w:tblStylePr>
  </w:style>
  <w:style w:type="paragraph" w:customStyle="1" w:styleId="Tabletext">
    <w:name w:val="Table text"/>
    <w:basedOn w:val="Normal"/>
    <w:qFormat/>
    <w:rsid w:val="004D1F57"/>
    <w:pPr>
      <w:spacing w:line="200" w:lineRule="atLeast"/>
    </w:pPr>
    <w:rPr>
      <w:sz w:val="17"/>
    </w:rPr>
  </w:style>
  <w:style w:type="paragraph" w:customStyle="1" w:styleId="Tabletitle">
    <w:name w:val="Table title"/>
    <w:basedOn w:val="Tabletext"/>
    <w:qFormat/>
    <w:rsid w:val="004D1F57"/>
    <w:rPr>
      <w:b/>
      <w:color w:val="62B5E5" w:themeColor="accent3"/>
    </w:rPr>
  </w:style>
  <w:style w:type="paragraph" w:customStyle="1" w:styleId="SourcetextTableorChart">
    <w:name w:val="Source text Table or Chart"/>
    <w:basedOn w:val="Caption"/>
    <w:next w:val="Normal"/>
    <w:qFormat/>
    <w:rsid w:val="003B3379"/>
    <w:rPr>
      <w:sz w:val="14"/>
    </w:rPr>
  </w:style>
  <w:style w:type="paragraph" w:customStyle="1" w:styleId="Tablebullets">
    <w:name w:val="Table bullets"/>
    <w:basedOn w:val="Tabletext"/>
    <w:qFormat/>
    <w:rsid w:val="00DB4410"/>
    <w:pPr>
      <w:framePr w:hSpace="180" w:wrap="around" w:vAnchor="text" w:hAnchor="text" w:y="1"/>
      <w:numPr>
        <w:numId w:val="5"/>
      </w:numPr>
      <w:ind w:left="284" w:hanging="284"/>
      <w:suppressOverlap/>
    </w:pPr>
  </w:style>
  <w:style w:type="paragraph" w:customStyle="1" w:styleId="Tablenumbered">
    <w:name w:val="Table numbered"/>
    <w:basedOn w:val="Tabletext"/>
    <w:qFormat/>
    <w:rsid w:val="00DB4410"/>
    <w:pPr>
      <w:framePr w:hSpace="180" w:wrap="around" w:vAnchor="text" w:hAnchor="text" w:y="1"/>
      <w:numPr>
        <w:numId w:val="6"/>
      </w:numPr>
      <w:ind w:left="284" w:hanging="284"/>
      <w:suppressOverlap/>
    </w:pPr>
  </w:style>
  <w:style w:type="paragraph" w:customStyle="1" w:styleId="Charttitle">
    <w:name w:val="Chart title"/>
    <w:basedOn w:val="Heading2"/>
    <w:qFormat/>
    <w:rsid w:val="009E24F0"/>
    <w:pPr>
      <w:framePr w:hSpace="181" w:wrap="around" w:vAnchor="text" w:hAnchor="text" w:y="1"/>
      <w:suppressOverlap/>
    </w:pPr>
  </w:style>
  <w:style w:type="table" w:customStyle="1" w:styleId="Style1">
    <w:name w:val="Style1"/>
    <w:basedOn w:val="TableNormal"/>
    <w:rsid w:val="008F3793"/>
    <w:pPr>
      <w:spacing w:after="0" w:line="240" w:lineRule="auto"/>
    </w:pPr>
    <w:rPr>
      <w:rFonts w:ascii="Arial" w:eastAsia="Times New Roman" w:hAnsi="Arial" w:cs="Times New Roman"/>
      <w:sz w:val="19"/>
      <w:szCs w:val="20"/>
      <w:lang w:val="en-US"/>
    </w:rPr>
    <w:tblPr/>
  </w:style>
  <w:style w:type="paragraph" w:styleId="ListParagraph">
    <w:name w:val="List Paragraph"/>
    <w:aliases w:val="body,Odsek zoznamu2,A-Odrážky1,Odstavec_muj,Nad,_Odstavec se seznamem,Odstavec_muj1,Odstavec_muj2,Odstavec_muj3,Nad1,Odstavec_muj4,Nad2,List Paragraph2,Odstavec_muj5,Odstavec_muj6,Odstavec_muj7,Odstavec_muj8,Odstavec_muj9,List Paragraph1"/>
    <w:basedOn w:val="Normal"/>
    <w:link w:val="ListParagraphChar"/>
    <w:uiPriority w:val="34"/>
    <w:qFormat/>
    <w:rsid w:val="00B0035E"/>
    <w:rPr>
      <w:rFonts w:ascii="Verdana" w:eastAsia="Times New Roman" w:hAnsi="Verdana" w:cs="Times New Roman"/>
      <w:szCs w:val="24"/>
      <w:lang w:eastAsia="sk-SK"/>
    </w:rPr>
  </w:style>
  <w:style w:type="table" w:customStyle="1" w:styleId="Svetlzoznamzvraznenie11">
    <w:name w:val="Svetlý zoznam – zvýraznenie 11"/>
    <w:basedOn w:val="TableNormal"/>
    <w:uiPriority w:val="61"/>
    <w:rsid w:val="00F3249F"/>
    <w:pPr>
      <w:spacing w:after="0" w:line="240" w:lineRule="auto"/>
    </w:pPr>
    <w:rPr>
      <w:rFonts w:ascii="Times New Roman" w:eastAsia="Times New Roman" w:hAnsi="Times New Roman" w:cs="Times New Roman"/>
      <w:sz w:val="20"/>
      <w:szCs w:val="20"/>
      <w:lang w:val="sk-SK" w:eastAsia="sk-SK"/>
    </w:rPr>
    <w:tblPr>
      <w:tblStyleRowBandSize w:val="1"/>
      <w:tblStyleColBandSize w:val="1"/>
      <w:tblBorders>
        <w:top w:val="single" w:sz="8" w:space="0" w:color="86BC25" w:themeColor="accent1"/>
        <w:left w:val="single" w:sz="8" w:space="0" w:color="86BC25" w:themeColor="accent1"/>
        <w:bottom w:val="single" w:sz="8" w:space="0" w:color="86BC25" w:themeColor="accent1"/>
        <w:right w:val="single" w:sz="8" w:space="0" w:color="86BC25" w:themeColor="accent1"/>
      </w:tblBorders>
    </w:tblPr>
    <w:tblStylePr w:type="firstRow">
      <w:pPr>
        <w:spacing w:before="0" w:after="0" w:line="240" w:lineRule="auto"/>
      </w:pPr>
      <w:rPr>
        <w:b/>
        <w:bCs/>
        <w:color w:val="FFFFFF" w:themeColor="background1"/>
      </w:rPr>
      <w:tblPr/>
      <w:tcPr>
        <w:shd w:val="clear" w:color="auto" w:fill="86BC25" w:themeFill="accent1"/>
      </w:tcPr>
    </w:tblStylePr>
    <w:tblStylePr w:type="lastRow">
      <w:pPr>
        <w:spacing w:before="0" w:after="0" w:line="240" w:lineRule="auto"/>
      </w:pPr>
      <w:rPr>
        <w:b/>
        <w:bCs/>
      </w:rPr>
      <w:tblPr/>
      <w:tcPr>
        <w:tcBorders>
          <w:top w:val="double" w:sz="6" w:space="0" w:color="86BC25" w:themeColor="accent1"/>
          <w:left w:val="single" w:sz="8" w:space="0" w:color="86BC25" w:themeColor="accent1"/>
          <w:bottom w:val="single" w:sz="8" w:space="0" w:color="86BC25" w:themeColor="accent1"/>
          <w:right w:val="single" w:sz="8" w:space="0" w:color="86BC25" w:themeColor="accent1"/>
        </w:tcBorders>
      </w:tcPr>
    </w:tblStylePr>
    <w:tblStylePr w:type="firstCol">
      <w:rPr>
        <w:b/>
        <w:bCs/>
      </w:rPr>
    </w:tblStylePr>
    <w:tblStylePr w:type="lastCol">
      <w:rPr>
        <w:b/>
        <w:bCs/>
      </w:rPr>
    </w:tblStylePr>
    <w:tblStylePr w:type="band1Vert">
      <w:tblPr/>
      <w:tcPr>
        <w:tcBorders>
          <w:top w:val="single" w:sz="8" w:space="0" w:color="86BC25" w:themeColor="accent1"/>
          <w:left w:val="single" w:sz="8" w:space="0" w:color="86BC25" w:themeColor="accent1"/>
          <w:bottom w:val="single" w:sz="8" w:space="0" w:color="86BC25" w:themeColor="accent1"/>
          <w:right w:val="single" w:sz="8" w:space="0" w:color="86BC25" w:themeColor="accent1"/>
        </w:tcBorders>
      </w:tcPr>
    </w:tblStylePr>
    <w:tblStylePr w:type="band1Horz">
      <w:tblPr/>
      <w:tcPr>
        <w:tcBorders>
          <w:top w:val="single" w:sz="8" w:space="0" w:color="86BC25" w:themeColor="accent1"/>
          <w:left w:val="single" w:sz="8" w:space="0" w:color="86BC25" w:themeColor="accent1"/>
          <w:bottom w:val="single" w:sz="8" w:space="0" w:color="86BC25" w:themeColor="accent1"/>
          <w:right w:val="single" w:sz="8" w:space="0" w:color="86BC25" w:themeColor="accent1"/>
        </w:tcBorders>
      </w:tcPr>
    </w:tblStylePr>
  </w:style>
  <w:style w:type="paragraph" w:customStyle="1" w:styleId="06Normal">
    <w:name w:val="06_Normal"/>
    <w:link w:val="06NormalChar"/>
    <w:qFormat/>
    <w:rsid w:val="00F846E1"/>
    <w:pPr>
      <w:spacing w:before="120" w:after="120" w:line="288" w:lineRule="auto"/>
      <w:jc w:val="both"/>
    </w:pPr>
    <w:rPr>
      <w:rFonts w:ascii="Verdana" w:eastAsia="Times New Roman" w:hAnsi="Verdana" w:cs="Times New Roman"/>
      <w:sz w:val="18"/>
      <w:szCs w:val="20"/>
      <w:lang w:val="sk-SK"/>
    </w:rPr>
  </w:style>
  <w:style w:type="character" w:customStyle="1" w:styleId="06NormalChar">
    <w:name w:val="06_Normal Char"/>
    <w:link w:val="06Normal"/>
    <w:rsid w:val="00F846E1"/>
    <w:rPr>
      <w:rFonts w:ascii="Verdana" w:eastAsia="Times New Roman" w:hAnsi="Verdana" w:cs="Times New Roman"/>
      <w:sz w:val="18"/>
      <w:szCs w:val="20"/>
      <w:lang w:val="sk-SK"/>
    </w:rPr>
  </w:style>
  <w:style w:type="character" w:customStyle="1" w:styleId="ListParagraphChar">
    <w:name w:val="List Paragraph Char"/>
    <w:aliases w:val="body Char,Odsek zoznamu2 Char,A-Odrážky1 Char,Odstavec_muj Char,Nad Char,_Odstavec se seznamem Char,Odstavec_muj1 Char,Odstavec_muj2 Char,Odstavec_muj3 Char,Nad1 Char,Odstavec_muj4 Char,Nad2 Char,List Paragraph2 Char"/>
    <w:basedOn w:val="DefaultParagraphFont"/>
    <w:link w:val="ListParagraph"/>
    <w:uiPriority w:val="34"/>
    <w:qFormat/>
    <w:rsid w:val="00B0035E"/>
    <w:rPr>
      <w:rFonts w:ascii="Verdana" w:eastAsia="Times New Roman" w:hAnsi="Verdana" w:cs="Times New Roman"/>
      <w:sz w:val="18"/>
      <w:szCs w:val="24"/>
      <w:lang w:val="sk-SK" w:eastAsia="sk-SK"/>
    </w:rPr>
  </w:style>
  <w:style w:type="table" w:styleId="ListTable3-Accent1">
    <w:name w:val="List Table 3 Accent 1"/>
    <w:basedOn w:val="TableNormal"/>
    <w:uiPriority w:val="48"/>
    <w:rsid w:val="00F50048"/>
    <w:pPr>
      <w:spacing w:after="0" w:line="240" w:lineRule="auto"/>
    </w:pPr>
    <w:rPr>
      <w:rFonts w:ascii="Verdana" w:eastAsia="Verdana" w:hAnsi="Verdana" w:cs="Times New Roman"/>
      <w:sz w:val="20"/>
      <w:szCs w:val="20"/>
      <w:lang w:val="cs-CZ" w:eastAsia="cs-CZ"/>
    </w:rPr>
    <w:tblPr>
      <w:tblStyleRowBandSize w:val="1"/>
      <w:tblStyleColBandSize w:val="1"/>
      <w:tblBorders>
        <w:top w:val="single" w:sz="4" w:space="0" w:color="86BC25" w:themeColor="accent1"/>
        <w:left w:val="single" w:sz="4" w:space="0" w:color="86BC25" w:themeColor="accent1"/>
        <w:bottom w:val="single" w:sz="4" w:space="0" w:color="86BC25" w:themeColor="accent1"/>
        <w:right w:val="single" w:sz="4" w:space="0" w:color="86BC25" w:themeColor="accent1"/>
      </w:tblBorders>
    </w:tblPr>
    <w:tblStylePr w:type="firstRow">
      <w:rPr>
        <w:b/>
        <w:bCs/>
        <w:color w:val="FFFFFF" w:themeColor="background1"/>
      </w:rPr>
      <w:tblPr/>
      <w:tcPr>
        <w:shd w:val="clear" w:color="auto" w:fill="86BC25" w:themeFill="accent1"/>
      </w:tcPr>
    </w:tblStylePr>
    <w:tblStylePr w:type="lastRow">
      <w:rPr>
        <w:b/>
        <w:bCs/>
      </w:rPr>
      <w:tblPr/>
      <w:tcPr>
        <w:tcBorders>
          <w:top w:val="double" w:sz="4" w:space="0" w:color="86BC2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6BC25" w:themeColor="accent1"/>
          <w:right w:val="single" w:sz="4" w:space="0" w:color="86BC25" w:themeColor="accent1"/>
        </w:tcBorders>
      </w:tcPr>
    </w:tblStylePr>
    <w:tblStylePr w:type="band1Horz">
      <w:tblPr/>
      <w:tcPr>
        <w:tcBorders>
          <w:top w:val="single" w:sz="4" w:space="0" w:color="86BC25" w:themeColor="accent1"/>
          <w:bottom w:val="single" w:sz="4" w:space="0" w:color="86BC2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6BC25" w:themeColor="accent1"/>
          <w:left w:val="nil"/>
        </w:tcBorders>
      </w:tcPr>
    </w:tblStylePr>
    <w:tblStylePr w:type="swCell">
      <w:tblPr/>
      <w:tcPr>
        <w:tcBorders>
          <w:top w:val="double" w:sz="4" w:space="0" w:color="86BC25" w:themeColor="accent1"/>
          <w:right w:val="nil"/>
        </w:tcBorders>
      </w:tcPr>
    </w:tblStylePr>
  </w:style>
  <w:style w:type="character" w:styleId="CommentReference">
    <w:name w:val="annotation reference"/>
    <w:basedOn w:val="DefaultParagraphFont"/>
    <w:uiPriority w:val="99"/>
    <w:semiHidden/>
    <w:unhideWhenUsed/>
    <w:rsid w:val="00F50048"/>
    <w:rPr>
      <w:sz w:val="16"/>
      <w:szCs w:val="16"/>
    </w:rPr>
  </w:style>
  <w:style w:type="paragraph" w:styleId="CommentText">
    <w:name w:val="annotation text"/>
    <w:basedOn w:val="Normal"/>
    <w:link w:val="CommentTextChar"/>
    <w:uiPriority w:val="99"/>
    <w:unhideWhenUsed/>
    <w:rsid w:val="00F50048"/>
    <w:pPr>
      <w:spacing w:line="240" w:lineRule="auto"/>
    </w:pPr>
    <w:rPr>
      <w:sz w:val="20"/>
      <w:szCs w:val="20"/>
    </w:rPr>
  </w:style>
  <w:style w:type="character" w:customStyle="1" w:styleId="CommentTextChar">
    <w:name w:val="Comment Text Char"/>
    <w:basedOn w:val="DefaultParagraphFont"/>
    <w:link w:val="CommentText"/>
    <w:uiPriority w:val="99"/>
    <w:rsid w:val="00F50048"/>
    <w:rPr>
      <w:sz w:val="20"/>
      <w:szCs w:val="20"/>
      <w:lang w:val="en-US"/>
    </w:rPr>
  </w:style>
  <w:style w:type="paragraph" w:customStyle="1" w:styleId="Style30">
    <w:name w:val="Style30"/>
    <w:basedOn w:val="Normal"/>
    <w:uiPriority w:val="99"/>
    <w:rsid w:val="00F50048"/>
    <w:pPr>
      <w:widowControl w:val="0"/>
      <w:autoSpaceDE w:val="0"/>
      <w:autoSpaceDN w:val="0"/>
      <w:adjustRightInd w:val="0"/>
    </w:pPr>
    <w:rPr>
      <w:rFonts w:ascii="Times New Roman" w:eastAsia="Times New Roman" w:hAnsi="Times New Roman" w:cs="Times New Roman"/>
      <w:sz w:val="23"/>
      <w:szCs w:val="24"/>
      <w:lang w:eastAsia="sk-SK"/>
    </w:rPr>
  </w:style>
  <w:style w:type="table" w:styleId="GridTable1Light-Accent1">
    <w:name w:val="Grid Table 1 Light Accent 1"/>
    <w:basedOn w:val="TableNormal"/>
    <w:uiPriority w:val="46"/>
    <w:rsid w:val="00F41009"/>
    <w:pPr>
      <w:spacing w:after="0" w:line="240" w:lineRule="auto"/>
    </w:pPr>
    <w:tblPr>
      <w:tblStyleRowBandSize w:val="1"/>
      <w:tblStyleColBandSize w:val="1"/>
      <w:tblBorders>
        <w:top w:val="single" w:sz="4" w:space="0" w:color="D0EC9F" w:themeColor="accent1" w:themeTint="66"/>
        <w:left w:val="single" w:sz="4" w:space="0" w:color="D0EC9F" w:themeColor="accent1" w:themeTint="66"/>
        <w:bottom w:val="single" w:sz="4" w:space="0" w:color="D0EC9F" w:themeColor="accent1" w:themeTint="66"/>
        <w:right w:val="single" w:sz="4" w:space="0" w:color="D0EC9F" w:themeColor="accent1" w:themeTint="66"/>
        <w:insideH w:val="single" w:sz="4" w:space="0" w:color="D0EC9F" w:themeColor="accent1" w:themeTint="66"/>
        <w:insideV w:val="single" w:sz="4" w:space="0" w:color="D0EC9F" w:themeColor="accent1" w:themeTint="66"/>
      </w:tblBorders>
    </w:tblPr>
    <w:tblStylePr w:type="firstRow">
      <w:rPr>
        <w:b/>
        <w:bCs/>
      </w:rPr>
      <w:tblPr/>
      <w:tcPr>
        <w:tcBorders>
          <w:bottom w:val="single" w:sz="12" w:space="0" w:color="B9E370" w:themeColor="accent1" w:themeTint="99"/>
        </w:tcBorders>
      </w:tcPr>
    </w:tblStylePr>
    <w:tblStylePr w:type="lastRow">
      <w:rPr>
        <w:b/>
        <w:bCs/>
      </w:rPr>
      <w:tblPr/>
      <w:tcPr>
        <w:tcBorders>
          <w:top w:val="double" w:sz="2" w:space="0" w:color="B9E370" w:themeColor="accen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F4100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4260C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SectiontitleChar">
    <w:name w:val="Section title Char"/>
    <w:basedOn w:val="DefaultParagraphFont"/>
    <w:link w:val="Sectiontitle"/>
    <w:rsid w:val="000A39BD"/>
    <w:rPr>
      <w:sz w:val="60"/>
      <w:lang w:val="sk-SK"/>
    </w:rPr>
  </w:style>
  <w:style w:type="paragraph" w:styleId="CommentSubject">
    <w:name w:val="annotation subject"/>
    <w:basedOn w:val="CommentText"/>
    <w:next w:val="CommentText"/>
    <w:link w:val="CommentSubjectChar"/>
    <w:uiPriority w:val="99"/>
    <w:semiHidden/>
    <w:unhideWhenUsed/>
    <w:rsid w:val="001616A1"/>
    <w:rPr>
      <w:b/>
      <w:bCs/>
    </w:rPr>
  </w:style>
  <w:style w:type="character" w:customStyle="1" w:styleId="CommentSubjectChar">
    <w:name w:val="Comment Subject Char"/>
    <w:basedOn w:val="CommentTextChar"/>
    <w:link w:val="CommentSubject"/>
    <w:uiPriority w:val="99"/>
    <w:semiHidden/>
    <w:rsid w:val="001616A1"/>
    <w:rPr>
      <w:b/>
      <w:bCs/>
      <w:sz w:val="20"/>
      <w:szCs w:val="20"/>
      <w:lang w:val="sk-SK"/>
    </w:rPr>
  </w:style>
  <w:style w:type="paragraph" w:styleId="TableofFigures">
    <w:name w:val="table of figures"/>
    <w:basedOn w:val="Normal"/>
    <w:next w:val="Normal"/>
    <w:uiPriority w:val="99"/>
    <w:unhideWhenUsed/>
    <w:rsid w:val="00BB0829"/>
    <w:pPr>
      <w:spacing w:after="0"/>
    </w:pPr>
  </w:style>
  <w:style w:type="paragraph" w:styleId="TOCHeading">
    <w:name w:val="TOC Heading"/>
    <w:basedOn w:val="Heading1"/>
    <w:next w:val="Normal"/>
    <w:uiPriority w:val="39"/>
    <w:unhideWhenUsed/>
    <w:qFormat/>
    <w:rsid w:val="006C392F"/>
    <w:pPr>
      <w:spacing w:after="0" w:line="259" w:lineRule="auto"/>
      <w:jc w:val="left"/>
      <w:outlineLvl w:val="9"/>
    </w:pPr>
    <w:rPr>
      <w:b w:val="0"/>
      <w:bCs w:val="0"/>
      <w:color w:val="638C1B" w:themeColor="accent1" w:themeShade="BF"/>
      <w:sz w:val="32"/>
      <w:szCs w:val="32"/>
      <w:lang w:val="en-US"/>
    </w:rPr>
  </w:style>
  <w:style w:type="paragraph" w:styleId="TOC2">
    <w:name w:val="toc 2"/>
    <w:basedOn w:val="Normal"/>
    <w:next w:val="Normal"/>
    <w:autoRedefine/>
    <w:uiPriority w:val="39"/>
    <w:unhideWhenUsed/>
    <w:rsid w:val="006C392F"/>
    <w:pPr>
      <w:spacing w:after="100"/>
      <w:ind w:left="180"/>
    </w:pPr>
  </w:style>
  <w:style w:type="paragraph" w:styleId="TOC3">
    <w:name w:val="toc 3"/>
    <w:basedOn w:val="Normal"/>
    <w:next w:val="Normal"/>
    <w:autoRedefine/>
    <w:uiPriority w:val="39"/>
    <w:unhideWhenUsed/>
    <w:rsid w:val="00B57491"/>
    <w:pPr>
      <w:spacing w:before="0" w:after="100" w:line="259" w:lineRule="auto"/>
      <w:ind w:left="440"/>
      <w:jc w:val="left"/>
    </w:pPr>
    <w:rPr>
      <w:rFonts w:eastAsiaTheme="minorEastAsia" w:cs="Times New Roman"/>
      <w:sz w:val="22"/>
      <w:lang w:val="en-US"/>
    </w:rPr>
  </w:style>
  <w:style w:type="character" w:styleId="FollowedHyperlink">
    <w:name w:val="FollowedHyperlink"/>
    <w:basedOn w:val="DefaultParagraphFont"/>
    <w:uiPriority w:val="99"/>
    <w:semiHidden/>
    <w:unhideWhenUsed/>
    <w:rsid w:val="00195F15"/>
    <w:rPr>
      <w:color w:val="53565A" w:themeColor="followedHyperlink"/>
      <w:u w:val="single"/>
    </w:rPr>
  </w:style>
  <w:style w:type="table" w:styleId="ListTable3-Accent6">
    <w:name w:val="List Table 3 Accent 6"/>
    <w:basedOn w:val="TableNormal"/>
    <w:uiPriority w:val="48"/>
    <w:rsid w:val="006E0085"/>
    <w:pPr>
      <w:spacing w:after="0" w:line="240" w:lineRule="auto"/>
    </w:pPr>
    <w:rPr>
      <w:lang w:val="en-US"/>
    </w:rPr>
    <w:tblPr>
      <w:tblStyleRowBandSize w:val="1"/>
      <w:tblStyleColBandSize w:val="1"/>
      <w:tblBorders>
        <w:top w:val="single" w:sz="4" w:space="0" w:color="75787B" w:themeColor="accent6"/>
        <w:left w:val="single" w:sz="4" w:space="0" w:color="75787B" w:themeColor="accent6"/>
        <w:bottom w:val="single" w:sz="4" w:space="0" w:color="75787B" w:themeColor="accent6"/>
        <w:right w:val="single" w:sz="4" w:space="0" w:color="75787B" w:themeColor="accent6"/>
      </w:tblBorders>
    </w:tblPr>
    <w:tblStylePr w:type="firstRow">
      <w:rPr>
        <w:b/>
        <w:bCs/>
        <w:color w:val="FFFFFF" w:themeColor="background1"/>
      </w:rPr>
      <w:tblPr/>
      <w:tcPr>
        <w:shd w:val="clear" w:color="auto" w:fill="75787B" w:themeFill="accent6"/>
      </w:tcPr>
    </w:tblStylePr>
    <w:tblStylePr w:type="lastRow">
      <w:rPr>
        <w:b/>
        <w:bCs/>
      </w:rPr>
      <w:tblPr/>
      <w:tcPr>
        <w:tcBorders>
          <w:top w:val="double" w:sz="4" w:space="0" w:color="75787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5787B" w:themeColor="accent6"/>
          <w:right w:val="single" w:sz="4" w:space="0" w:color="75787B" w:themeColor="accent6"/>
        </w:tcBorders>
      </w:tcPr>
    </w:tblStylePr>
    <w:tblStylePr w:type="band1Horz">
      <w:tblPr/>
      <w:tcPr>
        <w:tcBorders>
          <w:top w:val="single" w:sz="4" w:space="0" w:color="75787B" w:themeColor="accent6"/>
          <w:bottom w:val="single" w:sz="4" w:space="0" w:color="75787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5787B" w:themeColor="accent6"/>
          <w:left w:val="nil"/>
        </w:tcBorders>
      </w:tcPr>
    </w:tblStylePr>
    <w:tblStylePr w:type="swCell">
      <w:tblPr/>
      <w:tcPr>
        <w:tcBorders>
          <w:top w:val="double" w:sz="4" w:space="0" w:color="75787B" w:themeColor="accent6"/>
          <w:right w:val="nil"/>
        </w:tcBorders>
      </w:tcPr>
    </w:tblStylePr>
  </w:style>
  <w:style w:type="paragraph" w:styleId="EndnoteText">
    <w:name w:val="endnote text"/>
    <w:basedOn w:val="Normal"/>
    <w:link w:val="EndnoteTextChar"/>
    <w:uiPriority w:val="99"/>
    <w:semiHidden/>
    <w:unhideWhenUsed/>
    <w:rsid w:val="00981061"/>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981061"/>
    <w:rPr>
      <w:sz w:val="20"/>
      <w:szCs w:val="20"/>
      <w:lang w:val="sk-SK"/>
    </w:rPr>
  </w:style>
  <w:style w:type="character" w:styleId="EndnoteReference">
    <w:name w:val="endnote reference"/>
    <w:basedOn w:val="DefaultParagraphFont"/>
    <w:uiPriority w:val="99"/>
    <w:semiHidden/>
    <w:unhideWhenUsed/>
    <w:rsid w:val="00981061"/>
    <w:rPr>
      <w:vertAlign w:val="superscript"/>
    </w:rPr>
  </w:style>
  <w:style w:type="table" w:customStyle="1" w:styleId="TableGridDeloitte1">
    <w:name w:val="Table Grid Deloitte.1"/>
    <w:basedOn w:val="TableNormal"/>
    <w:uiPriority w:val="59"/>
    <w:rsid w:val="007D7881"/>
    <w:pPr>
      <w:spacing w:after="0" w:line="240" w:lineRule="auto"/>
    </w:pPr>
    <w:rPr>
      <w:rFonts w:ascii="Calibri" w:eastAsia="Calibri" w:hAnsi="Calibri" w:cs="Times New Roman"/>
      <w:sz w:val="20"/>
      <w:szCs w:val="20"/>
      <w:lang w:val="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15A0A"/>
    <w:pPr>
      <w:spacing w:after="0" w:line="240" w:lineRule="auto"/>
    </w:pPr>
    <w:rPr>
      <w:sz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1236">
      <w:bodyDiv w:val="1"/>
      <w:marLeft w:val="0"/>
      <w:marRight w:val="0"/>
      <w:marTop w:val="0"/>
      <w:marBottom w:val="0"/>
      <w:divBdr>
        <w:top w:val="none" w:sz="0" w:space="0" w:color="auto"/>
        <w:left w:val="none" w:sz="0" w:space="0" w:color="auto"/>
        <w:bottom w:val="none" w:sz="0" w:space="0" w:color="auto"/>
        <w:right w:val="none" w:sz="0" w:space="0" w:color="auto"/>
      </w:divBdr>
    </w:div>
    <w:div w:id="303314764">
      <w:bodyDiv w:val="1"/>
      <w:marLeft w:val="0"/>
      <w:marRight w:val="0"/>
      <w:marTop w:val="0"/>
      <w:marBottom w:val="0"/>
      <w:divBdr>
        <w:top w:val="none" w:sz="0" w:space="0" w:color="auto"/>
        <w:left w:val="none" w:sz="0" w:space="0" w:color="auto"/>
        <w:bottom w:val="none" w:sz="0" w:space="0" w:color="auto"/>
        <w:right w:val="none" w:sz="0" w:space="0" w:color="auto"/>
      </w:divBdr>
    </w:div>
    <w:div w:id="594438452">
      <w:bodyDiv w:val="1"/>
      <w:marLeft w:val="0"/>
      <w:marRight w:val="0"/>
      <w:marTop w:val="0"/>
      <w:marBottom w:val="0"/>
      <w:divBdr>
        <w:top w:val="none" w:sz="0" w:space="0" w:color="auto"/>
        <w:left w:val="none" w:sz="0" w:space="0" w:color="auto"/>
        <w:bottom w:val="none" w:sz="0" w:space="0" w:color="auto"/>
        <w:right w:val="none" w:sz="0" w:space="0" w:color="auto"/>
      </w:divBdr>
    </w:div>
    <w:div w:id="796337680">
      <w:bodyDiv w:val="1"/>
      <w:marLeft w:val="0"/>
      <w:marRight w:val="0"/>
      <w:marTop w:val="0"/>
      <w:marBottom w:val="0"/>
      <w:divBdr>
        <w:top w:val="none" w:sz="0" w:space="0" w:color="auto"/>
        <w:left w:val="none" w:sz="0" w:space="0" w:color="auto"/>
        <w:bottom w:val="none" w:sz="0" w:space="0" w:color="auto"/>
        <w:right w:val="none" w:sz="0" w:space="0" w:color="auto"/>
      </w:divBdr>
    </w:div>
    <w:div w:id="1156267986">
      <w:bodyDiv w:val="1"/>
      <w:marLeft w:val="0"/>
      <w:marRight w:val="0"/>
      <w:marTop w:val="0"/>
      <w:marBottom w:val="0"/>
      <w:divBdr>
        <w:top w:val="none" w:sz="0" w:space="0" w:color="auto"/>
        <w:left w:val="none" w:sz="0" w:space="0" w:color="auto"/>
        <w:bottom w:val="none" w:sz="0" w:space="0" w:color="auto"/>
        <w:right w:val="none" w:sz="0" w:space="0" w:color="auto"/>
      </w:divBdr>
    </w:div>
    <w:div w:id="1168983494">
      <w:bodyDiv w:val="1"/>
      <w:marLeft w:val="0"/>
      <w:marRight w:val="0"/>
      <w:marTop w:val="0"/>
      <w:marBottom w:val="0"/>
      <w:divBdr>
        <w:top w:val="none" w:sz="0" w:space="0" w:color="auto"/>
        <w:left w:val="none" w:sz="0" w:space="0" w:color="auto"/>
        <w:bottom w:val="none" w:sz="0" w:space="0" w:color="auto"/>
        <w:right w:val="none" w:sz="0" w:space="0" w:color="auto"/>
      </w:divBdr>
      <w:divsChild>
        <w:div w:id="1605384051">
          <w:marLeft w:val="547"/>
          <w:marRight w:val="0"/>
          <w:marTop w:val="0"/>
          <w:marBottom w:val="0"/>
          <w:divBdr>
            <w:top w:val="none" w:sz="0" w:space="0" w:color="auto"/>
            <w:left w:val="none" w:sz="0" w:space="0" w:color="auto"/>
            <w:bottom w:val="none" w:sz="0" w:space="0" w:color="auto"/>
            <w:right w:val="none" w:sz="0" w:space="0" w:color="auto"/>
          </w:divBdr>
        </w:div>
        <w:div w:id="181884192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opii.gov.sk" TargetMode="External"/><Relationship Id="rId18" Type="http://schemas.openxmlformats.org/officeDocument/2006/relationships/hyperlink" Target="https://ec.europa.eu/eurostat/" TargetMode="External"/><Relationship Id="rId26" Type="http://schemas.openxmlformats.org/officeDocument/2006/relationships/chart" Target="charts/chart1.xml"/><Relationship Id="rId39"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diagramData" Target="diagrams/data1.xml"/><Relationship Id="rId34"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7.png"/><Relationship Id="rId25" Type="http://schemas.microsoft.com/office/2007/relationships/diagramDrawing" Target="diagrams/drawing1.xml"/><Relationship Id="rId33" Type="http://schemas.openxmlformats.org/officeDocument/2006/relationships/image" Target="media/image9.emf"/><Relationship Id="rId38" Type="http://schemas.openxmlformats.org/officeDocument/2006/relationships/image" Target="media/image13.e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www.opii.gov.sk" TargetMode="External"/><Relationship Id="rId29" Type="http://schemas.openxmlformats.org/officeDocument/2006/relationships/header" Target="header4.xml"/><Relationship Id="rId41" Type="http://schemas.openxmlformats.org/officeDocument/2006/relationships/hyperlink" Target="http://www.deloitte.com/sk/o-n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diagramColors" Target="diagrams/colors1.xml"/><Relationship Id="rId32" Type="http://schemas.openxmlformats.org/officeDocument/2006/relationships/footer" Target="footer3.xml"/><Relationship Id="rId37" Type="http://schemas.openxmlformats.org/officeDocument/2006/relationships/hyperlink" Target="https://rokovania.gov.sk/RVL/Material/23662/1" TargetMode="External"/><Relationship Id="rId40" Type="http://schemas.openxmlformats.org/officeDocument/2006/relationships/image" Target="media/image15.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opii.gov.sk" TargetMode="External"/><Relationship Id="rId23" Type="http://schemas.openxmlformats.org/officeDocument/2006/relationships/diagramQuickStyle" Target="diagrams/quickStyle1.xml"/><Relationship Id="rId28" Type="http://schemas.openxmlformats.org/officeDocument/2006/relationships/header" Target="header3.xml"/><Relationship Id="rId36" Type="http://schemas.openxmlformats.org/officeDocument/2006/relationships/image" Target="media/image12.emf"/><Relationship Id="rId10" Type="http://schemas.openxmlformats.org/officeDocument/2006/relationships/header" Target="header1.xml"/><Relationship Id="rId19" Type="http://schemas.openxmlformats.org/officeDocument/2006/relationships/hyperlink" Target="http://www.statistics.sk" TargetMode="External"/><Relationship Id="rId31" Type="http://schemas.openxmlformats.org/officeDocument/2006/relationships/header" Target="header5.xml"/><Relationship Id="rId44" Type="http://schemas.openxmlformats.org/officeDocument/2006/relationships/hyperlink" Target="http://www.deloitte.com/sk/o-nas" TargetMode="External"/><Relationship Id="rId4" Type="http://schemas.openxmlformats.org/officeDocument/2006/relationships/settings" Target="settings.xml"/><Relationship Id="rId9" Type="http://schemas.openxmlformats.org/officeDocument/2006/relationships/hyperlink" Target="file:///F:\Clients_current%20folders\Ministerstvo_dopravy_SR\59738-02_OPII%20Implementation%20advisory%201\Working_Papers\ZADANIE%20c.%201%20Hodnotenie%20OPII\Zaverecna%20sprava\Zaverecna%20sprava_bez%20zmien.docx" TargetMode="External"/><Relationship Id="rId14" Type="http://schemas.openxmlformats.org/officeDocument/2006/relationships/image" Target="media/image5.png"/><Relationship Id="rId22" Type="http://schemas.openxmlformats.org/officeDocument/2006/relationships/diagramLayout" Target="diagrams/layout1.xml"/><Relationship Id="rId27" Type="http://schemas.openxmlformats.org/officeDocument/2006/relationships/image" Target="media/image8.png"/><Relationship Id="rId30" Type="http://schemas.openxmlformats.org/officeDocument/2006/relationships/footer" Target="footer2.xml"/><Relationship Id="rId35" Type="http://schemas.openxmlformats.org/officeDocument/2006/relationships/image" Target="media/image11.emf"/><Relationship Id="rId43" Type="http://schemas.openxmlformats.org/officeDocument/2006/relationships/image" Target="media/image150.png"/></Relationships>
</file>

<file path=word/_rels/footnotes.xml.rels><?xml version="1.0" encoding="UTF-8" standalone="yes"?>
<Relationships xmlns="http://schemas.openxmlformats.org/package/2006/relationships"><Relationship Id="rId1" Type="http://schemas.openxmlformats.org/officeDocument/2006/relationships/hyperlink" Target="https://www.partnerskadohoda.gov.sk/data/files/556_tandardy-kvality-hodnotenia-esif-v-programovom-obdobi-2014-&#8211;-2020.pdf"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Sales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6373-47EB-B02D-44DAE5A6724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373-47EB-B02D-44DAE5A6724F}"/>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6373-47EB-B02D-44DAE5A6724F}"/>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6373-47EB-B02D-44DAE5A6724F}"/>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6373-47EB-B02D-44DAE5A6724F}"/>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6373-47EB-B02D-44DAE5A6724F}"/>
              </c:ext>
            </c:extLst>
          </c:dPt>
          <c:dPt>
            <c:idx val="6"/>
            <c:bubble3D val="0"/>
            <c:spPr>
              <a:solidFill>
                <a:srgbClr val="FFC000"/>
              </a:solidFill>
              <a:ln w="19050">
                <a:solidFill>
                  <a:schemeClr val="lt1"/>
                </a:solidFill>
              </a:ln>
              <a:effectLst/>
            </c:spPr>
            <c:extLst>
              <c:ext xmlns:c16="http://schemas.microsoft.com/office/drawing/2014/chart" uri="{C3380CC4-5D6E-409C-BE32-E72D297353CC}">
                <c16:uniqueId val="{0000000D-6373-47EB-B02D-44DAE5A6724F}"/>
              </c:ext>
            </c:extLst>
          </c:dPt>
          <c:dPt>
            <c:idx val="7"/>
            <c:bubble3D val="0"/>
            <c:spPr>
              <a:solidFill>
                <a:srgbClr val="7030A0"/>
              </a:solidFill>
              <a:ln w="19050">
                <a:solidFill>
                  <a:schemeClr val="lt1"/>
                </a:solidFill>
              </a:ln>
              <a:effectLst/>
            </c:spPr>
            <c:extLst>
              <c:ext xmlns:c16="http://schemas.microsoft.com/office/drawing/2014/chart" uri="{C3380CC4-5D6E-409C-BE32-E72D297353CC}">
                <c16:uniqueId val="{0000000F-6373-47EB-B02D-44DAE5A6724F}"/>
              </c:ext>
            </c:extLst>
          </c:dPt>
          <c:dLbls>
            <c:dLbl>
              <c:idx val="0"/>
              <c:layout/>
              <c:dLblPos val="outEnd"/>
              <c:showLegendKey val="1"/>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1-6373-47EB-B02D-44DAE5A6724F}"/>
                </c:ext>
              </c:extLst>
            </c:dLbl>
            <c:dLbl>
              <c:idx val="1"/>
              <c:layout>
                <c:manualLayout>
                  <c:x val="2.0833333333333332E-2"/>
                  <c:y val="-0.10714285714285707"/>
                </c:manualLayout>
              </c:layout>
              <c:dLblPos val="bestFit"/>
              <c:showLegendKey val="1"/>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3-6373-47EB-B02D-44DAE5A6724F}"/>
                </c:ext>
              </c:extLst>
            </c:dLbl>
            <c:dLbl>
              <c:idx val="2"/>
              <c:layout>
                <c:manualLayout>
                  <c:x val="7.8703703703703706E-2"/>
                  <c:y val="-1.4550096466308564E-16"/>
                </c:manualLayout>
              </c:layout>
              <c:dLblPos val="bestFit"/>
              <c:showLegendKey val="1"/>
              <c:showVal val="1"/>
              <c:showCatName val="1"/>
              <c:showSerName val="0"/>
              <c:showPercent val="1"/>
              <c:showBubbleSize val="0"/>
              <c:separator> </c:separator>
              <c:extLst>
                <c:ext xmlns:c15="http://schemas.microsoft.com/office/drawing/2012/chart" uri="{CE6537A1-D6FC-4f65-9D91-7224C49458BB}">
                  <c15:layout>
                    <c:manualLayout>
                      <c:w val="0.24136792796733741"/>
                      <c:h val="9.8730158730158724E-2"/>
                    </c:manualLayout>
                  </c15:layout>
                </c:ext>
                <c:ext xmlns:c16="http://schemas.microsoft.com/office/drawing/2014/chart" uri="{C3380CC4-5D6E-409C-BE32-E72D297353CC}">
                  <c16:uniqueId val="{00000005-6373-47EB-B02D-44DAE5A6724F}"/>
                </c:ext>
              </c:extLst>
            </c:dLbl>
            <c:dLbl>
              <c:idx val="3"/>
              <c:layout/>
              <c:dLblPos val="outEnd"/>
              <c:showLegendKey val="1"/>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7-6373-47EB-B02D-44DAE5A6724F}"/>
                </c:ext>
              </c:extLst>
            </c:dLbl>
            <c:dLbl>
              <c:idx val="4"/>
              <c:layout>
                <c:manualLayout>
                  <c:x val="-3.5879629629629643E-2"/>
                  <c:y val="-5.5555555555555552E-2"/>
                </c:manualLayout>
              </c:layout>
              <c:dLblPos val="bestFit"/>
              <c:showLegendKey val="1"/>
              <c:showVal val="1"/>
              <c:showCatName val="1"/>
              <c:showSerName val="0"/>
              <c:showPercent val="1"/>
              <c:showBubbleSize val="0"/>
              <c:separator> </c:separator>
              <c:extLst>
                <c:ext xmlns:c15="http://schemas.microsoft.com/office/drawing/2012/chart" uri="{CE6537A1-D6FC-4f65-9D91-7224C49458BB}">
                  <c15:layout>
                    <c:manualLayout>
                      <c:w val="0.23905311315252259"/>
                      <c:h val="9.8730158730158724E-2"/>
                    </c:manualLayout>
                  </c15:layout>
                </c:ext>
                <c:ext xmlns:c16="http://schemas.microsoft.com/office/drawing/2014/chart" uri="{C3380CC4-5D6E-409C-BE32-E72D297353CC}">
                  <c16:uniqueId val="{00000009-6373-47EB-B02D-44DAE5A6724F}"/>
                </c:ext>
              </c:extLst>
            </c:dLbl>
            <c:dLbl>
              <c:idx val="5"/>
              <c:layout/>
              <c:dLblPos val="outEnd"/>
              <c:showLegendKey val="1"/>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B-6373-47EB-B02D-44DAE5A6724F}"/>
                </c:ext>
              </c:extLst>
            </c:dLbl>
            <c:dLbl>
              <c:idx val="6"/>
              <c:layout/>
              <c:dLblPos val="outEnd"/>
              <c:showLegendKey val="1"/>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D-6373-47EB-B02D-44DAE5A6724F}"/>
                </c:ext>
              </c:extLst>
            </c:dLbl>
            <c:dLbl>
              <c:idx val="7"/>
              <c:layout/>
              <c:dLblPos val="outEnd"/>
              <c:showLegendKey val="1"/>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F-6373-47EB-B02D-44DAE5A6724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dLblPos val="outEnd"/>
            <c:showLegendKey val="0"/>
            <c:showVal val="1"/>
            <c:showCatName val="0"/>
            <c:showSerName val="0"/>
            <c:showPercent val="1"/>
            <c:showBubbleSize val="0"/>
            <c:separator>. </c:separator>
            <c:showLeaderLines val="0"/>
            <c:extLst>
              <c:ext xmlns:c15="http://schemas.microsoft.com/office/drawing/2012/chart" uri="{CE6537A1-D6FC-4f65-9D91-7224C49458BB}"/>
            </c:extLst>
          </c:dLbls>
          <c:cat>
            <c:strRef>
              <c:f>Sheet1!$A$2:$A$9</c:f>
              <c:strCache>
                <c:ptCount val="8"/>
                <c:pt idx="0">
                  <c:v>PO1</c:v>
                </c:pt>
                <c:pt idx="1">
                  <c:v>PO2</c:v>
                </c:pt>
                <c:pt idx="2">
                  <c:v>PO3</c:v>
                </c:pt>
                <c:pt idx="3">
                  <c:v>PO4</c:v>
                </c:pt>
                <c:pt idx="4">
                  <c:v>PO5</c:v>
                </c:pt>
                <c:pt idx="5">
                  <c:v>PO6</c:v>
                </c:pt>
                <c:pt idx="6">
                  <c:v>PO7</c:v>
                </c:pt>
                <c:pt idx="7">
                  <c:v>PO8</c:v>
                </c:pt>
              </c:strCache>
            </c:strRef>
          </c:cat>
          <c:val>
            <c:numRef>
              <c:f>Sheet1!$B$2:$B$9</c:f>
              <c:numCache>
                <c:formatCode>#,##0\ [$€-408]</c:formatCode>
                <c:ptCount val="8"/>
                <c:pt idx="0">
                  <c:v>853928431</c:v>
                </c:pt>
                <c:pt idx="1">
                  <c:v>1344117648</c:v>
                </c:pt>
                <c:pt idx="2">
                  <c:v>379235295</c:v>
                </c:pt>
                <c:pt idx="3">
                  <c:v>137000000</c:v>
                </c:pt>
                <c:pt idx="4">
                  <c:v>332037915</c:v>
                </c:pt>
                <c:pt idx="5">
                  <c:v>570302622</c:v>
                </c:pt>
                <c:pt idx="6">
                  <c:v>927155226</c:v>
                </c:pt>
                <c:pt idx="7">
                  <c:v>102352942</c:v>
                </c:pt>
              </c:numCache>
            </c:numRef>
          </c:val>
          <c:extLst>
            <c:ext xmlns:c16="http://schemas.microsoft.com/office/drawing/2014/chart" uri="{C3380CC4-5D6E-409C-BE32-E72D297353CC}">
              <c16:uniqueId val="{00000010-6373-47EB-B02D-44DAE5A6724F}"/>
            </c:ext>
          </c:extLst>
        </c:ser>
        <c:dLbls>
          <c:dLblPos val="outEnd"/>
          <c:showLegendKey val="0"/>
          <c:showVal val="1"/>
          <c:showCatName val="0"/>
          <c:showSerName val="0"/>
          <c:showPercent val="0"/>
          <c:showBubbleSize val="0"/>
          <c:showLeaderLines val="0"/>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24BF066-E313-4C15-8C6C-B36FDA5C156A}"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n-US"/>
        </a:p>
      </dgm:t>
    </dgm:pt>
    <dgm:pt modelId="{B88CCF0A-0BB4-4F85-B5DA-D83DDB3B43C5}">
      <dgm:prSet phldrT="[Text]" custT="1"/>
      <dgm:spPr/>
      <dgm:t>
        <a:bodyPr/>
        <a:lstStyle/>
        <a:p>
          <a:pPr algn="ctr"/>
          <a:r>
            <a:rPr lang="sk-SK" sz="800" b="1"/>
            <a:t>Zber sekundárnych dát</a:t>
          </a:r>
          <a:endParaRPr lang="en-US" sz="800" b="1"/>
        </a:p>
      </dgm:t>
    </dgm:pt>
    <dgm:pt modelId="{65FED64E-D853-4490-A8CB-CE26611CDE99}" type="parTrans" cxnId="{132D60C8-D03F-47F6-9635-3B11E06289E0}">
      <dgm:prSet/>
      <dgm:spPr/>
      <dgm:t>
        <a:bodyPr/>
        <a:lstStyle/>
        <a:p>
          <a:endParaRPr lang="en-US"/>
        </a:p>
      </dgm:t>
    </dgm:pt>
    <dgm:pt modelId="{C89C49F2-F636-41F7-9F1F-9750D8159046}" type="sibTrans" cxnId="{132D60C8-D03F-47F6-9635-3B11E06289E0}">
      <dgm:prSet/>
      <dgm:spPr/>
      <dgm:t>
        <a:bodyPr/>
        <a:lstStyle/>
        <a:p>
          <a:endParaRPr lang="en-US"/>
        </a:p>
      </dgm:t>
    </dgm:pt>
    <dgm:pt modelId="{BA8DFBFD-0F1E-49C0-8F69-7102242C4FB5}">
      <dgm:prSet phldrT="[Text]" custT="1"/>
      <dgm:spPr/>
      <dgm:t>
        <a:bodyPr/>
        <a:lstStyle/>
        <a:p>
          <a:pPr algn="l"/>
          <a:r>
            <a:rPr lang="sk-SK" sz="750"/>
            <a:t>sumarizácia podkladov pre jednotlivé prioritné osi, hlavným zdrojom dát o priebehu realizácie projektov bola web stránka: www.opii.gov.sk a  ITMS2014+</a:t>
          </a:r>
          <a:endParaRPr lang="en-US" sz="750"/>
        </a:p>
      </dgm:t>
    </dgm:pt>
    <dgm:pt modelId="{F139A1D0-BC19-4643-8277-F8F280E5AD22}" type="parTrans" cxnId="{C8A99D47-657A-460A-A3F6-E13781EA9F8B}">
      <dgm:prSet/>
      <dgm:spPr/>
      <dgm:t>
        <a:bodyPr/>
        <a:lstStyle/>
        <a:p>
          <a:endParaRPr lang="en-US"/>
        </a:p>
      </dgm:t>
    </dgm:pt>
    <dgm:pt modelId="{D4776579-B640-492D-9B35-A1295DBCAF8C}" type="sibTrans" cxnId="{C8A99D47-657A-460A-A3F6-E13781EA9F8B}">
      <dgm:prSet/>
      <dgm:spPr/>
      <dgm:t>
        <a:bodyPr/>
        <a:lstStyle/>
        <a:p>
          <a:endParaRPr lang="en-US"/>
        </a:p>
      </dgm:t>
    </dgm:pt>
    <dgm:pt modelId="{FE2BC06F-A4AB-4D59-98A2-8573BFC51ED6}">
      <dgm:prSet phldrT="[Text]" custT="1"/>
      <dgm:spPr/>
      <dgm:t>
        <a:bodyPr/>
        <a:lstStyle/>
        <a:p>
          <a:r>
            <a:rPr lang="sk-SK" sz="800" b="1"/>
            <a:t>Analýza sekundárnych dát </a:t>
          </a:r>
          <a:endParaRPr lang="en-US" sz="800" b="1"/>
        </a:p>
      </dgm:t>
    </dgm:pt>
    <dgm:pt modelId="{6EB47DE3-CD86-46A6-8F5A-CBCB3A2CAE14}" type="parTrans" cxnId="{058B2297-7390-420D-9AAE-3B29C232CDDF}">
      <dgm:prSet/>
      <dgm:spPr/>
      <dgm:t>
        <a:bodyPr/>
        <a:lstStyle/>
        <a:p>
          <a:endParaRPr lang="en-US"/>
        </a:p>
      </dgm:t>
    </dgm:pt>
    <dgm:pt modelId="{A54CACE8-3D46-4B5A-9F62-3111D9681D48}" type="sibTrans" cxnId="{058B2297-7390-420D-9AAE-3B29C232CDDF}">
      <dgm:prSet/>
      <dgm:spPr/>
      <dgm:t>
        <a:bodyPr/>
        <a:lstStyle/>
        <a:p>
          <a:endParaRPr lang="en-US"/>
        </a:p>
      </dgm:t>
    </dgm:pt>
    <dgm:pt modelId="{7EADB466-0F30-47CD-A4F5-DFC1148D8C8B}">
      <dgm:prSet phldrT="[Text]" custT="1"/>
      <dgm:spPr/>
      <dgm:t>
        <a:bodyPr/>
        <a:lstStyle/>
        <a:p>
          <a:r>
            <a:rPr lang="sk-SK" sz="750"/>
            <a:t>overenie kvality a kompletnosti dát</a:t>
          </a:r>
          <a:endParaRPr lang="en-US" sz="750"/>
        </a:p>
      </dgm:t>
    </dgm:pt>
    <dgm:pt modelId="{3179D18C-6824-44AD-B2AB-70315707A33D}" type="parTrans" cxnId="{8B832CED-360D-4196-998D-2DE510A55A44}">
      <dgm:prSet/>
      <dgm:spPr/>
      <dgm:t>
        <a:bodyPr/>
        <a:lstStyle/>
        <a:p>
          <a:endParaRPr lang="en-US"/>
        </a:p>
      </dgm:t>
    </dgm:pt>
    <dgm:pt modelId="{CDDB1EBB-3273-4501-B6B9-A8CA4D06A749}" type="sibTrans" cxnId="{8B832CED-360D-4196-998D-2DE510A55A44}">
      <dgm:prSet/>
      <dgm:spPr/>
      <dgm:t>
        <a:bodyPr/>
        <a:lstStyle/>
        <a:p>
          <a:endParaRPr lang="en-US"/>
        </a:p>
      </dgm:t>
    </dgm:pt>
    <dgm:pt modelId="{B029EB66-3AC3-4907-B9AF-1BB8C79CA638}">
      <dgm:prSet phldrT="[Text]" custT="1"/>
      <dgm:spPr/>
      <dgm:t>
        <a:bodyPr/>
        <a:lstStyle/>
        <a:p>
          <a:r>
            <a:rPr lang="sk-SK" sz="750"/>
            <a:t>vytvorenie prehľadnej databázy o projektoch, ktorá obsahuje všetky údáje o realizácii, tzn. ukazovatele, čerpanie, harmonogram, rozočet</a:t>
          </a:r>
          <a:endParaRPr lang="en-US" sz="750"/>
        </a:p>
      </dgm:t>
    </dgm:pt>
    <dgm:pt modelId="{E840A1EF-9998-4076-BB39-5D206450F309}" type="parTrans" cxnId="{3A9CE4B0-D7AC-4367-9DB6-0A9BD0E61136}">
      <dgm:prSet/>
      <dgm:spPr/>
      <dgm:t>
        <a:bodyPr/>
        <a:lstStyle/>
        <a:p>
          <a:endParaRPr lang="en-US"/>
        </a:p>
      </dgm:t>
    </dgm:pt>
    <dgm:pt modelId="{B4DC1546-AC95-438F-97BA-6003242B16F7}" type="sibTrans" cxnId="{3A9CE4B0-D7AC-4367-9DB6-0A9BD0E61136}">
      <dgm:prSet/>
      <dgm:spPr/>
      <dgm:t>
        <a:bodyPr/>
        <a:lstStyle/>
        <a:p>
          <a:endParaRPr lang="en-US"/>
        </a:p>
      </dgm:t>
    </dgm:pt>
    <dgm:pt modelId="{53D206DF-3F45-4435-8C9C-AC3250441074}">
      <dgm:prSet phldrT="[Text]" custT="1"/>
      <dgm:spPr/>
      <dgm:t>
        <a:bodyPr/>
        <a:lstStyle/>
        <a:p>
          <a:r>
            <a:rPr lang="sk-SK" sz="800" b="1"/>
            <a:t>Zhodnotenie  záverov</a:t>
          </a:r>
          <a:endParaRPr lang="en-US" sz="800" b="1"/>
        </a:p>
      </dgm:t>
    </dgm:pt>
    <dgm:pt modelId="{7395A362-F848-4CDB-AC7D-3BA8BEB1B4D3}" type="parTrans" cxnId="{6DC7900E-771A-4F76-A029-D096A5B47857}">
      <dgm:prSet/>
      <dgm:spPr/>
      <dgm:t>
        <a:bodyPr/>
        <a:lstStyle/>
        <a:p>
          <a:endParaRPr lang="en-US"/>
        </a:p>
      </dgm:t>
    </dgm:pt>
    <dgm:pt modelId="{0C4AD1DE-9658-4ACB-88DB-560B78C25DFD}" type="sibTrans" cxnId="{6DC7900E-771A-4F76-A029-D096A5B47857}">
      <dgm:prSet/>
      <dgm:spPr/>
      <dgm:t>
        <a:bodyPr/>
        <a:lstStyle/>
        <a:p>
          <a:endParaRPr lang="en-US"/>
        </a:p>
      </dgm:t>
    </dgm:pt>
    <dgm:pt modelId="{3BA7AC95-3D67-4797-B466-EAE303EBFD52}">
      <dgm:prSet phldrT="[Text]" custT="1"/>
      <dgm:spPr/>
      <dgm:t>
        <a:bodyPr/>
        <a:lstStyle/>
        <a:p>
          <a:r>
            <a:rPr lang="sk-SK" sz="800" b="1"/>
            <a:t>Porovnanie dát</a:t>
          </a:r>
          <a:endParaRPr lang="en-US" sz="800" b="1"/>
        </a:p>
      </dgm:t>
    </dgm:pt>
    <dgm:pt modelId="{F6669DD8-BA64-40DB-B4DC-4470C6F304F9}" type="parTrans" cxnId="{A0A586A0-B544-4793-B9F5-324AB122425E}">
      <dgm:prSet/>
      <dgm:spPr/>
      <dgm:t>
        <a:bodyPr/>
        <a:lstStyle/>
        <a:p>
          <a:endParaRPr lang="en-US"/>
        </a:p>
      </dgm:t>
    </dgm:pt>
    <dgm:pt modelId="{3C033DC6-D6F7-4711-B5CF-BE041ACD4C02}" type="sibTrans" cxnId="{A0A586A0-B544-4793-B9F5-324AB122425E}">
      <dgm:prSet/>
      <dgm:spPr/>
      <dgm:t>
        <a:bodyPr/>
        <a:lstStyle/>
        <a:p>
          <a:endParaRPr lang="en-US"/>
        </a:p>
      </dgm:t>
    </dgm:pt>
    <dgm:pt modelId="{103CDEE3-FCC2-4ADE-805A-137ADD848BA1}">
      <dgm:prSet phldrT="[Text]" custT="1"/>
      <dgm:spPr/>
      <dgm:t>
        <a:bodyPr/>
        <a:lstStyle/>
        <a:p>
          <a:r>
            <a:rPr lang="sk-SK" sz="750"/>
            <a:t>porovnanie plánovaných ukazovateľov výstupu, výsledku a výkonnostného rámca so skutočne dosiahnutými výsledkami, a tiež porovnanie harmonogramu realizácie projektov s plánom </a:t>
          </a:r>
          <a:endParaRPr lang="en-US" sz="750"/>
        </a:p>
      </dgm:t>
    </dgm:pt>
    <dgm:pt modelId="{CC92722C-2774-4A24-A0B1-CF0405E4612C}" type="parTrans" cxnId="{3F6BF8E6-67BF-4121-A0FD-7A9C615FF8B3}">
      <dgm:prSet/>
      <dgm:spPr/>
      <dgm:t>
        <a:bodyPr/>
        <a:lstStyle/>
        <a:p>
          <a:endParaRPr lang="en-US"/>
        </a:p>
      </dgm:t>
    </dgm:pt>
    <dgm:pt modelId="{12CDDB0A-4A30-4A8E-9583-0897E1329705}" type="sibTrans" cxnId="{3F6BF8E6-67BF-4121-A0FD-7A9C615FF8B3}">
      <dgm:prSet/>
      <dgm:spPr/>
      <dgm:t>
        <a:bodyPr/>
        <a:lstStyle/>
        <a:p>
          <a:endParaRPr lang="en-US"/>
        </a:p>
      </dgm:t>
    </dgm:pt>
    <dgm:pt modelId="{D7F920EB-324A-4AA2-8CFC-00D6DF8B5128}">
      <dgm:prSet phldrT="[Text]" custT="1"/>
      <dgm:spPr/>
      <dgm:t>
        <a:bodyPr/>
        <a:lstStyle/>
        <a:p>
          <a:r>
            <a:rPr lang="sk-SK" sz="750"/>
            <a:t>prediskutovanie záverov a zistení z analýz so zamestnancami RO OPII</a:t>
          </a:r>
          <a:endParaRPr lang="en-US" sz="750"/>
        </a:p>
      </dgm:t>
    </dgm:pt>
    <dgm:pt modelId="{B63D006F-D025-4894-889F-69FB382F3FF9}" type="parTrans" cxnId="{03333438-0118-4905-A72C-7B7144C5C8F0}">
      <dgm:prSet/>
      <dgm:spPr/>
      <dgm:t>
        <a:bodyPr/>
        <a:lstStyle/>
        <a:p>
          <a:endParaRPr lang="en-US"/>
        </a:p>
      </dgm:t>
    </dgm:pt>
    <dgm:pt modelId="{6FB07DC1-4C21-495C-9E3D-9EBE6E9EA7A1}" type="sibTrans" cxnId="{03333438-0118-4905-A72C-7B7144C5C8F0}">
      <dgm:prSet/>
      <dgm:spPr/>
      <dgm:t>
        <a:bodyPr/>
        <a:lstStyle/>
        <a:p>
          <a:endParaRPr lang="en-US"/>
        </a:p>
      </dgm:t>
    </dgm:pt>
    <dgm:pt modelId="{9AD70248-F094-48BE-8486-2CB27452CC83}">
      <dgm:prSet phldrT="[Text]" custT="1"/>
      <dgm:spPr/>
      <dgm:t>
        <a:bodyPr/>
        <a:lstStyle/>
        <a:p>
          <a:r>
            <a:rPr lang="sk-SK" sz="800" b="1"/>
            <a:t>Syntéza záverov a zistení</a:t>
          </a:r>
          <a:endParaRPr lang="en-US" sz="800" b="1"/>
        </a:p>
      </dgm:t>
    </dgm:pt>
    <dgm:pt modelId="{E029FE6D-1226-43F0-ABD8-C9113C4D3459}" type="parTrans" cxnId="{A59E2B8F-8672-45FF-A5FE-F27518E577FF}">
      <dgm:prSet/>
      <dgm:spPr/>
      <dgm:t>
        <a:bodyPr/>
        <a:lstStyle/>
        <a:p>
          <a:endParaRPr lang="en-US"/>
        </a:p>
      </dgm:t>
    </dgm:pt>
    <dgm:pt modelId="{EFB36535-30EE-4C8D-B7E1-65EEFEF8A272}" type="sibTrans" cxnId="{A59E2B8F-8672-45FF-A5FE-F27518E577FF}">
      <dgm:prSet/>
      <dgm:spPr/>
      <dgm:t>
        <a:bodyPr/>
        <a:lstStyle/>
        <a:p>
          <a:endParaRPr lang="en-US"/>
        </a:p>
      </dgm:t>
    </dgm:pt>
    <dgm:pt modelId="{757D8052-6B92-4C1B-858D-CD360120BC52}">
      <dgm:prSet phldrT="[Text]" custT="1"/>
      <dgm:spPr/>
      <dgm:t>
        <a:bodyPr/>
        <a:lstStyle/>
        <a:p>
          <a:r>
            <a:rPr lang="sk-SK" sz="750"/>
            <a:t>definovanie záverov a odporúčaní pre ďalšie nastavenie OPII</a:t>
          </a:r>
          <a:endParaRPr lang="en-US" sz="750"/>
        </a:p>
      </dgm:t>
    </dgm:pt>
    <dgm:pt modelId="{6386ED29-83E5-4554-B402-38F648E612AA}" type="parTrans" cxnId="{22C27848-B466-403C-9C90-D2C8F8C5005E}">
      <dgm:prSet/>
      <dgm:spPr/>
      <dgm:t>
        <a:bodyPr/>
        <a:lstStyle/>
        <a:p>
          <a:endParaRPr lang="en-US"/>
        </a:p>
      </dgm:t>
    </dgm:pt>
    <dgm:pt modelId="{4D09E227-3B9E-4669-94BC-E3338B5C663D}" type="sibTrans" cxnId="{22C27848-B466-403C-9C90-D2C8F8C5005E}">
      <dgm:prSet/>
      <dgm:spPr/>
      <dgm:t>
        <a:bodyPr/>
        <a:lstStyle/>
        <a:p>
          <a:endParaRPr lang="en-US"/>
        </a:p>
      </dgm:t>
    </dgm:pt>
    <dgm:pt modelId="{0D9103B0-817F-45F0-91EB-EC420BB0DBA5}">
      <dgm:prSet phldrT="[Text]" custT="1"/>
      <dgm:spPr/>
      <dgm:t>
        <a:bodyPr/>
        <a:lstStyle/>
        <a:p>
          <a:r>
            <a:rPr lang="sk-SK" sz="800" b="1"/>
            <a:t>Zber primárnych dát</a:t>
          </a:r>
          <a:endParaRPr lang="en-US" sz="800" b="1"/>
        </a:p>
      </dgm:t>
    </dgm:pt>
    <dgm:pt modelId="{3FD6456C-2DAA-4586-966B-5DFEC4E80969}" type="parTrans" cxnId="{114ACA1A-20FE-4F17-A48A-42AF0ED31222}">
      <dgm:prSet/>
      <dgm:spPr/>
      <dgm:t>
        <a:bodyPr/>
        <a:lstStyle/>
        <a:p>
          <a:endParaRPr lang="en-US"/>
        </a:p>
      </dgm:t>
    </dgm:pt>
    <dgm:pt modelId="{3AD1D3E9-92DA-4F90-9130-0240A4FDD62A}" type="sibTrans" cxnId="{114ACA1A-20FE-4F17-A48A-42AF0ED31222}">
      <dgm:prSet/>
      <dgm:spPr/>
      <dgm:t>
        <a:bodyPr/>
        <a:lstStyle/>
        <a:p>
          <a:endParaRPr lang="en-US"/>
        </a:p>
      </dgm:t>
    </dgm:pt>
    <dgm:pt modelId="{5B2490A1-9EA8-4062-BBC1-93480E46EF7F}">
      <dgm:prSet phldrT="[Text]" custT="1"/>
      <dgm:spPr/>
      <dgm:t>
        <a:bodyPr/>
        <a:lstStyle/>
        <a:p>
          <a:pPr algn="l"/>
          <a:r>
            <a:rPr lang="sk-SK" sz="750"/>
            <a:t>po zanalyzovaní sekundárnych dát boli vypracované dotazníky pre projektových manažérov a prijímateľov</a:t>
          </a:r>
          <a:endParaRPr lang="en-US" sz="750"/>
        </a:p>
      </dgm:t>
    </dgm:pt>
    <dgm:pt modelId="{97215206-2B67-45BF-8081-ABD7637E0AC9}" type="parTrans" cxnId="{573D6DDC-1558-4260-93AE-6A351F8FE168}">
      <dgm:prSet/>
      <dgm:spPr/>
      <dgm:t>
        <a:bodyPr/>
        <a:lstStyle/>
        <a:p>
          <a:endParaRPr lang="en-US"/>
        </a:p>
      </dgm:t>
    </dgm:pt>
    <dgm:pt modelId="{318074D4-2A7A-4FD4-B7CC-FC924C66CEDF}" type="sibTrans" cxnId="{573D6DDC-1558-4260-93AE-6A351F8FE168}">
      <dgm:prSet/>
      <dgm:spPr/>
      <dgm:t>
        <a:bodyPr/>
        <a:lstStyle/>
        <a:p>
          <a:endParaRPr lang="en-US"/>
        </a:p>
      </dgm:t>
    </dgm:pt>
    <dgm:pt modelId="{DE10FF57-83AF-46D8-8392-03BD6D38BF8E}">
      <dgm:prSet phldrT="[Text]" custT="1"/>
      <dgm:spPr/>
      <dgm:t>
        <a:bodyPr/>
        <a:lstStyle/>
        <a:p>
          <a:r>
            <a:rPr lang="sk-SK" sz="800" b="1"/>
            <a:t>Detailná analýza projektov</a:t>
          </a:r>
          <a:endParaRPr lang="en-US" sz="800" b="1"/>
        </a:p>
      </dgm:t>
    </dgm:pt>
    <dgm:pt modelId="{FC1D1405-A6E1-4905-80E7-4E9A40138932}" type="parTrans" cxnId="{1FF3059A-B561-44AC-A2D0-05C63450244B}">
      <dgm:prSet/>
      <dgm:spPr/>
      <dgm:t>
        <a:bodyPr/>
        <a:lstStyle/>
        <a:p>
          <a:endParaRPr lang="en-US"/>
        </a:p>
      </dgm:t>
    </dgm:pt>
    <dgm:pt modelId="{AACCA36F-2D4F-4EDA-91C4-402470558BC9}" type="sibTrans" cxnId="{1FF3059A-B561-44AC-A2D0-05C63450244B}">
      <dgm:prSet/>
      <dgm:spPr/>
      <dgm:t>
        <a:bodyPr/>
        <a:lstStyle/>
        <a:p>
          <a:endParaRPr lang="en-US"/>
        </a:p>
      </dgm:t>
    </dgm:pt>
    <dgm:pt modelId="{A4F5A8EF-29EB-43A9-ADB7-0F93FD63FF61}">
      <dgm:prSet phldrT="[Text]" custT="1"/>
      <dgm:spPr/>
      <dgm:t>
        <a:bodyPr/>
        <a:lstStyle/>
        <a:p>
          <a:r>
            <a:rPr lang="sk-SK" sz="750"/>
            <a:t>po sumarizácii všetkých relevantných dát boli spracované závery realizácie jednotlivých projektov</a:t>
          </a:r>
          <a:endParaRPr lang="en-US" sz="750"/>
        </a:p>
      </dgm:t>
    </dgm:pt>
    <dgm:pt modelId="{5CF17626-D2C8-4EAF-A151-D33E1A09F57E}" type="parTrans" cxnId="{3FEE0F73-7866-4BF4-9113-24E9A3438F77}">
      <dgm:prSet/>
      <dgm:spPr/>
      <dgm:t>
        <a:bodyPr/>
        <a:lstStyle/>
        <a:p>
          <a:endParaRPr lang="en-US"/>
        </a:p>
      </dgm:t>
    </dgm:pt>
    <dgm:pt modelId="{00EABACB-5E0C-4FB7-ACE5-F842D14BACD3}" type="sibTrans" cxnId="{3FEE0F73-7866-4BF4-9113-24E9A3438F77}">
      <dgm:prSet/>
      <dgm:spPr/>
      <dgm:t>
        <a:bodyPr/>
        <a:lstStyle/>
        <a:p>
          <a:endParaRPr lang="en-US"/>
        </a:p>
      </dgm:t>
    </dgm:pt>
    <dgm:pt modelId="{8DF50B09-4662-4BB8-916A-943977298F2A}">
      <dgm:prSet phldrT="[Text]" custT="1"/>
      <dgm:spPr/>
      <dgm:t>
        <a:bodyPr/>
        <a:lstStyle/>
        <a:p>
          <a:pPr algn="l"/>
          <a:r>
            <a:rPr lang="sk-SK" sz="750"/>
            <a:t>následne prebehli rozhovory na doplnenie informácií v dotazníkoch</a:t>
          </a:r>
          <a:endParaRPr lang="en-US" sz="750"/>
        </a:p>
      </dgm:t>
    </dgm:pt>
    <dgm:pt modelId="{286EA96C-F7D5-497F-90C2-E230760C774B}" type="parTrans" cxnId="{3E97F334-00DF-4367-860B-9AA53FE4D18B}">
      <dgm:prSet/>
      <dgm:spPr/>
      <dgm:t>
        <a:bodyPr/>
        <a:lstStyle/>
        <a:p>
          <a:endParaRPr lang="en-US"/>
        </a:p>
      </dgm:t>
    </dgm:pt>
    <dgm:pt modelId="{33BB6261-37D0-42FE-ACA1-289605AD64F0}" type="sibTrans" cxnId="{3E97F334-00DF-4367-860B-9AA53FE4D18B}">
      <dgm:prSet/>
      <dgm:spPr/>
      <dgm:t>
        <a:bodyPr/>
        <a:lstStyle/>
        <a:p>
          <a:endParaRPr lang="en-US"/>
        </a:p>
      </dgm:t>
    </dgm:pt>
    <dgm:pt modelId="{13473CFC-83A4-4007-BEDC-88482DB78C2C}">
      <dgm:prSet phldrT="[Text]" custT="1"/>
      <dgm:spPr/>
      <dgm:t>
        <a:bodyPr/>
        <a:lstStyle/>
        <a:p>
          <a:r>
            <a:rPr lang="sk-SK" sz="750"/>
            <a:t>identifikácia disproporcií a problémových oblastí a predikcia dopadov pre jednotlivé ŠC a PO vzhľadom na ciele</a:t>
          </a:r>
          <a:endParaRPr lang="en-US" sz="750"/>
        </a:p>
      </dgm:t>
    </dgm:pt>
    <dgm:pt modelId="{86643E67-2949-4D4F-A02C-707CD5492CED}" type="parTrans" cxnId="{B023CF2B-42D1-482B-9C9F-BA66208BA1B4}">
      <dgm:prSet/>
      <dgm:spPr/>
      <dgm:t>
        <a:bodyPr/>
        <a:lstStyle/>
        <a:p>
          <a:endParaRPr lang="en-US"/>
        </a:p>
      </dgm:t>
    </dgm:pt>
    <dgm:pt modelId="{6B937F71-02E9-47F1-A612-30D0880067AD}" type="sibTrans" cxnId="{B023CF2B-42D1-482B-9C9F-BA66208BA1B4}">
      <dgm:prSet/>
      <dgm:spPr/>
      <dgm:t>
        <a:bodyPr/>
        <a:lstStyle/>
        <a:p>
          <a:endParaRPr lang="en-US"/>
        </a:p>
      </dgm:t>
    </dgm:pt>
    <dgm:pt modelId="{96440528-33B3-4880-8BB4-FCBAF458D28D}" type="pres">
      <dgm:prSet presAssocID="{924BF066-E313-4C15-8C6C-B36FDA5C156A}" presName="Name0" presStyleCnt="0">
        <dgm:presLayoutVars>
          <dgm:dir/>
          <dgm:animLvl val="lvl"/>
          <dgm:resizeHandles val="exact"/>
        </dgm:presLayoutVars>
      </dgm:prSet>
      <dgm:spPr/>
      <dgm:t>
        <a:bodyPr/>
        <a:lstStyle/>
        <a:p>
          <a:endParaRPr lang="en-US"/>
        </a:p>
      </dgm:t>
    </dgm:pt>
    <dgm:pt modelId="{67A7F3AC-138D-4C1E-A516-1CB110078EFD}" type="pres">
      <dgm:prSet presAssocID="{B88CCF0A-0BB4-4F85-B5DA-D83DDB3B43C5}" presName="linNode" presStyleCnt="0"/>
      <dgm:spPr/>
    </dgm:pt>
    <dgm:pt modelId="{9F3DE4E7-B2E8-40BE-B35F-4A638C5F4627}" type="pres">
      <dgm:prSet presAssocID="{B88CCF0A-0BB4-4F85-B5DA-D83DDB3B43C5}" presName="parentText" presStyleLbl="node1" presStyleIdx="0" presStyleCnt="7" custScaleX="51690">
        <dgm:presLayoutVars>
          <dgm:chMax val="1"/>
          <dgm:bulletEnabled val="1"/>
        </dgm:presLayoutVars>
      </dgm:prSet>
      <dgm:spPr/>
      <dgm:t>
        <a:bodyPr/>
        <a:lstStyle/>
        <a:p>
          <a:endParaRPr lang="en-US"/>
        </a:p>
      </dgm:t>
    </dgm:pt>
    <dgm:pt modelId="{41DBD2C5-65B0-4000-A6C9-F3CEAB80E56F}" type="pres">
      <dgm:prSet presAssocID="{B88CCF0A-0BB4-4F85-B5DA-D83DDB3B43C5}" presName="descendantText" presStyleLbl="alignAccFollowNode1" presStyleIdx="0" presStyleCnt="7" custScaleX="118940">
        <dgm:presLayoutVars>
          <dgm:bulletEnabled val="1"/>
        </dgm:presLayoutVars>
      </dgm:prSet>
      <dgm:spPr/>
      <dgm:t>
        <a:bodyPr/>
        <a:lstStyle/>
        <a:p>
          <a:endParaRPr lang="en-US"/>
        </a:p>
      </dgm:t>
    </dgm:pt>
    <dgm:pt modelId="{AF80789F-A793-46C0-B119-DBFCCCBA3124}" type="pres">
      <dgm:prSet presAssocID="{C89C49F2-F636-41F7-9F1F-9750D8159046}" presName="sp" presStyleCnt="0"/>
      <dgm:spPr/>
    </dgm:pt>
    <dgm:pt modelId="{E8067803-53F9-4F71-9607-48AB7459071B}" type="pres">
      <dgm:prSet presAssocID="{FE2BC06F-A4AB-4D59-98A2-8573BFC51ED6}" presName="linNode" presStyleCnt="0"/>
      <dgm:spPr/>
    </dgm:pt>
    <dgm:pt modelId="{21629666-3615-4A21-A631-55A83E13DB03}" type="pres">
      <dgm:prSet presAssocID="{FE2BC06F-A4AB-4D59-98A2-8573BFC51ED6}" presName="parentText" presStyleLbl="node1" presStyleIdx="1" presStyleCnt="7" custScaleX="51690">
        <dgm:presLayoutVars>
          <dgm:chMax val="1"/>
          <dgm:bulletEnabled val="1"/>
        </dgm:presLayoutVars>
      </dgm:prSet>
      <dgm:spPr/>
      <dgm:t>
        <a:bodyPr/>
        <a:lstStyle/>
        <a:p>
          <a:endParaRPr lang="en-US"/>
        </a:p>
      </dgm:t>
    </dgm:pt>
    <dgm:pt modelId="{C543AC78-6FB9-477C-8934-446F54A7F83A}" type="pres">
      <dgm:prSet presAssocID="{FE2BC06F-A4AB-4D59-98A2-8573BFC51ED6}" presName="descendantText" presStyleLbl="alignAccFollowNode1" presStyleIdx="1" presStyleCnt="7" custScaleX="118940">
        <dgm:presLayoutVars>
          <dgm:bulletEnabled val="1"/>
        </dgm:presLayoutVars>
      </dgm:prSet>
      <dgm:spPr/>
      <dgm:t>
        <a:bodyPr/>
        <a:lstStyle/>
        <a:p>
          <a:endParaRPr lang="en-US"/>
        </a:p>
      </dgm:t>
    </dgm:pt>
    <dgm:pt modelId="{E0230EE1-5303-4CEA-AD3A-D7CA1A2C22B6}" type="pres">
      <dgm:prSet presAssocID="{A54CACE8-3D46-4B5A-9F62-3111D9681D48}" presName="sp" presStyleCnt="0"/>
      <dgm:spPr/>
    </dgm:pt>
    <dgm:pt modelId="{89DAFCB1-2B69-446D-AA72-6E474A1EBA8D}" type="pres">
      <dgm:prSet presAssocID="{0D9103B0-817F-45F0-91EB-EC420BB0DBA5}" presName="linNode" presStyleCnt="0"/>
      <dgm:spPr/>
    </dgm:pt>
    <dgm:pt modelId="{EB749F0F-31B7-4010-BFAB-B030EB7547CC}" type="pres">
      <dgm:prSet presAssocID="{0D9103B0-817F-45F0-91EB-EC420BB0DBA5}" presName="parentText" presStyleLbl="node1" presStyleIdx="2" presStyleCnt="7" custScaleX="51690">
        <dgm:presLayoutVars>
          <dgm:chMax val="1"/>
          <dgm:bulletEnabled val="1"/>
        </dgm:presLayoutVars>
      </dgm:prSet>
      <dgm:spPr/>
      <dgm:t>
        <a:bodyPr/>
        <a:lstStyle/>
        <a:p>
          <a:endParaRPr lang="en-US"/>
        </a:p>
      </dgm:t>
    </dgm:pt>
    <dgm:pt modelId="{D37C46DE-54EE-46B3-9108-56C7E1336CD5}" type="pres">
      <dgm:prSet presAssocID="{0D9103B0-817F-45F0-91EB-EC420BB0DBA5}" presName="descendantText" presStyleLbl="alignAccFollowNode1" presStyleIdx="2" presStyleCnt="7" custScaleX="118940">
        <dgm:presLayoutVars>
          <dgm:bulletEnabled val="1"/>
        </dgm:presLayoutVars>
      </dgm:prSet>
      <dgm:spPr/>
      <dgm:t>
        <a:bodyPr/>
        <a:lstStyle/>
        <a:p>
          <a:endParaRPr lang="en-US"/>
        </a:p>
      </dgm:t>
    </dgm:pt>
    <dgm:pt modelId="{00329F62-552A-4B4A-8A04-F7ECBA4A49C2}" type="pres">
      <dgm:prSet presAssocID="{3AD1D3E9-92DA-4F90-9130-0240A4FDD62A}" presName="sp" presStyleCnt="0"/>
      <dgm:spPr/>
    </dgm:pt>
    <dgm:pt modelId="{52A033E6-8937-4D9F-9452-BB4F76648E73}" type="pres">
      <dgm:prSet presAssocID="{DE10FF57-83AF-46D8-8392-03BD6D38BF8E}" presName="linNode" presStyleCnt="0"/>
      <dgm:spPr/>
    </dgm:pt>
    <dgm:pt modelId="{82A77AFE-7F03-483F-9156-32654B6A946D}" type="pres">
      <dgm:prSet presAssocID="{DE10FF57-83AF-46D8-8392-03BD6D38BF8E}" presName="parentText" presStyleLbl="node1" presStyleIdx="3" presStyleCnt="7" custScaleX="51690">
        <dgm:presLayoutVars>
          <dgm:chMax val="1"/>
          <dgm:bulletEnabled val="1"/>
        </dgm:presLayoutVars>
      </dgm:prSet>
      <dgm:spPr/>
      <dgm:t>
        <a:bodyPr/>
        <a:lstStyle/>
        <a:p>
          <a:endParaRPr lang="en-US"/>
        </a:p>
      </dgm:t>
    </dgm:pt>
    <dgm:pt modelId="{3B5F36E0-B669-44AA-B93A-FCEE103C1336}" type="pres">
      <dgm:prSet presAssocID="{DE10FF57-83AF-46D8-8392-03BD6D38BF8E}" presName="descendantText" presStyleLbl="alignAccFollowNode1" presStyleIdx="3" presStyleCnt="7" custScaleX="118940">
        <dgm:presLayoutVars>
          <dgm:bulletEnabled val="1"/>
        </dgm:presLayoutVars>
      </dgm:prSet>
      <dgm:spPr/>
      <dgm:t>
        <a:bodyPr/>
        <a:lstStyle/>
        <a:p>
          <a:endParaRPr lang="en-US"/>
        </a:p>
      </dgm:t>
    </dgm:pt>
    <dgm:pt modelId="{94ABB801-887E-4733-95C8-A287D595769E}" type="pres">
      <dgm:prSet presAssocID="{AACCA36F-2D4F-4EDA-91C4-402470558BC9}" presName="sp" presStyleCnt="0"/>
      <dgm:spPr/>
    </dgm:pt>
    <dgm:pt modelId="{ACF1D06C-68BA-4942-AE86-2B52905D4FBE}" type="pres">
      <dgm:prSet presAssocID="{3BA7AC95-3D67-4797-B466-EAE303EBFD52}" presName="linNode" presStyleCnt="0"/>
      <dgm:spPr/>
    </dgm:pt>
    <dgm:pt modelId="{A9AB32E7-9191-4C46-8E29-34CAC1ABB535}" type="pres">
      <dgm:prSet presAssocID="{3BA7AC95-3D67-4797-B466-EAE303EBFD52}" presName="parentText" presStyleLbl="node1" presStyleIdx="4" presStyleCnt="7" custScaleX="51690">
        <dgm:presLayoutVars>
          <dgm:chMax val="1"/>
          <dgm:bulletEnabled val="1"/>
        </dgm:presLayoutVars>
      </dgm:prSet>
      <dgm:spPr/>
      <dgm:t>
        <a:bodyPr/>
        <a:lstStyle/>
        <a:p>
          <a:endParaRPr lang="en-US"/>
        </a:p>
      </dgm:t>
    </dgm:pt>
    <dgm:pt modelId="{F31770C7-60C4-4BD7-A5DB-AA39C992E598}" type="pres">
      <dgm:prSet presAssocID="{3BA7AC95-3D67-4797-B466-EAE303EBFD52}" presName="descendantText" presStyleLbl="alignAccFollowNode1" presStyleIdx="4" presStyleCnt="7" custScaleX="118940">
        <dgm:presLayoutVars>
          <dgm:bulletEnabled val="1"/>
        </dgm:presLayoutVars>
      </dgm:prSet>
      <dgm:spPr/>
      <dgm:t>
        <a:bodyPr/>
        <a:lstStyle/>
        <a:p>
          <a:endParaRPr lang="en-US"/>
        </a:p>
      </dgm:t>
    </dgm:pt>
    <dgm:pt modelId="{C38C3A59-91EE-422F-A956-9C2D85D1B23B}" type="pres">
      <dgm:prSet presAssocID="{3C033DC6-D6F7-4711-B5CF-BE041ACD4C02}" presName="sp" presStyleCnt="0"/>
      <dgm:spPr/>
    </dgm:pt>
    <dgm:pt modelId="{7B381C8F-5588-49BF-BA15-92E1D90DAAE4}" type="pres">
      <dgm:prSet presAssocID="{53D206DF-3F45-4435-8C9C-AC3250441074}" presName="linNode" presStyleCnt="0"/>
      <dgm:spPr/>
    </dgm:pt>
    <dgm:pt modelId="{C0A384D7-730A-4A41-8DF0-86B10D705559}" type="pres">
      <dgm:prSet presAssocID="{53D206DF-3F45-4435-8C9C-AC3250441074}" presName="parentText" presStyleLbl="node1" presStyleIdx="5" presStyleCnt="7" custScaleX="51690">
        <dgm:presLayoutVars>
          <dgm:chMax val="1"/>
          <dgm:bulletEnabled val="1"/>
        </dgm:presLayoutVars>
      </dgm:prSet>
      <dgm:spPr/>
      <dgm:t>
        <a:bodyPr/>
        <a:lstStyle/>
        <a:p>
          <a:endParaRPr lang="en-US"/>
        </a:p>
      </dgm:t>
    </dgm:pt>
    <dgm:pt modelId="{96FA9CA4-A504-4543-BFAC-6CCF62E9EF56}" type="pres">
      <dgm:prSet presAssocID="{53D206DF-3F45-4435-8C9C-AC3250441074}" presName="descendantText" presStyleLbl="alignAccFollowNode1" presStyleIdx="5" presStyleCnt="7" custScaleX="118940">
        <dgm:presLayoutVars>
          <dgm:bulletEnabled val="1"/>
        </dgm:presLayoutVars>
      </dgm:prSet>
      <dgm:spPr/>
      <dgm:t>
        <a:bodyPr/>
        <a:lstStyle/>
        <a:p>
          <a:endParaRPr lang="en-US"/>
        </a:p>
      </dgm:t>
    </dgm:pt>
    <dgm:pt modelId="{C4BDE61C-A34A-48D4-866A-4968B3AC0CEA}" type="pres">
      <dgm:prSet presAssocID="{0C4AD1DE-9658-4ACB-88DB-560B78C25DFD}" presName="sp" presStyleCnt="0"/>
      <dgm:spPr/>
    </dgm:pt>
    <dgm:pt modelId="{306549C6-CD32-434F-B5EA-7A6C47866137}" type="pres">
      <dgm:prSet presAssocID="{9AD70248-F094-48BE-8486-2CB27452CC83}" presName="linNode" presStyleCnt="0"/>
      <dgm:spPr/>
    </dgm:pt>
    <dgm:pt modelId="{CA382C40-0852-4887-99F5-371DD2CAF7C8}" type="pres">
      <dgm:prSet presAssocID="{9AD70248-F094-48BE-8486-2CB27452CC83}" presName="parentText" presStyleLbl="node1" presStyleIdx="6" presStyleCnt="7" custScaleX="51690">
        <dgm:presLayoutVars>
          <dgm:chMax val="1"/>
          <dgm:bulletEnabled val="1"/>
        </dgm:presLayoutVars>
      </dgm:prSet>
      <dgm:spPr/>
      <dgm:t>
        <a:bodyPr/>
        <a:lstStyle/>
        <a:p>
          <a:endParaRPr lang="en-US"/>
        </a:p>
      </dgm:t>
    </dgm:pt>
    <dgm:pt modelId="{A97F4FAF-E0A8-409A-B6BA-ECFB7F2AE3FA}" type="pres">
      <dgm:prSet presAssocID="{9AD70248-F094-48BE-8486-2CB27452CC83}" presName="descendantText" presStyleLbl="alignAccFollowNode1" presStyleIdx="6" presStyleCnt="7" custScaleX="118940">
        <dgm:presLayoutVars>
          <dgm:bulletEnabled val="1"/>
        </dgm:presLayoutVars>
      </dgm:prSet>
      <dgm:spPr/>
      <dgm:t>
        <a:bodyPr/>
        <a:lstStyle/>
        <a:p>
          <a:endParaRPr lang="en-US"/>
        </a:p>
      </dgm:t>
    </dgm:pt>
  </dgm:ptLst>
  <dgm:cxnLst>
    <dgm:cxn modelId="{4677E8E9-2DDB-4C80-B226-4C2ECD119F17}" type="presOf" srcId="{D7F920EB-324A-4AA2-8CFC-00D6DF8B5128}" destId="{96FA9CA4-A504-4543-BFAC-6CCF62E9EF56}" srcOrd="0" destOrd="1" presId="urn:microsoft.com/office/officeart/2005/8/layout/vList5"/>
    <dgm:cxn modelId="{80C9C7F7-2F4B-4C16-AB16-4F87A26A3861}" type="presOf" srcId="{757D8052-6B92-4C1B-858D-CD360120BC52}" destId="{A97F4FAF-E0A8-409A-B6BA-ECFB7F2AE3FA}" srcOrd="0" destOrd="0" presId="urn:microsoft.com/office/officeart/2005/8/layout/vList5"/>
    <dgm:cxn modelId="{8B832CED-360D-4196-998D-2DE510A55A44}" srcId="{FE2BC06F-A4AB-4D59-98A2-8573BFC51ED6}" destId="{7EADB466-0F30-47CD-A4F5-DFC1148D8C8B}" srcOrd="0" destOrd="0" parTransId="{3179D18C-6824-44AD-B2AB-70315707A33D}" sibTransId="{CDDB1EBB-3273-4501-B6B9-A8CA4D06A749}"/>
    <dgm:cxn modelId="{A0A586A0-B544-4793-B9F5-324AB122425E}" srcId="{924BF066-E313-4C15-8C6C-B36FDA5C156A}" destId="{3BA7AC95-3D67-4797-B466-EAE303EBFD52}" srcOrd="4" destOrd="0" parTransId="{F6669DD8-BA64-40DB-B4DC-4470C6F304F9}" sibTransId="{3C033DC6-D6F7-4711-B5CF-BE041ACD4C02}"/>
    <dgm:cxn modelId="{4E192C31-A319-4A41-9953-54E441C51572}" type="presOf" srcId="{9AD70248-F094-48BE-8486-2CB27452CC83}" destId="{CA382C40-0852-4887-99F5-371DD2CAF7C8}" srcOrd="0" destOrd="0" presId="urn:microsoft.com/office/officeart/2005/8/layout/vList5"/>
    <dgm:cxn modelId="{3FEE0F73-7866-4BF4-9113-24E9A3438F77}" srcId="{DE10FF57-83AF-46D8-8392-03BD6D38BF8E}" destId="{A4F5A8EF-29EB-43A9-ADB7-0F93FD63FF61}" srcOrd="0" destOrd="0" parTransId="{5CF17626-D2C8-4EAF-A151-D33E1A09F57E}" sibTransId="{00EABACB-5E0C-4FB7-ACE5-F842D14BACD3}"/>
    <dgm:cxn modelId="{B023CF2B-42D1-482B-9C9F-BA66208BA1B4}" srcId="{53D206DF-3F45-4435-8C9C-AC3250441074}" destId="{13473CFC-83A4-4007-BEDC-88482DB78C2C}" srcOrd="0" destOrd="0" parTransId="{86643E67-2949-4D4F-A02C-707CD5492CED}" sibTransId="{6B937F71-02E9-47F1-A612-30D0880067AD}"/>
    <dgm:cxn modelId="{A9483E2A-8076-4E09-8CB7-D8DC1CDE3344}" type="presOf" srcId="{7EADB466-0F30-47CD-A4F5-DFC1148D8C8B}" destId="{C543AC78-6FB9-477C-8934-446F54A7F83A}" srcOrd="0" destOrd="0" presId="urn:microsoft.com/office/officeart/2005/8/layout/vList5"/>
    <dgm:cxn modelId="{937CA547-AB6E-4874-B329-7E9AC6E9BA50}" type="presOf" srcId="{103CDEE3-FCC2-4ADE-805A-137ADD848BA1}" destId="{F31770C7-60C4-4BD7-A5DB-AA39C992E598}" srcOrd="0" destOrd="0" presId="urn:microsoft.com/office/officeart/2005/8/layout/vList5"/>
    <dgm:cxn modelId="{D81CFDF5-FDA4-43F4-B5A4-AC5D7393781A}" type="presOf" srcId="{8DF50B09-4662-4BB8-916A-943977298F2A}" destId="{D37C46DE-54EE-46B3-9108-56C7E1336CD5}" srcOrd="0" destOrd="1" presId="urn:microsoft.com/office/officeart/2005/8/layout/vList5"/>
    <dgm:cxn modelId="{C779EFD0-346E-4066-9263-DF8C03B1473D}" type="presOf" srcId="{DE10FF57-83AF-46D8-8392-03BD6D38BF8E}" destId="{82A77AFE-7F03-483F-9156-32654B6A946D}" srcOrd="0" destOrd="0" presId="urn:microsoft.com/office/officeart/2005/8/layout/vList5"/>
    <dgm:cxn modelId="{132D60C8-D03F-47F6-9635-3B11E06289E0}" srcId="{924BF066-E313-4C15-8C6C-B36FDA5C156A}" destId="{B88CCF0A-0BB4-4F85-B5DA-D83DDB3B43C5}" srcOrd="0" destOrd="0" parTransId="{65FED64E-D853-4490-A8CB-CE26611CDE99}" sibTransId="{C89C49F2-F636-41F7-9F1F-9750D8159046}"/>
    <dgm:cxn modelId="{3F6BF8E6-67BF-4121-A0FD-7A9C615FF8B3}" srcId="{3BA7AC95-3D67-4797-B466-EAE303EBFD52}" destId="{103CDEE3-FCC2-4ADE-805A-137ADD848BA1}" srcOrd="0" destOrd="0" parTransId="{CC92722C-2774-4A24-A0B1-CF0405E4612C}" sibTransId="{12CDDB0A-4A30-4A8E-9583-0897E1329705}"/>
    <dgm:cxn modelId="{71860407-3226-4399-B4CA-17A07494DF72}" type="presOf" srcId="{A4F5A8EF-29EB-43A9-ADB7-0F93FD63FF61}" destId="{3B5F36E0-B669-44AA-B93A-FCEE103C1336}" srcOrd="0" destOrd="0" presId="urn:microsoft.com/office/officeart/2005/8/layout/vList5"/>
    <dgm:cxn modelId="{CC6F5415-B05E-4189-B5CA-B511FF54E9F3}" type="presOf" srcId="{53D206DF-3F45-4435-8C9C-AC3250441074}" destId="{C0A384D7-730A-4A41-8DF0-86B10D705559}" srcOrd="0" destOrd="0" presId="urn:microsoft.com/office/officeart/2005/8/layout/vList5"/>
    <dgm:cxn modelId="{A59E2B8F-8672-45FF-A5FE-F27518E577FF}" srcId="{924BF066-E313-4C15-8C6C-B36FDA5C156A}" destId="{9AD70248-F094-48BE-8486-2CB27452CC83}" srcOrd="6" destOrd="0" parTransId="{E029FE6D-1226-43F0-ABD8-C9113C4D3459}" sibTransId="{EFB36535-30EE-4C8D-B7E1-65EEFEF8A272}"/>
    <dgm:cxn modelId="{3A9CE4B0-D7AC-4367-9DB6-0A9BD0E61136}" srcId="{FE2BC06F-A4AB-4D59-98A2-8573BFC51ED6}" destId="{B029EB66-3AC3-4907-B9AF-1BB8C79CA638}" srcOrd="1" destOrd="0" parTransId="{E840A1EF-9998-4076-BB39-5D206450F309}" sibTransId="{B4DC1546-AC95-438F-97BA-6003242B16F7}"/>
    <dgm:cxn modelId="{0720D378-1F6B-4533-921A-50067FC1BC37}" type="presOf" srcId="{B88CCF0A-0BB4-4F85-B5DA-D83DDB3B43C5}" destId="{9F3DE4E7-B2E8-40BE-B35F-4A638C5F4627}" srcOrd="0" destOrd="0" presId="urn:microsoft.com/office/officeart/2005/8/layout/vList5"/>
    <dgm:cxn modelId="{C8A99D47-657A-460A-A3F6-E13781EA9F8B}" srcId="{B88CCF0A-0BB4-4F85-B5DA-D83DDB3B43C5}" destId="{BA8DFBFD-0F1E-49C0-8F69-7102242C4FB5}" srcOrd="0" destOrd="0" parTransId="{F139A1D0-BC19-4643-8277-F8F280E5AD22}" sibTransId="{D4776579-B640-492D-9B35-A1295DBCAF8C}"/>
    <dgm:cxn modelId="{C932E3CC-C404-4B8F-80B2-1A174D9A11DF}" type="presOf" srcId="{0D9103B0-817F-45F0-91EB-EC420BB0DBA5}" destId="{EB749F0F-31B7-4010-BFAB-B030EB7547CC}" srcOrd="0" destOrd="0" presId="urn:microsoft.com/office/officeart/2005/8/layout/vList5"/>
    <dgm:cxn modelId="{22C27848-B466-403C-9C90-D2C8F8C5005E}" srcId="{9AD70248-F094-48BE-8486-2CB27452CC83}" destId="{757D8052-6B92-4C1B-858D-CD360120BC52}" srcOrd="0" destOrd="0" parTransId="{6386ED29-83E5-4554-B402-38F648E612AA}" sibTransId="{4D09E227-3B9E-4669-94BC-E3338B5C663D}"/>
    <dgm:cxn modelId="{8E945427-B118-47A0-96B3-4EE315678D23}" type="presOf" srcId="{B029EB66-3AC3-4907-B9AF-1BB8C79CA638}" destId="{C543AC78-6FB9-477C-8934-446F54A7F83A}" srcOrd="0" destOrd="1" presId="urn:microsoft.com/office/officeart/2005/8/layout/vList5"/>
    <dgm:cxn modelId="{058B2297-7390-420D-9AAE-3B29C232CDDF}" srcId="{924BF066-E313-4C15-8C6C-B36FDA5C156A}" destId="{FE2BC06F-A4AB-4D59-98A2-8573BFC51ED6}" srcOrd="1" destOrd="0" parTransId="{6EB47DE3-CD86-46A6-8F5A-CBCB3A2CAE14}" sibTransId="{A54CACE8-3D46-4B5A-9F62-3111D9681D48}"/>
    <dgm:cxn modelId="{114ACA1A-20FE-4F17-A48A-42AF0ED31222}" srcId="{924BF066-E313-4C15-8C6C-B36FDA5C156A}" destId="{0D9103B0-817F-45F0-91EB-EC420BB0DBA5}" srcOrd="2" destOrd="0" parTransId="{3FD6456C-2DAA-4586-966B-5DFEC4E80969}" sibTransId="{3AD1D3E9-92DA-4F90-9130-0240A4FDD62A}"/>
    <dgm:cxn modelId="{81B37809-5CA5-4DE0-9D12-6696D19B7B94}" type="presOf" srcId="{13473CFC-83A4-4007-BEDC-88482DB78C2C}" destId="{96FA9CA4-A504-4543-BFAC-6CCF62E9EF56}" srcOrd="0" destOrd="0" presId="urn:microsoft.com/office/officeart/2005/8/layout/vList5"/>
    <dgm:cxn modelId="{573D6DDC-1558-4260-93AE-6A351F8FE168}" srcId="{0D9103B0-817F-45F0-91EB-EC420BB0DBA5}" destId="{5B2490A1-9EA8-4062-BBC1-93480E46EF7F}" srcOrd="0" destOrd="0" parTransId="{97215206-2B67-45BF-8081-ABD7637E0AC9}" sibTransId="{318074D4-2A7A-4FD4-B7CC-FC924C66CEDF}"/>
    <dgm:cxn modelId="{6CF04601-E30B-4CC4-9513-4588B18FAB5F}" type="presOf" srcId="{924BF066-E313-4C15-8C6C-B36FDA5C156A}" destId="{96440528-33B3-4880-8BB4-FCBAF458D28D}" srcOrd="0" destOrd="0" presId="urn:microsoft.com/office/officeart/2005/8/layout/vList5"/>
    <dgm:cxn modelId="{1FF3059A-B561-44AC-A2D0-05C63450244B}" srcId="{924BF066-E313-4C15-8C6C-B36FDA5C156A}" destId="{DE10FF57-83AF-46D8-8392-03BD6D38BF8E}" srcOrd="3" destOrd="0" parTransId="{FC1D1405-A6E1-4905-80E7-4E9A40138932}" sibTransId="{AACCA36F-2D4F-4EDA-91C4-402470558BC9}"/>
    <dgm:cxn modelId="{A74C38E8-85F5-49AE-8A69-06DA1BEA4B51}" type="presOf" srcId="{BA8DFBFD-0F1E-49C0-8F69-7102242C4FB5}" destId="{41DBD2C5-65B0-4000-A6C9-F3CEAB80E56F}" srcOrd="0" destOrd="0" presId="urn:microsoft.com/office/officeart/2005/8/layout/vList5"/>
    <dgm:cxn modelId="{6DC7900E-771A-4F76-A029-D096A5B47857}" srcId="{924BF066-E313-4C15-8C6C-B36FDA5C156A}" destId="{53D206DF-3F45-4435-8C9C-AC3250441074}" srcOrd="5" destOrd="0" parTransId="{7395A362-F848-4CDB-AC7D-3BA8BEB1B4D3}" sibTransId="{0C4AD1DE-9658-4ACB-88DB-560B78C25DFD}"/>
    <dgm:cxn modelId="{03333438-0118-4905-A72C-7B7144C5C8F0}" srcId="{53D206DF-3F45-4435-8C9C-AC3250441074}" destId="{D7F920EB-324A-4AA2-8CFC-00D6DF8B5128}" srcOrd="1" destOrd="0" parTransId="{B63D006F-D025-4894-889F-69FB382F3FF9}" sibTransId="{6FB07DC1-4C21-495C-9E3D-9EBE6E9EA7A1}"/>
    <dgm:cxn modelId="{EE6D4812-7F17-495C-8614-09FEC04B9876}" type="presOf" srcId="{5B2490A1-9EA8-4062-BBC1-93480E46EF7F}" destId="{D37C46DE-54EE-46B3-9108-56C7E1336CD5}" srcOrd="0" destOrd="0" presId="urn:microsoft.com/office/officeart/2005/8/layout/vList5"/>
    <dgm:cxn modelId="{4F6662C0-A769-49C9-A3C5-4DD944916647}" type="presOf" srcId="{3BA7AC95-3D67-4797-B466-EAE303EBFD52}" destId="{A9AB32E7-9191-4C46-8E29-34CAC1ABB535}" srcOrd="0" destOrd="0" presId="urn:microsoft.com/office/officeart/2005/8/layout/vList5"/>
    <dgm:cxn modelId="{3E97F334-00DF-4367-860B-9AA53FE4D18B}" srcId="{0D9103B0-817F-45F0-91EB-EC420BB0DBA5}" destId="{8DF50B09-4662-4BB8-916A-943977298F2A}" srcOrd="1" destOrd="0" parTransId="{286EA96C-F7D5-497F-90C2-E230760C774B}" sibTransId="{33BB6261-37D0-42FE-ACA1-289605AD64F0}"/>
    <dgm:cxn modelId="{2D85AD38-64C0-4CDE-BA72-1B9197AE5024}" type="presOf" srcId="{FE2BC06F-A4AB-4D59-98A2-8573BFC51ED6}" destId="{21629666-3615-4A21-A631-55A83E13DB03}" srcOrd="0" destOrd="0" presId="urn:microsoft.com/office/officeart/2005/8/layout/vList5"/>
    <dgm:cxn modelId="{69E90291-DBE1-4132-932B-2704FF3F2A03}" type="presParOf" srcId="{96440528-33B3-4880-8BB4-FCBAF458D28D}" destId="{67A7F3AC-138D-4C1E-A516-1CB110078EFD}" srcOrd="0" destOrd="0" presId="urn:microsoft.com/office/officeart/2005/8/layout/vList5"/>
    <dgm:cxn modelId="{2B041BE4-345F-4407-8148-ECBF80DF7DE7}" type="presParOf" srcId="{67A7F3AC-138D-4C1E-A516-1CB110078EFD}" destId="{9F3DE4E7-B2E8-40BE-B35F-4A638C5F4627}" srcOrd="0" destOrd="0" presId="urn:microsoft.com/office/officeart/2005/8/layout/vList5"/>
    <dgm:cxn modelId="{40312D56-87CF-43CE-B6B8-8B3CFF09C185}" type="presParOf" srcId="{67A7F3AC-138D-4C1E-A516-1CB110078EFD}" destId="{41DBD2C5-65B0-4000-A6C9-F3CEAB80E56F}" srcOrd="1" destOrd="0" presId="urn:microsoft.com/office/officeart/2005/8/layout/vList5"/>
    <dgm:cxn modelId="{E1E629C7-C97E-4C9C-9311-5D98B762CE86}" type="presParOf" srcId="{96440528-33B3-4880-8BB4-FCBAF458D28D}" destId="{AF80789F-A793-46C0-B119-DBFCCCBA3124}" srcOrd="1" destOrd="0" presId="urn:microsoft.com/office/officeart/2005/8/layout/vList5"/>
    <dgm:cxn modelId="{9D62A07A-DB8A-41D9-9DB2-E09779EDE54F}" type="presParOf" srcId="{96440528-33B3-4880-8BB4-FCBAF458D28D}" destId="{E8067803-53F9-4F71-9607-48AB7459071B}" srcOrd="2" destOrd="0" presId="urn:microsoft.com/office/officeart/2005/8/layout/vList5"/>
    <dgm:cxn modelId="{F335C591-9502-4257-8604-460F5FD11EF4}" type="presParOf" srcId="{E8067803-53F9-4F71-9607-48AB7459071B}" destId="{21629666-3615-4A21-A631-55A83E13DB03}" srcOrd="0" destOrd="0" presId="urn:microsoft.com/office/officeart/2005/8/layout/vList5"/>
    <dgm:cxn modelId="{68FA5CA9-A037-482B-99D3-82831DD491E8}" type="presParOf" srcId="{E8067803-53F9-4F71-9607-48AB7459071B}" destId="{C543AC78-6FB9-477C-8934-446F54A7F83A}" srcOrd="1" destOrd="0" presId="urn:microsoft.com/office/officeart/2005/8/layout/vList5"/>
    <dgm:cxn modelId="{5EE42109-BD78-49DD-A030-65D38CFED9B7}" type="presParOf" srcId="{96440528-33B3-4880-8BB4-FCBAF458D28D}" destId="{E0230EE1-5303-4CEA-AD3A-D7CA1A2C22B6}" srcOrd="3" destOrd="0" presId="urn:microsoft.com/office/officeart/2005/8/layout/vList5"/>
    <dgm:cxn modelId="{E474A2B2-A2A8-4AD1-9B63-7474AD8CAE25}" type="presParOf" srcId="{96440528-33B3-4880-8BB4-FCBAF458D28D}" destId="{89DAFCB1-2B69-446D-AA72-6E474A1EBA8D}" srcOrd="4" destOrd="0" presId="urn:microsoft.com/office/officeart/2005/8/layout/vList5"/>
    <dgm:cxn modelId="{CCB1ACEE-72FB-4A03-B962-C31795D3BAD9}" type="presParOf" srcId="{89DAFCB1-2B69-446D-AA72-6E474A1EBA8D}" destId="{EB749F0F-31B7-4010-BFAB-B030EB7547CC}" srcOrd="0" destOrd="0" presId="urn:microsoft.com/office/officeart/2005/8/layout/vList5"/>
    <dgm:cxn modelId="{A88189EE-939B-4806-AC5E-49B7884DF5F2}" type="presParOf" srcId="{89DAFCB1-2B69-446D-AA72-6E474A1EBA8D}" destId="{D37C46DE-54EE-46B3-9108-56C7E1336CD5}" srcOrd="1" destOrd="0" presId="urn:microsoft.com/office/officeart/2005/8/layout/vList5"/>
    <dgm:cxn modelId="{70EEDE0A-D3BD-4CB2-A743-AAC86027A09E}" type="presParOf" srcId="{96440528-33B3-4880-8BB4-FCBAF458D28D}" destId="{00329F62-552A-4B4A-8A04-F7ECBA4A49C2}" srcOrd="5" destOrd="0" presId="urn:microsoft.com/office/officeart/2005/8/layout/vList5"/>
    <dgm:cxn modelId="{1F436539-DEC2-4C96-9804-385FD9BC9006}" type="presParOf" srcId="{96440528-33B3-4880-8BB4-FCBAF458D28D}" destId="{52A033E6-8937-4D9F-9452-BB4F76648E73}" srcOrd="6" destOrd="0" presId="urn:microsoft.com/office/officeart/2005/8/layout/vList5"/>
    <dgm:cxn modelId="{41331B9D-C09C-4A8D-A2E1-D4AE2E1C7DF3}" type="presParOf" srcId="{52A033E6-8937-4D9F-9452-BB4F76648E73}" destId="{82A77AFE-7F03-483F-9156-32654B6A946D}" srcOrd="0" destOrd="0" presId="urn:microsoft.com/office/officeart/2005/8/layout/vList5"/>
    <dgm:cxn modelId="{AD2D6D03-CFD4-4164-9885-27DC0EC722F4}" type="presParOf" srcId="{52A033E6-8937-4D9F-9452-BB4F76648E73}" destId="{3B5F36E0-B669-44AA-B93A-FCEE103C1336}" srcOrd="1" destOrd="0" presId="urn:microsoft.com/office/officeart/2005/8/layout/vList5"/>
    <dgm:cxn modelId="{D575286A-2855-4B91-A125-9507196FD3F0}" type="presParOf" srcId="{96440528-33B3-4880-8BB4-FCBAF458D28D}" destId="{94ABB801-887E-4733-95C8-A287D595769E}" srcOrd="7" destOrd="0" presId="urn:microsoft.com/office/officeart/2005/8/layout/vList5"/>
    <dgm:cxn modelId="{0083405C-7245-4F2E-BCED-8BEA6520933C}" type="presParOf" srcId="{96440528-33B3-4880-8BB4-FCBAF458D28D}" destId="{ACF1D06C-68BA-4942-AE86-2B52905D4FBE}" srcOrd="8" destOrd="0" presId="urn:microsoft.com/office/officeart/2005/8/layout/vList5"/>
    <dgm:cxn modelId="{CDA071FB-704E-41F7-8DC6-C15525C0824A}" type="presParOf" srcId="{ACF1D06C-68BA-4942-AE86-2B52905D4FBE}" destId="{A9AB32E7-9191-4C46-8E29-34CAC1ABB535}" srcOrd="0" destOrd="0" presId="urn:microsoft.com/office/officeart/2005/8/layout/vList5"/>
    <dgm:cxn modelId="{96978998-E1D2-452F-B453-48679D4CCB07}" type="presParOf" srcId="{ACF1D06C-68BA-4942-AE86-2B52905D4FBE}" destId="{F31770C7-60C4-4BD7-A5DB-AA39C992E598}" srcOrd="1" destOrd="0" presId="urn:microsoft.com/office/officeart/2005/8/layout/vList5"/>
    <dgm:cxn modelId="{B12A56A5-2677-4CD9-B863-36D0ED5F6898}" type="presParOf" srcId="{96440528-33B3-4880-8BB4-FCBAF458D28D}" destId="{C38C3A59-91EE-422F-A956-9C2D85D1B23B}" srcOrd="9" destOrd="0" presId="urn:microsoft.com/office/officeart/2005/8/layout/vList5"/>
    <dgm:cxn modelId="{0979A73F-AC3C-491D-9F60-32D330098FC6}" type="presParOf" srcId="{96440528-33B3-4880-8BB4-FCBAF458D28D}" destId="{7B381C8F-5588-49BF-BA15-92E1D90DAAE4}" srcOrd="10" destOrd="0" presId="urn:microsoft.com/office/officeart/2005/8/layout/vList5"/>
    <dgm:cxn modelId="{97722B6A-A07F-4100-A1E0-002FA9BABA11}" type="presParOf" srcId="{7B381C8F-5588-49BF-BA15-92E1D90DAAE4}" destId="{C0A384D7-730A-4A41-8DF0-86B10D705559}" srcOrd="0" destOrd="0" presId="urn:microsoft.com/office/officeart/2005/8/layout/vList5"/>
    <dgm:cxn modelId="{1E17E3B2-B395-4B65-850A-ED097B19ED49}" type="presParOf" srcId="{7B381C8F-5588-49BF-BA15-92E1D90DAAE4}" destId="{96FA9CA4-A504-4543-BFAC-6CCF62E9EF56}" srcOrd="1" destOrd="0" presId="urn:microsoft.com/office/officeart/2005/8/layout/vList5"/>
    <dgm:cxn modelId="{F16073AE-E9AB-4FE6-B8AA-54B06128EE05}" type="presParOf" srcId="{96440528-33B3-4880-8BB4-FCBAF458D28D}" destId="{C4BDE61C-A34A-48D4-866A-4968B3AC0CEA}" srcOrd="11" destOrd="0" presId="urn:microsoft.com/office/officeart/2005/8/layout/vList5"/>
    <dgm:cxn modelId="{FBF15517-8652-4398-9FA0-5C9A78C1547E}" type="presParOf" srcId="{96440528-33B3-4880-8BB4-FCBAF458D28D}" destId="{306549C6-CD32-434F-B5EA-7A6C47866137}" srcOrd="12" destOrd="0" presId="urn:microsoft.com/office/officeart/2005/8/layout/vList5"/>
    <dgm:cxn modelId="{FF4D8ABC-DA5A-4E5A-98E7-E86FFDC24C1C}" type="presParOf" srcId="{306549C6-CD32-434F-B5EA-7A6C47866137}" destId="{CA382C40-0852-4887-99F5-371DD2CAF7C8}" srcOrd="0" destOrd="0" presId="urn:microsoft.com/office/officeart/2005/8/layout/vList5"/>
    <dgm:cxn modelId="{39B1EA7E-ED66-4B74-B45B-A8D004454F90}" type="presParOf" srcId="{306549C6-CD32-434F-B5EA-7A6C47866137}" destId="{A97F4FAF-E0A8-409A-B6BA-ECFB7F2AE3FA}" srcOrd="1" destOrd="0" presId="urn:microsoft.com/office/officeart/2005/8/layout/vList5"/>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DBD2C5-65B0-4000-A6C9-F3CEAB80E56F}">
      <dsp:nvSpPr>
        <dsp:cNvPr id="0" name=""/>
        <dsp:cNvSpPr/>
      </dsp:nvSpPr>
      <dsp:spPr>
        <a:xfrm rot="5400000">
          <a:off x="3150205" y="-1851215"/>
          <a:ext cx="559400" cy="4402553"/>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333375">
            <a:lnSpc>
              <a:spcPct val="90000"/>
            </a:lnSpc>
            <a:spcBef>
              <a:spcPct val="0"/>
            </a:spcBef>
            <a:spcAft>
              <a:spcPct val="15000"/>
            </a:spcAft>
            <a:buChar char="••"/>
          </a:pPr>
          <a:r>
            <a:rPr lang="sk-SK" sz="750" kern="1200"/>
            <a:t>sumarizácia podkladov pre jednotlivé prioritné osi, hlavným zdrojom dát o priebehu realizácie projektov bola web stránka: www.opii.gov.sk a  ITMS2014+</a:t>
          </a:r>
          <a:endParaRPr lang="en-US" sz="750" kern="1200"/>
        </a:p>
      </dsp:txBody>
      <dsp:txXfrm rot="-5400000">
        <a:off x="1228629" y="97669"/>
        <a:ext cx="4375245" cy="504784"/>
      </dsp:txXfrm>
    </dsp:sp>
    <dsp:sp modelId="{9F3DE4E7-B2E8-40BE-B35F-4A638C5F4627}">
      <dsp:nvSpPr>
        <dsp:cNvPr id="0" name=""/>
        <dsp:cNvSpPr/>
      </dsp:nvSpPr>
      <dsp:spPr>
        <a:xfrm>
          <a:off x="152397" y="436"/>
          <a:ext cx="1076231" cy="69925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15240" rIns="30480" bIns="15240" numCol="1" spcCol="1270" anchor="ctr" anchorCtr="0">
          <a:noAutofit/>
        </a:bodyPr>
        <a:lstStyle/>
        <a:p>
          <a:pPr lvl="0" algn="ctr" defTabSz="355600">
            <a:lnSpc>
              <a:spcPct val="90000"/>
            </a:lnSpc>
            <a:spcBef>
              <a:spcPct val="0"/>
            </a:spcBef>
            <a:spcAft>
              <a:spcPct val="35000"/>
            </a:spcAft>
          </a:pPr>
          <a:r>
            <a:rPr lang="sk-SK" sz="800" b="1" kern="1200"/>
            <a:t>Zber sekundárnych dát</a:t>
          </a:r>
          <a:endParaRPr lang="en-US" sz="800" b="1" kern="1200"/>
        </a:p>
      </dsp:txBody>
      <dsp:txXfrm>
        <a:off x="186532" y="34571"/>
        <a:ext cx="1007961" cy="630980"/>
      </dsp:txXfrm>
    </dsp:sp>
    <dsp:sp modelId="{C543AC78-6FB9-477C-8934-446F54A7F83A}">
      <dsp:nvSpPr>
        <dsp:cNvPr id="0" name=""/>
        <dsp:cNvSpPr/>
      </dsp:nvSpPr>
      <dsp:spPr>
        <a:xfrm rot="5400000">
          <a:off x="3150205" y="-1117002"/>
          <a:ext cx="559400" cy="4402553"/>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333375">
            <a:lnSpc>
              <a:spcPct val="90000"/>
            </a:lnSpc>
            <a:spcBef>
              <a:spcPct val="0"/>
            </a:spcBef>
            <a:spcAft>
              <a:spcPct val="15000"/>
            </a:spcAft>
            <a:buChar char="••"/>
          </a:pPr>
          <a:r>
            <a:rPr lang="sk-SK" sz="750" kern="1200"/>
            <a:t>overenie kvality a kompletnosti dát</a:t>
          </a:r>
          <a:endParaRPr lang="en-US" sz="750" kern="1200"/>
        </a:p>
        <a:p>
          <a:pPr marL="57150" lvl="1" indent="-57150" algn="l" defTabSz="333375">
            <a:lnSpc>
              <a:spcPct val="90000"/>
            </a:lnSpc>
            <a:spcBef>
              <a:spcPct val="0"/>
            </a:spcBef>
            <a:spcAft>
              <a:spcPct val="15000"/>
            </a:spcAft>
            <a:buChar char="••"/>
          </a:pPr>
          <a:r>
            <a:rPr lang="sk-SK" sz="750" kern="1200"/>
            <a:t>vytvorenie prehľadnej databázy o projektoch, ktorá obsahuje všetky údáje o realizácii, tzn. ukazovatele, čerpanie, harmonogram, rozočet</a:t>
          </a:r>
          <a:endParaRPr lang="en-US" sz="750" kern="1200"/>
        </a:p>
      </dsp:txBody>
      <dsp:txXfrm rot="-5400000">
        <a:off x="1228629" y="831882"/>
        <a:ext cx="4375245" cy="504784"/>
      </dsp:txXfrm>
    </dsp:sp>
    <dsp:sp modelId="{21629666-3615-4A21-A631-55A83E13DB03}">
      <dsp:nvSpPr>
        <dsp:cNvPr id="0" name=""/>
        <dsp:cNvSpPr/>
      </dsp:nvSpPr>
      <dsp:spPr>
        <a:xfrm>
          <a:off x="152397" y="734649"/>
          <a:ext cx="1076231" cy="69925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15240" rIns="30480" bIns="15240" numCol="1" spcCol="1270" anchor="ctr" anchorCtr="0">
          <a:noAutofit/>
        </a:bodyPr>
        <a:lstStyle/>
        <a:p>
          <a:pPr lvl="0" algn="ctr" defTabSz="355600">
            <a:lnSpc>
              <a:spcPct val="90000"/>
            </a:lnSpc>
            <a:spcBef>
              <a:spcPct val="0"/>
            </a:spcBef>
            <a:spcAft>
              <a:spcPct val="35000"/>
            </a:spcAft>
          </a:pPr>
          <a:r>
            <a:rPr lang="sk-SK" sz="800" b="1" kern="1200"/>
            <a:t>Analýza sekundárnych dát </a:t>
          </a:r>
          <a:endParaRPr lang="en-US" sz="800" b="1" kern="1200"/>
        </a:p>
      </dsp:txBody>
      <dsp:txXfrm>
        <a:off x="186532" y="768784"/>
        <a:ext cx="1007961" cy="630980"/>
      </dsp:txXfrm>
    </dsp:sp>
    <dsp:sp modelId="{D37C46DE-54EE-46B3-9108-56C7E1336CD5}">
      <dsp:nvSpPr>
        <dsp:cNvPr id="0" name=""/>
        <dsp:cNvSpPr/>
      </dsp:nvSpPr>
      <dsp:spPr>
        <a:xfrm rot="5400000">
          <a:off x="3150205" y="-382789"/>
          <a:ext cx="559400" cy="4402553"/>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333375">
            <a:lnSpc>
              <a:spcPct val="90000"/>
            </a:lnSpc>
            <a:spcBef>
              <a:spcPct val="0"/>
            </a:spcBef>
            <a:spcAft>
              <a:spcPct val="15000"/>
            </a:spcAft>
            <a:buChar char="••"/>
          </a:pPr>
          <a:r>
            <a:rPr lang="sk-SK" sz="750" kern="1200"/>
            <a:t>po zanalyzovaní sekundárnych dát boli vypracované dotazníky pre projektových manažérov a prijímateľov</a:t>
          </a:r>
          <a:endParaRPr lang="en-US" sz="750" kern="1200"/>
        </a:p>
        <a:p>
          <a:pPr marL="57150" lvl="1" indent="-57150" algn="l" defTabSz="333375">
            <a:lnSpc>
              <a:spcPct val="90000"/>
            </a:lnSpc>
            <a:spcBef>
              <a:spcPct val="0"/>
            </a:spcBef>
            <a:spcAft>
              <a:spcPct val="15000"/>
            </a:spcAft>
            <a:buChar char="••"/>
          </a:pPr>
          <a:r>
            <a:rPr lang="sk-SK" sz="750" kern="1200"/>
            <a:t>následne prebehli rozhovory na doplnenie informácií v dotazníkoch</a:t>
          </a:r>
          <a:endParaRPr lang="en-US" sz="750" kern="1200"/>
        </a:p>
      </dsp:txBody>
      <dsp:txXfrm rot="-5400000">
        <a:off x="1228629" y="1566095"/>
        <a:ext cx="4375245" cy="504784"/>
      </dsp:txXfrm>
    </dsp:sp>
    <dsp:sp modelId="{EB749F0F-31B7-4010-BFAB-B030EB7547CC}">
      <dsp:nvSpPr>
        <dsp:cNvPr id="0" name=""/>
        <dsp:cNvSpPr/>
      </dsp:nvSpPr>
      <dsp:spPr>
        <a:xfrm>
          <a:off x="152397" y="1468861"/>
          <a:ext cx="1076231" cy="69925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15240" rIns="30480" bIns="15240" numCol="1" spcCol="1270" anchor="ctr" anchorCtr="0">
          <a:noAutofit/>
        </a:bodyPr>
        <a:lstStyle/>
        <a:p>
          <a:pPr lvl="0" algn="ctr" defTabSz="355600">
            <a:lnSpc>
              <a:spcPct val="90000"/>
            </a:lnSpc>
            <a:spcBef>
              <a:spcPct val="0"/>
            </a:spcBef>
            <a:spcAft>
              <a:spcPct val="35000"/>
            </a:spcAft>
          </a:pPr>
          <a:r>
            <a:rPr lang="sk-SK" sz="800" b="1" kern="1200"/>
            <a:t>Zber primárnych dát</a:t>
          </a:r>
          <a:endParaRPr lang="en-US" sz="800" b="1" kern="1200"/>
        </a:p>
      </dsp:txBody>
      <dsp:txXfrm>
        <a:off x="186532" y="1502996"/>
        <a:ext cx="1007961" cy="630980"/>
      </dsp:txXfrm>
    </dsp:sp>
    <dsp:sp modelId="{3B5F36E0-B669-44AA-B93A-FCEE103C1336}">
      <dsp:nvSpPr>
        <dsp:cNvPr id="0" name=""/>
        <dsp:cNvSpPr/>
      </dsp:nvSpPr>
      <dsp:spPr>
        <a:xfrm rot="5400000">
          <a:off x="3150205" y="351423"/>
          <a:ext cx="559400" cy="4402553"/>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333375">
            <a:lnSpc>
              <a:spcPct val="90000"/>
            </a:lnSpc>
            <a:spcBef>
              <a:spcPct val="0"/>
            </a:spcBef>
            <a:spcAft>
              <a:spcPct val="15000"/>
            </a:spcAft>
            <a:buChar char="••"/>
          </a:pPr>
          <a:r>
            <a:rPr lang="sk-SK" sz="750" kern="1200"/>
            <a:t>po sumarizácii všetkých relevantných dát boli spracované závery realizácie jednotlivých projektov</a:t>
          </a:r>
          <a:endParaRPr lang="en-US" sz="750" kern="1200"/>
        </a:p>
      </dsp:txBody>
      <dsp:txXfrm rot="-5400000">
        <a:off x="1228629" y="2300307"/>
        <a:ext cx="4375245" cy="504784"/>
      </dsp:txXfrm>
    </dsp:sp>
    <dsp:sp modelId="{82A77AFE-7F03-483F-9156-32654B6A946D}">
      <dsp:nvSpPr>
        <dsp:cNvPr id="0" name=""/>
        <dsp:cNvSpPr/>
      </dsp:nvSpPr>
      <dsp:spPr>
        <a:xfrm>
          <a:off x="152397" y="2203074"/>
          <a:ext cx="1076231" cy="69925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15240" rIns="30480" bIns="15240" numCol="1" spcCol="1270" anchor="ctr" anchorCtr="0">
          <a:noAutofit/>
        </a:bodyPr>
        <a:lstStyle/>
        <a:p>
          <a:pPr lvl="0" algn="ctr" defTabSz="355600">
            <a:lnSpc>
              <a:spcPct val="90000"/>
            </a:lnSpc>
            <a:spcBef>
              <a:spcPct val="0"/>
            </a:spcBef>
            <a:spcAft>
              <a:spcPct val="35000"/>
            </a:spcAft>
          </a:pPr>
          <a:r>
            <a:rPr lang="sk-SK" sz="800" b="1" kern="1200"/>
            <a:t>Detailná analýza projektov</a:t>
          </a:r>
          <a:endParaRPr lang="en-US" sz="800" b="1" kern="1200"/>
        </a:p>
      </dsp:txBody>
      <dsp:txXfrm>
        <a:off x="186532" y="2237209"/>
        <a:ext cx="1007961" cy="630980"/>
      </dsp:txXfrm>
    </dsp:sp>
    <dsp:sp modelId="{F31770C7-60C4-4BD7-A5DB-AA39C992E598}">
      <dsp:nvSpPr>
        <dsp:cNvPr id="0" name=""/>
        <dsp:cNvSpPr/>
      </dsp:nvSpPr>
      <dsp:spPr>
        <a:xfrm rot="5400000">
          <a:off x="3150205" y="1085636"/>
          <a:ext cx="559400" cy="4402553"/>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333375">
            <a:lnSpc>
              <a:spcPct val="90000"/>
            </a:lnSpc>
            <a:spcBef>
              <a:spcPct val="0"/>
            </a:spcBef>
            <a:spcAft>
              <a:spcPct val="15000"/>
            </a:spcAft>
            <a:buChar char="••"/>
          </a:pPr>
          <a:r>
            <a:rPr lang="sk-SK" sz="750" kern="1200"/>
            <a:t>porovnanie plánovaných ukazovateľov výstupu, výsledku a výkonnostného rámca so skutočne dosiahnutými výsledkami, a tiež porovnanie harmonogramu realizácie projektov s plánom </a:t>
          </a:r>
          <a:endParaRPr lang="en-US" sz="750" kern="1200"/>
        </a:p>
      </dsp:txBody>
      <dsp:txXfrm rot="-5400000">
        <a:off x="1228629" y="3034520"/>
        <a:ext cx="4375245" cy="504784"/>
      </dsp:txXfrm>
    </dsp:sp>
    <dsp:sp modelId="{A9AB32E7-9191-4C46-8E29-34CAC1ABB535}">
      <dsp:nvSpPr>
        <dsp:cNvPr id="0" name=""/>
        <dsp:cNvSpPr/>
      </dsp:nvSpPr>
      <dsp:spPr>
        <a:xfrm>
          <a:off x="152397" y="2937287"/>
          <a:ext cx="1076231" cy="69925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15240" rIns="30480" bIns="15240" numCol="1" spcCol="1270" anchor="ctr" anchorCtr="0">
          <a:noAutofit/>
        </a:bodyPr>
        <a:lstStyle/>
        <a:p>
          <a:pPr lvl="0" algn="ctr" defTabSz="355600">
            <a:lnSpc>
              <a:spcPct val="90000"/>
            </a:lnSpc>
            <a:spcBef>
              <a:spcPct val="0"/>
            </a:spcBef>
            <a:spcAft>
              <a:spcPct val="35000"/>
            </a:spcAft>
          </a:pPr>
          <a:r>
            <a:rPr lang="sk-SK" sz="800" b="1" kern="1200"/>
            <a:t>Porovnanie dát</a:t>
          </a:r>
          <a:endParaRPr lang="en-US" sz="800" b="1" kern="1200"/>
        </a:p>
      </dsp:txBody>
      <dsp:txXfrm>
        <a:off x="186532" y="2971422"/>
        <a:ext cx="1007961" cy="630980"/>
      </dsp:txXfrm>
    </dsp:sp>
    <dsp:sp modelId="{96FA9CA4-A504-4543-BFAC-6CCF62E9EF56}">
      <dsp:nvSpPr>
        <dsp:cNvPr id="0" name=""/>
        <dsp:cNvSpPr/>
      </dsp:nvSpPr>
      <dsp:spPr>
        <a:xfrm rot="5400000">
          <a:off x="3150205" y="1819848"/>
          <a:ext cx="559400" cy="4402553"/>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333375">
            <a:lnSpc>
              <a:spcPct val="90000"/>
            </a:lnSpc>
            <a:spcBef>
              <a:spcPct val="0"/>
            </a:spcBef>
            <a:spcAft>
              <a:spcPct val="15000"/>
            </a:spcAft>
            <a:buChar char="••"/>
          </a:pPr>
          <a:r>
            <a:rPr lang="sk-SK" sz="750" kern="1200"/>
            <a:t>identifikácia disproporcií a problémových oblastí a predikcia dopadov pre jednotlivé ŠC a PO vzhľadom na ciele</a:t>
          </a:r>
          <a:endParaRPr lang="en-US" sz="750" kern="1200"/>
        </a:p>
        <a:p>
          <a:pPr marL="57150" lvl="1" indent="-57150" algn="l" defTabSz="333375">
            <a:lnSpc>
              <a:spcPct val="90000"/>
            </a:lnSpc>
            <a:spcBef>
              <a:spcPct val="0"/>
            </a:spcBef>
            <a:spcAft>
              <a:spcPct val="15000"/>
            </a:spcAft>
            <a:buChar char="••"/>
          </a:pPr>
          <a:r>
            <a:rPr lang="sk-SK" sz="750" kern="1200"/>
            <a:t>prediskutovanie záverov a zistení z analýz so zamestnancami RO OPII</a:t>
          </a:r>
          <a:endParaRPr lang="en-US" sz="750" kern="1200"/>
        </a:p>
      </dsp:txBody>
      <dsp:txXfrm rot="-5400000">
        <a:off x="1228629" y="3768732"/>
        <a:ext cx="4375245" cy="504784"/>
      </dsp:txXfrm>
    </dsp:sp>
    <dsp:sp modelId="{C0A384D7-730A-4A41-8DF0-86B10D705559}">
      <dsp:nvSpPr>
        <dsp:cNvPr id="0" name=""/>
        <dsp:cNvSpPr/>
      </dsp:nvSpPr>
      <dsp:spPr>
        <a:xfrm>
          <a:off x="152397" y="3671500"/>
          <a:ext cx="1076231" cy="69925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15240" rIns="30480" bIns="15240" numCol="1" spcCol="1270" anchor="ctr" anchorCtr="0">
          <a:noAutofit/>
        </a:bodyPr>
        <a:lstStyle/>
        <a:p>
          <a:pPr lvl="0" algn="ctr" defTabSz="355600">
            <a:lnSpc>
              <a:spcPct val="90000"/>
            </a:lnSpc>
            <a:spcBef>
              <a:spcPct val="0"/>
            </a:spcBef>
            <a:spcAft>
              <a:spcPct val="35000"/>
            </a:spcAft>
          </a:pPr>
          <a:r>
            <a:rPr lang="sk-SK" sz="800" b="1" kern="1200"/>
            <a:t>Zhodnotenie  záverov</a:t>
          </a:r>
          <a:endParaRPr lang="en-US" sz="800" b="1" kern="1200"/>
        </a:p>
      </dsp:txBody>
      <dsp:txXfrm>
        <a:off x="186532" y="3705635"/>
        <a:ext cx="1007961" cy="630980"/>
      </dsp:txXfrm>
    </dsp:sp>
    <dsp:sp modelId="{A97F4FAF-E0A8-409A-B6BA-ECFB7F2AE3FA}">
      <dsp:nvSpPr>
        <dsp:cNvPr id="0" name=""/>
        <dsp:cNvSpPr/>
      </dsp:nvSpPr>
      <dsp:spPr>
        <a:xfrm rot="5400000">
          <a:off x="3150205" y="2554061"/>
          <a:ext cx="559400" cy="4402553"/>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333375">
            <a:lnSpc>
              <a:spcPct val="90000"/>
            </a:lnSpc>
            <a:spcBef>
              <a:spcPct val="0"/>
            </a:spcBef>
            <a:spcAft>
              <a:spcPct val="15000"/>
            </a:spcAft>
            <a:buChar char="••"/>
          </a:pPr>
          <a:r>
            <a:rPr lang="sk-SK" sz="750" kern="1200"/>
            <a:t>definovanie záverov a odporúčaní pre ďalšie nastavenie OPII</a:t>
          </a:r>
          <a:endParaRPr lang="en-US" sz="750" kern="1200"/>
        </a:p>
      </dsp:txBody>
      <dsp:txXfrm rot="-5400000">
        <a:off x="1228629" y="4502945"/>
        <a:ext cx="4375245" cy="504784"/>
      </dsp:txXfrm>
    </dsp:sp>
    <dsp:sp modelId="{CA382C40-0852-4887-99F5-371DD2CAF7C8}">
      <dsp:nvSpPr>
        <dsp:cNvPr id="0" name=""/>
        <dsp:cNvSpPr/>
      </dsp:nvSpPr>
      <dsp:spPr>
        <a:xfrm>
          <a:off x="152397" y="4405713"/>
          <a:ext cx="1076231" cy="69925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15240" rIns="30480" bIns="15240" numCol="1" spcCol="1270" anchor="ctr" anchorCtr="0">
          <a:noAutofit/>
        </a:bodyPr>
        <a:lstStyle/>
        <a:p>
          <a:pPr lvl="0" algn="ctr" defTabSz="355600">
            <a:lnSpc>
              <a:spcPct val="90000"/>
            </a:lnSpc>
            <a:spcBef>
              <a:spcPct val="0"/>
            </a:spcBef>
            <a:spcAft>
              <a:spcPct val="35000"/>
            </a:spcAft>
          </a:pPr>
          <a:r>
            <a:rPr lang="sk-SK" sz="800" b="1" kern="1200"/>
            <a:t>Syntéza záverov a zistení</a:t>
          </a:r>
          <a:endParaRPr lang="en-US" sz="800" b="1" kern="1200"/>
        </a:p>
      </dsp:txBody>
      <dsp:txXfrm>
        <a:off x="186532" y="4439848"/>
        <a:ext cx="1007961" cy="630980"/>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Deloitte colors">
      <a:dk1>
        <a:sysClr val="windowText" lastClr="000000"/>
      </a:dk1>
      <a:lt1>
        <a:sysClr val="window" lastClr="FFFFFF"/>
      </a:lt1>
      <a:dk2>
        <a:srgbClr val="53565A"/>
      </a:dk2>
      <a:lt2>
        <a:srgbClr val="D0D0CE"/>
      </a:lt2>
      <a:accent1>
        <a:srgbClr val="86BC25"/>
      </a:accent1>
      <a:accent2>
        <a:srgbClr val="046A38"/>
      </a:accent2>
      <a:accent3>
        <a:srgbClr val="62B5E5"/>
      </a:accent3>
      <a:accent4>
        <a:srgbClr val="012169"/>
      </a:accent4>
      <a:accent5>
        <a:srgbClr val="0097A9"/>
      </a:accent5>
      <a:accent6>
        <a:srgbClr val="75787B"/>
      </a:accent6>
      <a:hlink>
        <a:srgbClr val="00A3E0"/>
      </a:hlink>
      <a:folHlink>
        <a:srgbClr val="53565A"/>
      </a:folHlink>
    </a:clrScheme>
    <a:fontScheme name="Deloitte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3"/>
        </a:solidFill>
        <a:ln>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txDef>
      <a:spPr>
        <a:solidFill>
          <a:schemeClr val="lt1"/>
        </a:solid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7064E-F17A-4EE4-BFFA-A6222DA88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55</Pages>
  <Words>17472</Words>
  <Characters>99595</Characters>
  <Application>Microsoft Office Word</Application>
  <DocSecurity>0</DocSecurity>
  <Lines>829</Lines>
  <Paragraphs>233</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Proposal_A4_3col</vt:lpstr>
      <vt:lpstr>Proposal_A4_3col</vt:lpstr>
    </vt:vector>
  </TitlesOfParts>
  <Company/>
  <LinksUpToDate>false</LinksUpToDate>
  <CharactersWithSpaces>116834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Proposal_A4_3col</dc:title>
  <dc:subject/>
  <dc:creator>Katerina Slovakova Filipkova</dc:creator>
  <cp:keywords/>
  <dc:description/>
  <cp:lastModifiedBy>Slovakova Filipkova, Katerina</cp:lastModifiedBy>
  <cp:revision>5</cp:revision>
  <cp:lastPrinted>2019-06-27T12:39:00Z</cp:lastPrinted>
  <dcterms:created xsi:type="dcterms:W3CDTF">2019-06-20T12:32:00Z</dcterms:created>
  <dcterms:modified xsi:type="dcterms:W3CDTF">2019-06-27T12:40:00Z</dcterms:modified>
</cp:coreProperties>
</file>