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8D00A" w14:textId="6FA58921" w:rsidR="00EB172B" w:rsidRPr="00DD6590" w:rsidRDefault="00EB172B" w:rsidP="00EB172B">
      <w:pPr>
        <w:pStyle w:val="Heading1"/>
      </w:pPr>
      <w:bookmarkStart w:id="0" w:name="_Toc9350265"/>
      <w:bookmarkStart w:id="1" w:name="_Toc1132682"/>
      <w:r w:rsidRPr="00DD6590">
        <w:t>Prioritná os 3 –</w:t>
      </w:r>
      <w:bookmarkStart w:id="2" w:name="_GoBack"/>
      <w:bookmarkEnd w:id="2"/>
      <w:r w:rsidRPr="00DD6590">
        <w:t xml:space="preserve"> Verejná osobná doprava</w:t>
      </w:r>
      <w:bookmarkEnd w:id="0"/>
    </w:p>
    <w:p w14:paraId="4A11D5EA" w14:textId="6982070F" w:rsidR="00EB172B" w:rsidRPr="00DD6590" w:rsidRDefault="00EB172B" w:rsidP="00EB172B">
      <w:pPr>
        <w:rPr>
          <w:szCs w:val="18"/>
        </w:rPr>
      </w:pPr>
      <w:r w:rsidRPr="00DD6590">
        <w:rPr>
          <w:szCs w:val="18"/>
        </w:rPr>
        <w:t>Hlavným cieľom prioritnej osi 3 je zvýšenie podielu verejnej osobnej dopravy voči neustále rastúcej individuálnej automobilovej doprave, ako i vytvorenie infraštruktúry umožňujúcej prevádzku kvalitnej integrovanej verejnej osobnej dopravy, čím by sa znížila environmentálna záťaž</w:t>
      </w:r>
      <w:r w:rsidR="00D20AD8">
        <w:rPr>
          <w:szCs w:val="18"/>
        </w:rPr>
        <w:t>,</w:t>
      </w:r>
      <w:r w:rsidRPr="00DD6590">
        <w:rPr>
          <w:szCs w:val="18"/>
        </w:rPr>
        <w:t xml:space="preserve"> ako i záťaž na cestnú infraštruktúru. Medzi najväčšie prekážky momentálne patria zlý technický stav električkových</w:t>
      </w:r>
      <w:r w:rsidR="00870271" w:rsidRPr="00DD6590">
        <w:rPr>
          <w:szCs w:val="18"/>
        </w:rPr>
        <w:t xml:space="preserve"> a trolejbusových</w:t>
      </w:r>
      <w:r w:rsidRPr="00DD6590">
        <w:rPr>
          <w:szCs w:val="18"/>
        </w:rPr>
        <w:t xml:space="preserve"> tratí</w:t>
      </w:r>
      <w:r w:rsidR="00D20AD8">
        <w:rPr>
          <w:szCs w:val="18"/>
        </w:rPr>
        <w:t>, ako aj</w:t>
      </w:r>
      <w:r w:rsidRPr="00DD6590">
        <w:rPr>
          <w:szCs w:val="18"/>
        </w:rPr>
        <w:t xml:space="preserve"> dopravných prostriedkov (električky a trolejbusy), ktoré sú v mnohých prípadoch zastarané, nevyhovujúce z hľadiska spoľahlivosti, bezpečnosti a komfortu, energeticky neefektívne a ich údržba je finančne náročná. </w:t>
      </w:r>
    </w:p>
    <w:p w14:paraId="29485A62" w14:textId="125036AE" w:rsidR="00EB172B" w:rsidRPr="00DD6590" w:rsidRDefault="00350A24" w:rsidP="00EB172B">
      <w:pPr>
        <w:rPr>
          <w:szCs w:val="18"/>
        </w:rPr>
      </w:pPr>
      <w:r w:rsidRPr="00DD6590">
        <w:rPr>
          <w:szCs w:val="18"/>
        </w:rPr>
        <w:t xml:space="preserve">V rámci prioritnej osi 3 boli stanovené </w:t>
      </w:r>
      <w:r w:rsidR="00EB172B" w:rsidRPr="00DD6590">
        <w:rPr>
          <w:szCs w:val="18"/>
        </w:rPr>
        <w:t>dva špecifické ciele:</w:t>
      </w:r>
    </w:p>
    <w:p w14:paraId="57C03C6A" w14:textId="02CDB4C2" w:rsidR="00EB172B" w:rsidRPr="00DD6590" w:rsidRDefault="00EB172B" w:rsidP="003E761D">
      <w:pPr>
        <w:pStyle w:val="ListParagraph"/>
        <w:numPr>
          <w:ilvl w:val="1"/>
          <w:numId w:val="18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atraktivity verejnej osobnej dopravy prostredníctvom modernizácie a rekonštrukcie infraštruktúry pre IDS a mestskú dráhovú dopravu</w:t>
      </w:r>
    </w:p>
    <w:p w14:paraId="04DA8E0C" w14:textId="0986ACE1" w:rsidR="00EB172B" w:rsidRPr="00DD6590" w:rsidRDefault="00EB172B" w:rsidP="003E761D">
      <w:pPr>
        <w:pStyle w:val="ListParagraph"/>
        <w:numPr>
          <w:ilvl w:val="1"/>
          <w:numId w:val="18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atraktivity a prístupnosti verejnej osobnej dopravy prostredníctvom obnovy mobilných prostriedkov dráhovej MHD</w:t>
      </w:r>
    </w:p>
    <w:p w14:paraId="4F88062D" w14:textId="77777777" w:rsidR="00EB172B" w:rsidRPr="00DD6590" w:rsidRDefault="00EB172B" w:rsidP="00EB172B">
      <w:pPr>
        <w:rPr>
          <w:szCs w:val="18"/>
        </w:rPr>
      </w:pPr>
      <w:r w:rsidRPr="00DD6590">
        <w:rPr>
          <w:szCs w:val="18"/>
        </w:rPr>
        <w:t>Na úrovni PO3 je stanovený výkonnostný rámec nasledovne:</w:t>
      </w:r>
    </w:p>
    <w:p w14:paraId="5B863B3B" w14:textId="7D7B8BF6" w:rsidR="00EB172B" w:rsidRPr="00DD6590" w:rsidRDefault="00EB172B" w:rsidP="00EB172B">
      <w:pPr>
        <w:pStyle w:val="Caption"/>
      </w:pPr>
      <w:bookmarkStart w:id="3" w:name="_Toc8805472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1</w:t>
      </w:r>
      <w:r w:rsidRPr="00DD6590">
        <w:fldChar w:fldCharType="end"/>
      </w:r>
      <w:r w:rsidRPr="00DD6590">
        <w:t xml:space="preserve"> Výkonnostný rámec PO3</w:t>
      </w:r>
      <w:bookmarkEnd w:id="3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04"/>
        <w:gridCol w:w="2577"/>
        <w:gridCol w:w="1184"/>
        <w:gridCol w:w="1768"/>
        <w:gridCol w:w="1741"/>
      </w:tblGrid>
      <w:tr w:rsidR="00EB172B" w:rsidRPr="00DD6590" w14:paraId="661829DC" w14:textId="77777777" w:rsidTr="00EB1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3061BF72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Typ ukazovateľa</w:t>
            </w:r>
          </w:p>
        </w:tc>
        <w:tc>
          <w:tcPr>
            <w:tcW w:w="2577" w:type="dxa"/>
          </w:tcPr>
          <w:p w14:paraId="30FA3CC0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Definícia ukazovateľa alebo implementačného kroku</w:t>
            </w:r>
          </w:p>
        </w:tc>
        <w:tc>
          <w:tcPr>
            <w:tcW w:w="1184" w:type="dxa"/>
          </w:tcPr>
          <w:p w14:paraId="0AF95E68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768" w:type="dxa"/>
          </w:tcPr>
          <w:p w14:paraId="1BA7684B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Čiastkový cieľ pre rok 2018</w:t>
            </w:r>
          </w:p>
        </w:tc>
        <w:tc>
          <w:tcPr>
            <w:tcW w:w="1741" w:type="dxa"/>
          </w:tcPr>
          <w:p w14:paraId="0058B4AE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Zámer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8"/>
              </w:rPr>
              <w:footnoteReference w:id="1"/>
            </w:r>
            <w:r w:rsidRPr="00DD6590">
              <w:rPr>
                <w:rFonts w:asciiTheme="minorHAnsi" w:hAnsiTheme="minorHAnsi"/>
                <w:sz w:val="16"/>
                <w:szCs w:val="18"/>
              </w:rPr>
              <w:t xml:space="preserve"> (2023)</w:t>
            </w:r>
          </w:p>
        </w:tc>
      </w:tr>
      <w:tr w:rsidR="00EB172B" w:rsidRPr="00DD6590" w14:paraId="630B8F95" w14:textId="77777777" w:rsidTr="00EB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480AD509" w14:textId="77777777" w:rsidR="00EB172B" w:rsidRPr="00DD6590" w:rsidRDefault="00EB172B" w:rsidP="002167D2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Finančný ukazovateľ</w:t>
            </w:r>
          </w:p>
        </w:tc>
        <w:tc>
          <w:tcPr>
            <w:tcW w:w="2577" w:type="dxa"/>
          </w:tcPr>
          <w:p w14:paraId="629B82A6" w14:textId="77777777" w:rsidR="00EB172B" w:rsidRPr="00DD6590" w:rsidRDefault="00EB172B" w:rsidP="002167D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D6590">
              <w:rPr>
                <w:rFonts w:asciiTheme="minorHAnsi" w:hAnsiTheme="minorHAnsi"/>
                <w:sz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184" w:type="dxa"/>
          </w:tcPr>
          <w:p w14:paraId="02F005FB" w14:textId="77777777" w:rsidR="00EB172B" w:rsidRPr="00DD6590" w:rsidRDefault="00EB172B" w:rsidP="002167D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EUR</w:t>
            </w:r>
          </w:p>
        </w:tc>
        <w:tc>
          <w:tcPr>
            <w:tcW w:w="1768" w:type="dxa"/>
          </w:tcPr>
          <w:p w14:paraId="4D222255" w14:textId="77777777" w:rsidR="00EB172B" w:rsidRPr="00DD6590" w:rsidRDefault="00EB172B" w:rsidP="002167D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113 770 589</w:t>
            </w:r>
          </w:p>
        </w:tc>
        <w:tc>
          <w:tcPr>
            <w:tcW w:w="1741" w:type="dxa"/>
          </w:tcPr>
          <w:p w14:paraId="318C00E8" w14:textId="77777777" w:rsidR="00EB172B" w:rsidRPr="00DD6590" w:rsidRDefault="00EB172B" w:rsidP="002167D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379 235 295</w:t>
            </w:r>
          </w:p>
        </w:tc>
      </w:tr>
      <w:tr w:rsidR="00EB172B" w:rsidRPr="00DD6590" w14:paraId="5CD00B4F" w14:textId="77777777" w:rsidTr="00EB1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4D903606" w14:textId="77777777" w:rsidR="00EB172B" w:rsidRPr="00DD6590" w:rsidRDefault="00EB172B" w:rsidP="002167D2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Výstupový ukazovateľ</w:t>
            </w:r>
          </w:p>
        </w:tc>
        <w:tc>
          <w:tcPr>
            <w:tcW w:w="2577" w:type="dxa"/>
          </w:tcPr>
          <w:p w14:paraId="3075576D" w14:textId="77777777" w:rsidR="00EB172B" w:rsidRPr="00DD6590" w:rsidRDefault="00EB172B" w:rsidP="002167D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D6590">
              <w:rPr>
                <w:rFonts w:asciiTheme="minorHAnsi" w:hAnsiTheme="minorHAnsi"/>
                <w:sz w:val="16"/>
              </w:rPr>
              <w:t>Celková dĺžka nových alebo zmodernizovaných tratí pre električky alebo metro</w:t>
            </w:r>
          </w:p>
        </w:tc>
        <w:tc>
          <w:tcPr>
            <w:tcW w:w="1184" w:type="dxa"/>
          </w:tcPr>
          <w:p w14:paraId="20A7C2DF" w14:textId="77777777" w:rsidR="00EB172B" w:rsidRPr="00DD6590" w:rsidRDefault="00EB172B" w:rsidP="002167D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km</w:t>
            </w:r>
          </w:p>
        </w:tc>
        <w:tc>
          <w:tcPr>
            <w:tcW w:w="1768" w:type="dxa"/>
          </w:tcPr>
          <w:p w14:paraId="5EEBA96B" w14:textId="77777777" w:rsidR="00EB172B" w:rsidRPr="00DD6590" w:rsidRDefault="00EB172B" w:rsidP="002167D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7,9</w:t>
            </w:r>
          </w:p>
        </w:tc>
        <w:tc>
          <w:tcPr>
            <w:tcW w:w="1741" w:type="dxa"/>
          </w:tcPr>
          <w:p w14:paraId="11CF67DC" w14:textId="77777777" w:rsidR="00EB172B" w:rsidRPr="00DD6590" w:rsidRDefault="00EB172B" w:rsidP="002167D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18,5</w:t>
            </w:r>
          </w:p>
        </w:tc>
      </w:tr>
    </w:tbl>
    <w:p w14:paraId="15E8F75A" w14:textId="77777777" w:rsidR="0039267B" w:rsidRPr="00DD6590" w:rsidRDefault="00EB172B" w:rsidP="00B0035E">
      <w:pPr>
        <w:pStyle w:val="Heading2"/>
      </w:pPr>
      <w:bookmarkStart w:id="4" w:name="_Toc9350266"/>
      <w:r w:rsidRPr="00DD6590">
        <w:t>Špecifický cieľ 3.1</w:t>
      </w:r>
      <w:bookmarkEnd w:id="4"/>
      <w:r w:rsidRPr="00DD6590">
        <w:t xml:space="preserve"> </w:t>
      </w:r>
    </w:p>
    <w:p w14:paraId="344EABDE" w14:textId="4729492C" w:rsidR="00EB172B" w:rsidRPr="00DD6590" w:rsidRDefault="00EB172B" w:rsidP="0039267B">
      <w:pPr>
        <w:rPr>
          <w:b/>
        </w:rPr>
      </w:pPr>
      <w:r w:rsidRPr="00DD6590">
        <w:rPr>
          <w:b/>
        </w:rPr>
        <w:t>Zvýšenie atraktivity verejnej osobnej dopravy prostredníctvom modernizácie a rekonštrukcie infraštruktúry pre IDS a mestskú dráhovú dopravu</w:t>
      </w:r>
    </w:p>
    <w:p w14:paraId="49243924" w14:textId="75B26511" w:rsidR="00EB172B" w:rsidRPr="00DD6590" w:rsidRDefault="00926C2B" w:rsidP="00EB172B">
      <w:pPr>
        <w:rPr>
          <w:szCs w:val="18"/>
        </w:rPr>
      </w:pPr>
      <w:r w:rsidRPr="00DD6590">
        <w:rPr>
          <w:szCs w:val="18"/>
        </w:rPr>
        <w:t>Očakávanými v</w:t>
      </w:r>
      <w:r w:rsidR="00EB172B" w:rsidRPr="00DD6590">
        <w:rPr>
          <w:szCs w:val="18"/>
        </w:rPr>
        <w:t>ýsledkami implementácie ŠC 3.1 sú:</w:t>
      </w:r>
    </w:p>
    <w:p w14:paraId="0DB0FD96" w14:textId="77777777" w:rsidR="00EB172B" w:rsidRPr="00DD6590" w:rsidRDefault="00EB172B" w:rsidP="003E761D">
      <w:pPr>
        <w:pStyle w:val="ListParagraph"/>
        <w:numPr>
          <w:ilvl w:val="0"/>
          <w:numId w:val="19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atraktívnosti verejnej osobnej dopravy,</w:t>
      </w:r>
    </w:p>
    <w:p w14:paraId="59FD1F5C" w14:textId="4D7E0A03" w:rsidR="00EB172B" w:rsidRPr="00DD6590" w:rsidRDefault="00EB172B" w:rsidP="003E761D">
      <w:pPr>
        <w:pStyle w:val="ListParagraph"/>
        <w:numPr>
          <w:ilvl w:val="0"/>
          <w:numId w:val="19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zlepšene kvality služieb poskytovaných v MH</w:t>
      </w:r>
      <w:r w:rsidR="00DC59F1" w:rsidRPr="00DD6590">
        <w:rPr>
          <w:rFonts w:asciiTheme="majorHAnsi" w:hAnsiTheme="majorHAnsi"/>
          <w:szCs w:val="18"/>
        </w:rPr>
        <w:t>D</w:t>
      </w:r>
      <w:r w:rsidRPr="00DD6590">
        <w:rPr>
          <w:rFonts w:asciiTheme="majorHAnsi" w:hAnsiTheme="majorHAnsi"/>
          <w:szCs w:val="18"/>
        </w:rPr>
        <w:t xml:space="preserve"> vo veľkých aglomeráciách (úspora času, rozšírenie ponuky služieb, zvýšenie komfortu a spoľahlivosti a pod.),</w:t>
      </w:r>
    </w:p>
    <w:p w14:paraId="5EA8EB48" w14:textId="77777777" w:rsidR="00EB172B" w:rsidRPr="00DD6590" w:rsidRDefault="00EB172B" w:rsidP="003E761D">
      <w:pPr>
        <w:pStyle w:val="ListParagraph"/>
        <w:numPr>
          <w:ilvl w:val="0"/>
          <w:numId w:val="19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zlepšenie kvality údržby dráhových vozidiel MHD,</w:t>
      </w:r>
    </w:p>
    <w:p w14:paraId="1157015A" w14:textId="77777777" w:rsidR="00EB172B" w:rsidRPr="00DD6590" w:rsidRDefault="00EB172B" w:rsidP="003E761D">
      <w:pPr>
        <w:pStyle w:val="ListParagraph"/>
        <w:numPr>
          <w:ilvl w:val="0"/>
          <w:numId w:val="19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infraštruktúra umožňujúca zvýšenie podielu cestujúcich verejnej osobnej dopravy na deľbe prepravnej práce,</w:t>
      </w:r>
    </w:p>
    <w:p w14:paraId="51DB8527" w14:textId="3AB61618" w:rsidR="00EB172B" w:rsidRPr="00DD6590" w:rsidRDefault="00EB172B" w:rsidP="003E761D">
      <w:pPr>
        <w:pStyle w:val="ListParagraph"/>
        <w:numPr>
          <w:ilvl w:val="0"/>
          <w:numId w:val="19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negatívnych vplyvov na životné prostredie (zníženie hlukovej záťaže a emisií CO</w:t>
      </w:r>
      <w:r w:rsidRPr="00DD6590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>, NO</w:t>
      </w:r>
      <w:r w:rsidRPr="00DD6590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 xml:space="preserve"> a PM</w:t>
      </w:r>
      <w:r w:rsidRPr="00DD6590">
        <w:rPr>
          <w:rFonts w:asciiTheme="majorHAnsi" w:hAnsiTheme="majorHAnsi"/>
          <w:szCs w:val="18"/>
          <w:vertAlign w:val="subscript"/>
        </w:rPr>
        <w:t>10</w:t>
      </w:r>
      <w:r w:rsidRPr="00DD6590">
        <w:rPr>
          <w:rFonts w:asciiTheme="majorHAnsi" w:hAnsiTheme="majorHAnsi"/>
          <w:szCs w:val="18"/>
        </w:rPr>
        <w:t>)</w:t>
      </w:r>
      <w:r w:rsidR="00E20C64">
        <w:rPr>
          <w:rFonts w:asciiTheme="majorHAnsi" w:hAnsiTheme="majorHAnsi"/>
          <w:szCs w:val="18"/>
        </w:rPr>
        <w:t>.</w:t>
      </w:r>
    </w:p>
    <w:p w14:paraId="6D90107E" w14:textId="77777777" w:rsidR="00EB172B" w:rsidRPr="00DD6590" w:rsidRDefault="00EB172B" w:rsidP="00EB172B">
      <w:pPr>
        <w:ind w:left="90"/>
        <w:rPr>
          <w:szCs w:val="18"/>
        </w:rPr>
      </w:pPr>
      <w:r w:rsidRPr="00DD6590">
        <w:rPr>
          <w:szCs w:val="18"/>
        </w:rPr>
        <w:t>Špecifický výsledkový ukazovateľ stanovený pre tento ŠC je:</w:t>
      </w:r>
    </w:p>
    <w:p w14:paraId="186B14A3" w14:textId="357706ED" w:rsidR="00EB172B" w:rsidRPr="00DD6590" w:rsidRDefault="00EB172B" w:rsidP="00EB172B">
      <w:pPr>
        <w:pStyle w:val="Caption"/>
      </w:pPr>
      <w:bookmarkStart w:id="5" w:name="_Toc8805473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2</w:t>
      </w:r>
      <w:r w:rsidRPr="00DD6590">
        <w:fldChar w:fldCharType="end"/>
      </w:r>
      <w:r w:rsidRPr="00DD6590">
        <w:t xml:space="preserve"> Výsledkové ukazovatele ŠC 3.1</w:t>
      </w:r>
      <w:bookmarkEnd w:id="5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2924"/>
        <w:gridCol w:w="1274"/>
        <w:gridCol w:w="1115"/>
        <w:gridCol w:w="1602"/>
        <w:gridCol w:w="1565"/>
      </w:tblGrid>
      <w:tr w:rsidR="00EB172B" w:rsidRPr="00DD6590" w14:paraId="274F918D" w14:textId="77777777" w:rsidTr="00EB1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4AD59E1F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P.č.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01FD7EB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0AAFEE0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B00D389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9BFEFD0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235FA527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EB172B" w:rsidRPr="00DD6590" w14:paraId="2881C77D" w14:textId="77777777" w:rsidTr="00EB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328F9388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2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91BA2EB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času vo verejnej osobnej doprave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445FB65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výsledkový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BCA2C5B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61470A8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33 752 086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7932AF73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19 286 906</w:t>
            </w:r>
          </w:p>
        </w:tc>
      </w:tr>
    </w:tbl>
    <w:p w14:paraId="63D7A4E7" w14:textId="77777777" w:rsidR="0039267B" w:rsidRPr="00DD6590" w:rsidRDefault="00EB172B" w:rsidP="00B0035E">
      <w:pPr>
        <w:pStyle w:val="Heading2"/>
      </w:pPr>
      <w:bookmarkStart w:id="6" w:name="_Toc9350267"/>
      <w:r w:rsidRPr="00DD6590">
        <w:t>Špecifický cieľ 3.2</w:t>
      </w:r>
      <w:bookmarkEnd w:id="6"/>
      <w:r w:rsidRPr="00DD6590">
        <w:t xml:space="preserve"> </w:t>
      </w:r>
    </w:p>
    <w:p w14:paraId="15CED1DE" w14:textId="50303114" w:rsidR="00EB172B" w:rsidRPr="00DD6590" w:rsidRDefault="00EB172B" w:rsidP="0039267B">
      <w:pPr>
        <w:rPr>
          <w:b/>
        </w:rPr>
      </w:pPr>
      <w:r w:rsidRPr="00DD6590">
        <w:rPr>
          <w:b/>
        </w:rPr>
        <w:t xml:space="preserve">Zvýšenie atraktivity a prístupnosti verejnej osobnej dopravy prostredníctvom obnovy mobilných prostriedkov dráhovej MHD </w:t>
      </w:r>
    </w:p>
    <w:p w14:paraId="3A55E1C1" w14:textId="3C55C45C" w:rsidR="00EB172B" w:rsidRPr="00DD6590" w:rsidRDefault="00926C2B" w:rsidP="00EB172B">
      <w:r w:rsidRPr="00DD6590">
        <w:t>Očakávanými v</w:t>
      </w:r>
      <w:r w:rsidR="00EB172B" w:rsidRPr="00DD6590">
        <w:t>ýsledkami realizácie ŠC 3.2 sú:</w:t>
      </w:r>
    </w:p>
    <w:p w14:paraId="0BC2741F" w14:textId="77777777" w:rsidR="00EB172B" w:rsidRPr="00DD6590" w:rsidRDefault="00EB172B" w:rsidP="003E761D">
      <w:pPr>
        <w:pStyle w:val="ListParagraph"/>
        <w:numPr>
          <w:ilvl w:val="0"/>
          <w:numId w:val="20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atraktívnosti verejnej osobnej dopravy,</w:t>
      </w:r>
    </w:p>
    <w:p w14:paraId="3DED75EB" w14:textId="77777777" w:rsidR="00EB172B" w:rsidRPr="00DD6590" w:rsidRDefault="00EB172B" w:rsidP="003E761D">
      <w:pPr>
        <w:pStyle w:val="ListParagraph"/>
        <w:numPr>
          <w:ilvl w:val="0"/>
          <w:numId w:val="20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zlepšenie kvality služieb poskytovaných dráhovou MHD vo veľkých aglomeráciách (úspora cestovného času, rozšírenie ponuky služieb, zvýšenie komfortu a spoľahlivosti a pod.),</w:t>
      </w:r>
    </w:p>
    <w:p w14:paraId="59D19C19" w14:textId="77777777" w:rsidR="00EB172B" w:rsidRPr="00DD6590" w:rsidRDefault="00EB172B" w:rsidP="003E761D">
      <w:pPr>
        <w:pStyle w:val="ListParagraph"/>
        <w:numPr>
          <w:ilvl w:val="0"/>
          <w:numId w:val="20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 xml:space="preserve">zvýšenie prístupnosti vozidiel MHD, </w:t>
      </w:r>
    </w:p>
    <w:p w14:paraId="595E6237" w14:textId="4FCB431C" w:rsidR="00EB172B" w:rsidRPr="00DD6590" w:rsidRDefault="00EB172B" w:rsidP="003E761D">
      <w:pPr>
        <w:pStyle w:val="ListParagraph"/>
        <w:numPr>
          <w:ilvl w:val="0"/>
          <w:numId w:val="20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negatívnych vplyvov na životné prostredie (zníženie hluku, emisií CO</w:t>
      </w:r>
      <w:r w:rsidRPr="00DD6590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>, NO</w:t>
      </w:r>
      <w:r w:rsidRPr="00DD6590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 xml:space="preserve"> a PM</w:t>
      </w:r>
      <w:r w:rsidRPr="00DD6590">
        <w:rPr>
          <w:rFonts w:asciiTheme="majorHAnsi" w:hAnsiTheme="majorHAnsi"/>
          <w:szCs w:val="18"/>
          <w:vertAlign w:val="subscript"/>
        </w:rPr>
        <w:t>10</w:t>
      </w:r>
      <w:r w:rsidRPr="00DD6590">
        <w:rPr>
          <w:rFonts w:asciiTheme="majorHAnsi" w:hAnsiTheme="majorHAnsi"/>
          <w:szCs w:val="18"/>
        </w:rPr>
        <w:t>, vibrácií a pod.) – čistá MHD</w:t>
      </w:r>
      <w:r w:rsidR="00AA20A8">
        <w:rPr>
          <w:rFonts w:asciiTheme="majorHAnsi" w:hAnsiTheme="majorHAnsi"/>
          <w:szCs w:val="18"/>
        </w:rPr>
        <w:t>,</w:t>
      </w:r>
    </w:p>
    <w:p w14:paraId="05567255" w14:textId="43DA7033" w:rsidR="00DC59F1" w:rsidRPr="00DD6590" w:rsidRDefault="00DC59F1" w:rsidP="003E761D">
      <w:pPr>
        <w:pStyle w:val="ListParagraph"/>
        <w:numPr>
          <w:ilvl w:val="0"/>
          <w:numId w:val="20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podielu verejnej osobnej dopravy na deľbe prepravnej práce</w:t>
      </w:r>
      <w:r w:rsidR="00AA20A8">
        <w:rPr>
          <w:rFonts w:asciiTheme="majorHAnsi" w:hAnsiTheme="majorHAnsi"/>
          <w:szCs w:val="18"/>
        </w:rPr>
        <w:t>.</w:t>
      </w:r>
    </w:p>
    <w:p w14:paraId="0F5AA16C" w14:textId="77777777" w:rsidR="00EB172B" w:rsidRPr="00DD6590" w:rsidRDefault="00EB172B" w:rsidP="00EB172B">
      <w:pPr>
        <w:contextualSpacing/>
        <w:rPr>
          <w:szCs w:val="18"/>
        </w:rPr>
      </w:pPr>
      <w:r w:rsidRPr="00DD6590">
        <w:rPr>
          <w:szCs w:val="18"/>
        </w:rPr>
        <w:t>Špecifický výsledkový ukazovateľ stanovený pre tento ŠC je:</w:t>
      </w:r>
    </w:p>
    <w:p w14:paraId="410FF656" w14:textId="0C44C4F7" w:rsidR="00EB172B" w:rsidRPr="00DD6590" w:rsidRDefault="00EB172B" w:rsidP="00EB172B">
      <w:pPr>
        <w:pStyle w:val="Caption"/>
      </w:pPr>
      <w:bookmarkStart w:id="7" w:name="_Toc8805474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3</w:t>
      </w:r>
      <w:r w:rsidRPr="00DD6590">
        <w:fldChar w:fldCharType="end"/>
      </w:r>
      <w:r w:rsidRPr="00DD6590">
        <w:t xml:space="preserve"> Výsledkové ukazovatele ŠC 3.2</w:t>
      </w:r>
      <w:bookmarkEnd w:id="7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580"/>
        <w:gridCol w:w="2933"/>
        <w:gridCol w:w="1275"/>
        <w:gridCol w:w="1116"/>
        <w:gridCol w:w="1603"/>
        <w:gridCol w:w="1567"/>
      </w:tblGrid>
      <w:tr w:rsidR="00EB172B" w:rsidRPr="00DD6590" w14:paraId="7F46851B" w14:textId="77777777" w:rsidTr="00EB1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572E78A5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P.č.</w:t>
            </w:r>
          </w:p>
        </w:tc>
        <w:tc>
          <w:tcPr>
            <w:tcW w:w="2933" w:type="dxa"/>
          </w:tcPr>
          <w:p w14:paraId="2CD743E9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5" w:type="dxa"/>
          </w:tcPr>
          <w:p w14:paraId="5954FFAF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6" w:type="dxa"/>
          </w:tcPr>
          <w:p w14:paraId="2CE1C5B3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3" w:type="dxa"/>
          </w:tcPr>
          <w:p w14:paraId="6C6A37CB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(2013)</w:t>
            </w:r>
          </w:p>
        </w:tc>
        <w:tc>
          <w:tcPr>
            <w:tcW w:w="1567" w:type="dxa"/>
          </w:tcPr>
          <w:p w14:paraId="41EB69CC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EB172B" w:rsidRPr="00DD6590" w14:paraId="2248547E" w14:textId="77777777" w:rsidTr="00EB1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F6D6062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1</w:t>
            </w:r>
          </w:p>
        </w:tc>
        <w:tc>
          <w:tcPr>
            <w:tcW w:w="2933" w:type="dxa"/>
            <w:tcBorders>
              <w:top w:val="none" w:sz="0" w:space="0" w:color="auto"/>
              <w:bottom w:val="none" w:sz="0" w:space="0" w:color="auto"/>
            </w:tcBorders>
          </w:tcPr>
          <w:p w14:paraId="321767F1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Počet cestujúcich prepravených dráhovou MHD v mestách Bratislava, Košice, Žilina, Prešov a Banská Bystrica  </w:t>
            </w:r>
          </w:p>
        </w:tc>
        <w:tc>
          <w:tcPr>
            <w:tcW w:w="1275" w:type="dxa"/>
            <w:tcBorders>
              <w:top w:val="none" w:sz="0" w:space="0" w:color="auto"/>
              <w:bottom w:val="none" w:sz="0" w:space="0" w:color="auto"/>
            </w:tcBorders>
          </w:tcPr>
          <w:p w14:paraId="46FB684F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výsledkový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</w:tcPr>
          <w:p w14:paraId="35DD7DC9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počet</w:t>
            </w:r>
          </w:p>
        </w:tc>
        <w:tc>
          <w:tcPr>
            <w:tcW w:w="1603" w:type="dxa"/>
            <w:tcBorders>
              <w:top w:val="none" w:sz="0" w:space="0" w:color="auto"/>
              <w:bottom w:val="none" w:sz="0" w:space="0" w:color="auto"/>
            </w:tcBorders>
          </w:tcPr>
          <w:p w14:paraId="0D2F4EC1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157 657 489</w:t>
            </w:r>
          </w:p>
        </w:tc>
        <w:tc>
          <w:tcPr>
            <w:tcW w:w="15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ED0792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200 085 737</w:t>
            </w:r>
          </w:p>
        </w:tc>
      </w:tr>
    </w:tbl>
    <w:p w14:paraId="4BDE2157" w14:textId="77777777" w:rsidR="00EB172B" w:rsidRPr="00DD6590" w:rsidRDefault="00EB172B" w:rsidP="00EB172B">
      <w:pPr>
        <w:contextualSpacing/>
        <w:rPr>
          <w:szCs w:val="18"/>
        </w:rPr>
      </w:pPr>
    </w:p>
    <w:p w14:paraId="23B1EFF5" w14:textId="77777777" w:rsidR="00EB172B" w:rsidRPr="00DD6590" w:rsidRDefault="00EB172B" w:rsidP="00EB172B">
      <w:pPr>
        <w:rPr>
          <w:szCs w:val="18"/>
        </w:rPr>
      </w:pPr>
      <w:r w:rsidRPr="00DD6590">
        <w:rPr>
          <w:szCs w:val="18"/>
        </w:rPr>
        <w:t>Napĺňanie cieľov ŠC 3.1 a 3.2 sa realizuje prostredníctvom týchto aktivít:</w:t>
      </w:r>
    </w:p>
    <w:p w14:paraId="7C4F4C50" w14:textId="415AC534" w:rsidR="00EB172B" w:rsidRPr="00DD6590" w:rsidRDefault="007F19D5" w:rsidP="003E761D">
      <w:pPr>
        <w:pStyle w:val="ListParagraph"/>
        <w:numPr>
          <w:ilvl w:val="0"/>
          <w:numId w:val="23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m</w:t>
      </w:r>
      <w:r w:rsidRPr="00DD6590">
        <w:rPr>
          <w:rFonts w:asciiTheme="majorHAnsi" w:hAnsiTheme="majorHAnsi"/>
          <w:szCs w:val="18"/>
        </w:rPr>
        <w:t xml:space="preserve">odernizácia </w:t>
      </w:r>
      <w:r w:rsidR="00EB172B" w:rsidRPr="00DD6590">
        <w:rPr>
          <w:rFonts w:asciiTheme="majorHAnsi" w:hAnsiTheme="majorHAnsi"/>
          <w:szCs w:val="18"/>
        </w:rPr>
        <w:t>a výstavba električkových a trolejbusových tratí vrátane prvkov preferencie MHD a napojenia na ostatné druhy MHD a nemotorovú dopravu,</w:t>
      </w:r>
    </w:p>
    <w:p w14:paraId="092F8FC1" w14:textId="524C362E" w:rsidR="00EB172B" w:rsidRPr="00DD6590" w:rsidRDefault="007F19D5" w:rsidP="003E761D">
      <w:pPr>
        <w:pStyle w:val="ListParagraph"/>
        <w:numPr>
          <w:ilvl w:val="0"/>
          <w:numId w:val="23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o</w:t>
      </w:r>
      <w:r w:rsidRPr="00DD6590">
        <w:rPr>
          <w:rFonts w:asciiTheme="majorHAnsi" w:hAnsiTheme="majorHAnsi"/>
          <w:szCs w:val="18"/>
        </w:rPr>
        <w:t xml:space="preserve">bstaranie </w:t>
      </w:r>
      <w:r w:rsidR="00EB172B" w:rsidRPr="00DD6590">
        <w:rPr>
          <w:rFonts w:asciiTheme="majorHAnsi" w:hAnsiTheme="majorHAnsi"/>
          <w:szCs w:val="18"/>
        </w:rPr>
        <w:t>mobilných prostriedkov dráhovej MHD (električiek a trolejbusov (vrátane vozidiel s pomocným pohonom)),</w:t>
      </w:r>
    </w:p>
    <w:p w14:paraId="00AA87CE" w14:textId="50C757D4" w:rsidR="00EB172B" w:rsidRPr="00DD6590" w:rsidRDefault="007F19D5" w:rsidP="003E761D">
      <w:pPr>
        <w:pStyle w:val="ListParagraph"/>
        <w:numPr>
          <w:ilvl w:val="0"/>
          <w:numId w:val="23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EB172B" w:rsidRPr="00DD6590">
        <w:rPr>
          <w:rFonts w:asciiTheme="majorHAnsi" w:hAnsiTheme="majorHAnsi"/>
          <w:szCs w:val="18"/>
        </w:rPr>
        <w:t>a modernizácia infraštruktúry pre IDS (modernizácia a výstavba prestupných terminálov so zásahom do železničnej infraštruktúry),</w:t>
      </w:r>
    </w:p>
    <w:p w14:paraId="29288F27" w14:textId="0A81470C" w:rsidR="00EB172B" w:rsidRPr="00DD6590" w:rsidRDefault="007F19D5" w:rsidP="003E761D">
      <w:pPr>
        <w:pStyle w:val="ListParagraph"/>
        <w:numPr>
          <w:ilvl w:val="0"/>
          <w:numId w:val="23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ybudovanie </w:t>
      </w:r>
      <w:r w:rsidR="00EB172B" w:rsidRPr="00DD6590">
        <w:rPr>
          <w:rFonts w:asciiTheme="majorHAnsi" w:hAnsiTheme="majorHAnsi"/>
          <w:szCs w:val="18"/>
        </w:rPr>
        <w:t>a modernizácia technickej základne na opravu a údržbu vozového parku dráhovej MHD,</w:t>
      </w:r>
    </w:p>
    <w:p w14:paraId="1408902E" w14:textId="1C8F4179" w:rsidR="00EB172B" w:rsidRPr="00DD6590" w:rsidRDefault="007F19D5" w:rsidP="003E761D">
      <w:pPr>
        <w:pStyle w:val="ListParagraph"/>
        <w:numPr>
          <w:ilvl w:val="0"/>
          <w:numId w:val="23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</w:t>
      </w:r>
      <w:r w:rsidRPr="00DD6590">
        <w:rPr>
          <w:rFonts w:asciiTheme="majorHAnsi" w:hAnsiTheme="majorHAnsi"/>
          <w:szCs w:val="18"/>
        </w:rPr>
        <w:t xml:space="preserve">rojektová </w:t>
      </w:r>
      <w:r w:rsidR="00EB172B" w:rsidRPr="00DD6590">
        <w:rPr>
          <w:rFonts w:asciiTheme="majorHAnsi" w:hAnsiTheme="majorHAnsi"/>
          <w:szCs w:val="18"/>
        </w:rPr>
        <w:t>príprava.</w:t>
      </w:r>
    </w:p>
    <w:p w14:paraId="278FFEDB" w14:textId="6051211F" w:rsidR="00EB172B" w:rsidRPr="00DD6590" w:rsidRDefault="003A0AF6" w:rsidP="00EB172B">
      <w:pPr>
        <w:contextualSpacing/>
        <w:rPr>
          <w:szCs w:val="18"/>
        </w:rPr>
      </w:pPr>
      <w:r w:rsidRPr="00DD6590">
        <w:rPr>
          <w:szCs w:val="18"/>
        </w:rPr>
        <w:t>U</w:t>
      </w:r>
      <w:r w:rsidR="00EB172B" w:rsidRPr="00DD6590">
        <w:rPr>
          <w:szCs w:val="18"/>
        </w:rPr>
        <w:t>kazovatele výstupu pre tieto dva ŠC sú stanovené nasledovne:</w:t>
      </w:r>
    </w:p>
    <w:p w14:paraId="779C358A" w14:textId="61D67CF3" w:rsidR="00EB172B" w:rsidRPr="00DD6590" w:rsidRDefault="00EB172B" w:rsidP="00EB172B">
      <w:pPr>
        <w:pStyle w:val="Caption"/>
      </w:pPr>
      <w:bookmarkStart w:id="8" w:name="_Toc8805475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4</w:t>
      </w:r>
      <w:r w:rsidRPr="00DD6590">
        <w:fldChar w:fldCharType="end"/>
      </w:r>
      <w:r w:rsidRPr="00DD6590">
        <w:t xml:space="preserve"> Výstupové ukazovatele PO3</w:t>
      </w:r>
      <w:bookmarkEnd w:id="8"/>
      <w:r w:rsidRPr="00DD6590">
        <w:t xml:space="preserve"> </w:t>
      </w:r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2929"/>
        <w:gridCol w:w="1272"/>
        <w:gridCol w:w="1115"/>
        <w:gridCol w:w="1602"/>
        <w:gridCol w:w="1563"/>
      </w:tblGrid>
      <w:tr w:rsidR="00EB172B" w:rsidRPr="00DD6590" w14:paraId="69B6C9FE" w14:textId="77777777" w:rsidTr="00216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right w:val="single" w:sz="4" w:space="0" w:color="86BC25" w:themeColor="accent1"/>
            </w:tcBorders>
            <w:vAlign w:val="center"/>
          </w:tcPr>
          <w:p w14:paraId="1E416A7D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P.č.</w:t>
            </w:r>
          </w:p>
        </w:tc>
        <w:tc>
          <w:tcPr>
            <w:tcW w:w="2929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E9F09D6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 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6493B12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26C03B3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4D69B8F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381A72E7" w14:textId="77777777" w:rsidR="00EB172B" w:rsidRPr="00DD6590" w:rsidRDefault="00EB172B" w:rsidP="002167D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EB172B" w:rsidRPr="00DD6590" w14:paraId="11F5023B" w14:textId="77777777" w:rsidTr="00216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right w:val="single" w:sz="4" w:space="0" w:color="86BC25" w:themeColor="accent1"/>
            </w:tcBorders>
            <w:vAlign w:val="center"/>
          </w:tcPr>
          <w:p w14:paraId="24700E23" w14:textId="77777777" w:rsidR="00EB172B" w:rsidRPr="00DD6590" w:rsidRDefault="00EB172B" w:rsidP="002167D2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29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9DB07AA" w14:textId="77777777" w:rsidR="00EB172B" w:rsidRPr="00DD6590" w:rsidRDefault="00EB172B" w:rsidP="002167D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nových alebo zmodernizovaných tratí pre električky alebo metro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2C1F260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7C4330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B2A5B02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32F23C03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18,5</w:t>
            </w:r>
          </w:p>
        </w:tc>
      </w:tr>
      <w:tr w:rsidR="00EB172B" w:rsidRPr="00DD6590" w14:paraId="1D00619F" w14:textId="77777777" w:rsidTr="002167D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right w:val="single" w:sz="4" w:space="0" w:color="86BC25" w:themeColor="accent1"/>
            </w:tcBorders>
            <w:vAlign w:val="center"/>
          </w:tcPr>
          <w:p w14:paraId="7F633B51" w14:textId="77777777" w:rsidR="00EB172B" w:rsidRPr="00DD6590" w:rsidRDefault="00EB172B" w:rsidP="002167D2">
            <w:pPr>
              <w:spacing w:before="0" w:line="240" w:lineRule="auto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6"/>
              </w:rPr>
              <w:t>2</w:t>
            </w:r>
          </w:p>
        </w:tc>
        <w:tc>
          <w:tcPr>
            <w:tcW w:w="2929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CE780DF" w14:textId="77777777" w:rsidR="00EB172B" w:rsidRPr="00DD6590" w:rsidRDefault="00EB172B" w:rsidP="002167D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vybudovaných terminálov osobnej dopravy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847BAF5" w14:textId="77777777" w:rsidR="00EB172B" w:rsidRPr="00DD6590" w:rsidRDefault="00EB172B" w:rsidP="002167D2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2DC41EF" w14:textId="77777777" w:rsidR="00EB172B" w:rsidRPr="00DD6590" w:rsidRDefault="00EB172B" w:rsidP="002167D2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6DA74A0" w14:textId="77777777" w:rsidR="00EB172B" w:rsidRPr="00DD6590" w:rsidRDefault="00EB172B" w:rsidP="002167D2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05B8C8EA" w14:textId="77777777" w:rsidR="00EB172B" w:rsidRPr="00DD6590" w:rsidRDefault="00EB172B" w:rsidP="002167D2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</w:tr>
      <w:tr w:rsidR="00EB172B" w:rsidRPr="00DD6590" w14:paraId="729265BA" w14:textId="77777777" w:rsidTr="00216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right w:val="single" w:sz="4" w:space="0" w:color="86BC25" w:themeColor="accent1"/>
            </w:tcBorders>
            <w:vAlign w:val="center"/>
          </w:tcPr>
          <w:p w14:paraId="32ADD579" w14:textId="77777777" w:rsidR="00EB172B" w:rsidRPr="00DD6590" w:rsidRDefault="00EB172B" w:rsidP="002167D2">
            <w:pPr>
              <w:spacing w:before="0" w:line="240" w:lineRule="auto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2929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1E34C16" w14:textId="77777777" w:rsidR="00EB172B" w:rsidRPr="00DD6590" w:rsidRDefault="00EB172B" w:rsidP="002167D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Počet nových mobilných prostriedkov dráhovej mestskej hromadnej dopravy (električky, trolejbusy) vhodných tiež pre cestujúcich s obmedzenou mobilitou</w:t>
            </w:r>
          </w:p>
        </w:tc>
        <w:tc>
          <w:tcPr>
            <w:tcW w:w="127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7EACCA0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5B8C76E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počet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CC78E5E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1563" w:type="dxa"/>
            <w:tcBorders>
              <w:left w:val="single" w:sz="4" w:space="0" w:color="86BC25" w:themeColor="accent1"/>
            </w:tcBorders>
            <w:vAlign w:val="center"/>
          </w:tcPr>
          <w:p w14:paraId="4EAD89F5" w14:textId="77777777" w:rsidR="00EB172B" w:rsidRPr="00DD6590" w:rsidRDefault="00EB172B" w:rsidP="002167D2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</w:rPr>
            </w:pPr>
            <w:r w:rsidRPr="00DD6590">
              <w:rPr>
                <w:rFonts w:asciiTheme="majorHAnsi" w:hAnsiTheme="majorHAnsi"/>
                <w:sz w:val="16"/>
                <w:szCs w:val="16"/>
              </w:rPr>
              <w:t>78</w:t>
            </w:r>
          </w:p>
        </w:tc>
      </w:tr>
    </w:tbl>
    <w:p w14:paraId="321C94C8" w14:textId="52983696" w:rsidR="00EB172B" w:rsidRPr="00DD6590" w:rsidRDefault="00EB172B" w:rsidP="00A01182">
      <w:pPr>
        <w:pStyle w:val="Heading1"/>
      </w:pPr>
      <w:bookmarkStart w:id="9" w:name="_Ref5620646"/>
      <w:bookmarkStart w:id="10" w:name="_Toc9350268"/>
      <w:r w:rsidRPr="00DD6590">
        <w:t>Výsledky analýzy Prioritnej osi 3 – Verejná osobná doprava</w:t>
      </w:r>
      <w:bookmarkEnd w:id="9"/>
      <w:bookmarkEnd w:id="10"/>
      <w:r w:rsidRPr="00DD6590">
        <w:t xml:space="preserve"> </w:t>
      </w:r>
    </w:p>
    <w:p w14:paraId="7FB56B99" w14:textId="3ECF7595" w:rsidR="00EB172B" w:rsidRPr="00DD6590" w:rsidRDefault="002167D2" w:rsidP="001A0962">
      <w:r w:rsidRPr="00DD6590">
        <w:t>V hodnotenom období bolo v realizácii 15 projektov. Z celkovej alokácie prioritnej osi 3 (</w:t>
      </w:r>
      <w:r w:rsidR="000F3BFF" w:rsidRPr="00DD6590">
        <w:t>379</w:t>
      </w:r>
      <w:r w:rsidRPr="00DD6590">
        <w:t xml:space="preserve"> mil. EUR) bolo vyčerpaných </w:t>
      </w:r>
      <w:r w:rsidR="00B91705" w:rsidRPr="00DD6590">
        <w:t>39,62</w:t>
      </w:r>
      <w:r w:rsidR="00AA20A8">
        <w:t xml:space="preserve"> </w:t>
      </w:r>
      <w:r w:rsidRPr="00DD6590">
        <w:t xml:space="preserve">% a zakontrahovaných </w:t>
      </w:r>
      <w:r w:rsidR="0017585F" w:rsidRPr="00DD6590">
        <w:t>48,62</w:t>
      </w:r>
      <w:r w:rsidR="00AA20A8">
        <w:t xml:space="preserve"> </w:t>
      </w:r>
      <w:r w:rsidRPr="00DD6590">
        <w:t>%</w:t>
      </w:r>
      <w:r w:rsidR="00AA20A8">
        <w:t>.</w:t>
      </w:r>
      <w:r w:rsidR="00B91705" w:rsidRPr="00DD6590">
        <w:t xml:space="preserve"> Zostávajúca alokácia pre PO3 je vo výške </w:t>
      </w:r>
      <w:r w:rsidR="00854AD0" w:rsidRPr="00DD6590">
        <w:t xml:space="preserve">195 </w:t>
      </w:r>
      <w:r w:rsidR="00B91705" w:rsidRPr="00DD6590">
        <w:t>mil. EUR</w:t>
      </w:r>
      <w:r w:rsidRPr="00DD6590">
        <w:t xml:space="preserve">. Prijímateľmi v rámci PO3 sú Hlavné mesto Bratislava, mestá Košice, Prešov, Žilina, Banská Bystrica, DPB, DPMK, DPMP, DPMŽ, ŽSR. </w:t>
      </w:r>
      <w:r w:rsidR="00B91705" w:rsidRPr="00DD6590">
        <w:t>Certifikované výdavky k 31.</w:t>
      </w:r>
      <w:r w:rsidR="00AA20A8">
        <w:t> </w:t>
      </w:r>
      <w:r w:rsidR="00B91705" w:rsidRPr="00DD6590">
        <w:t>12.</w:t>
      </w:r>
      <w:r w:rsidR="00AA20A8">
        <w:t> </w:t>
      </w:r>
      <w:r w:rsidR="00B91705" w:rsidRPr="00DD6590">
        <w:t>2018 boli vo výške 124 493 710 EUR (EÚ zdroje), čo predstavuje 38,62</w:t>
      </w:r>
      <w:r w:rsidR="00AA20A8">
        <w:t xml:space="preserve"> </w:t>
      </w:r>
      <w:r w:rsidR="00B91705" w:rsidRPr="00DD6590">
        <w:t xml:space="preserve">% alokácie PO3. </w:t>
      </w:r>
      <w:r w:rsidRPr="00DD6590">
        <w:t xml:space="preserve"> </w:t>
      </w:r>
    </w:p>
    <w:p w14:paraId="3D597A26" w14:textId="37DE9891" w:rsidR="002167D2" w:rsidRPr="00DD6590" w:rsidRDefault="002167D2" w:rsidP="00B0035E">
      <w:pPr>
        <w:pStyle w:val="Heading2"/>
      </w:pPr>
      <w:bookmarkStart w:id="11" w:name="_Toc9350269"/>
      <w:r w:rsidRPr="00DD6590">
        <w:t>Vyhodnotenie stavu realizácie jednotlivých projektov v PO3</w:t>
      </w:r>
      <w:bookmarkEnd w:id="11"/>
    </w:p>
    <w:p w14:paraId="2CAFCDE9" w14:textId="718FB86E" w:rsidR="002167D2" w:rsidRPr="00DD6590" w:rsidRDefault="002167D2" w:rsidP="002167D2">
      <w:r w:rsidRPr="00DD6590">
        <w:t xml:space="preserve">Nasledujúca tabuľka obsahuje vyhodnotenie realizovaných projektov z hľadiska času, financií a plnenia ukazovateľov a návrh opatrení na úrovni jednotlivých projektov. Vyhodnotenie realizácie jednotlivých projektov je farebne rozlíšené nasledovne: </w:t>
      </w:r>
    </w:p>
    <w:p w14:paraId="674AA30D" w14:textId="31A35849" w:rsidR="00634260" w:rsidRPr="00DD6590" w:rsidRDefault="00634260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t xml:space="preserve">zelená farba </w:t>
      </w:r>
      <w:r w:rsidRPr="00DD6590">
        <w:rPr>
          <w:rFonts w:asciiTheme="minorHAnsi" w:hAnsiTheme="minorHAnsi"/>
          <w:szCs w:val="18"/>
        </w:rPr>
        <w:t>– žiadne</w:t>
      </w:r>
      <w:r w:rsidR="00EC7D17" w:rsidRPr="00DD6590">
        <w:rPr>
          <w:rFonts w:asciiTheme="minorHAnsi" w:hAnsiTheme="minorHAnsi"/>
          <w:szCs w:val="18"/>
        </w:rPr>
        <w:t>, resp. nízke</w:t>
      </w:r>
      <w:r w:rsidRPr="00DD6590">
        <w:rPr>
          <w:rFonts w:asciiTheme="minorHAnsi" w:hAnsiTheme="minorHAnsi"/>
          <w:szCs w:val="18"/>
        </w:rPr>
        <w:t xml:space="preserve"> riziko, tzn. projekty sú realizované/ukončené v súlade s harmonogramom, bez omeškania. Naplnenie ukazovateľov z realizovaných projektov by malo byť na úrovni min. 85</w:t>
      </w:r>
      <w:r w:rsidR="00AA20A8">
        <w:rPr>
          <w:rFonts w:asciiTheme="minorHAnsi" w:hAnsiTheme="minorHAnsi"/>
          <w:szCs w:val="18"/>
        </w:rPr>
        <w:t xml:space="preserve"> </w:t>
      </w:r>
      <w:r w:rsidR="00AA20A8" w:rsidRPr="00DD6590">
        <w:rPr>
          <w:rFonts w:asciiTheme="minorHAnsi" w:hAnsiTheme="minorHAnsi"/>
          <w:szCs w:val="18"/>
        </w:rPr>
        <w:t>%</w:t>
      </w:r>
      <w:r w:rsidR="00AA20A8">
        <w:rPr>
          <w:rFonts w:asciiTheme="minorHAnsi" w:hAnsiTheme="minorHAnsi"/>
          <w:szCs w:val="18"/>
        </w:rPr>
        <w:t>,</w:t>
      </w:r>
    </w:p>
    <w:p w14:paraId="355E1B51" w14:textId="5AEFD0B0" w:rsidR="00634260" w:rsidRPr="00DD6590" w:rsidRDefault="00634260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riziká, avšak časová realizácia nie je v súlade s vecným plnením a čerpaním. Zazmluvnené projekty nenapĺňajú min. požadovanú hodnotu (85</w:t>
      </w:r>
      <w:r w:rsidR="00AA20A8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%)</w:t>
      </w:r>
      <w:r w:rsidR="00AA20A8">
        <w:rPr>
          <w:rFonts w:asciiTheme="minorHAnsi" w:hAnsiTheme="minorHAnsi"/>
          <w:szCs w:val="18"/>
        </w:rPr>
        <w:t>, ale</w:t>
      </w:r>
      <w:r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AA20A8">
        <w:rPr>
          <w:rFonts w:asciiTheme="minorHAnsi" w:hAnsiTheme="minorHAnsi"/>
          <w:szCs w:val="18"/>
        </w:rPr>
        <w:t>,</w:t>
      </w:r>
      <w:r w:rsidR="00AA20A8" w:rsidRPr="00DD6590">
        <w:rPr>
          <w:rFonts w:asciiTheme="minorHAnsi" w:hAnsiTheme="minorHAnsi"/>
          <w:szCs w:val="18"/>
        </w:rPr>
        <w:t xml:space="preserve"> </w:t>
      </w:r>
    </w:p>
    <w:p w14:paraId="764AB3FC" w14:textId="3D25C67B" w:rsidR="00634260" w:rsidRPr="00DD6590" w:rsidRDefault="00634260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AA20A8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>došlo k závažným udalostiam, ktoré môžu ohroziť úspešné ukončenie realizácie</w:t>
      </w:r>
      <w:r w:rsidR="00F43EC6">
        <w:rPr>
          <w:rFonts w:asciiTheme="minorHAnsi" w:hAnsiTheme="minorHAnsi"/>
          <w:szCs w:val="18"/>
        </w:rPr>
        <w:t>,</w:t>
      </w:r>
      <w:r w:rsidR="00B10920" w:rsidRPr="00DD6590">
        <w:rPr>
          <w:rFonts w:asciiTheme="minorHAnsi" w:hAnsiTheme="minorHAnsi"/>
          <w:szCs w:val="18"/>
        </w:rPr>
        <w:t xml:space="preserve"> a</w:t>
      </w:r>
      <w:r w:rsidRPr="00DD6590">
        <w:rPr>
          <w:rFonts w:asciiTheme="minorHAnsi" w:hAnsiTheme="minorHAnsi"/>
          <w:szCs w:val="18"/>
        </w:rPr>
        <w:t xml:space="preserve"> </w:t>
      </w:r>
      <w:r w:rsidR="00B10920" w:rsidRPr="00DD6590">
        <w:rPr>
          <w:rFonts w:asciiTheme="minorHAnsi" w:hAnsiTheme="minorHAnsi"/>
          <w:szCs w:val="18"/>
        </w:rPr>
        <w:t>n</w:t>
      </w:r>
      <w:r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31002E88" w14:textId="77777777" w:rsidR="00634260" w:rsidRPr="00DD6590" w:rsidRDefault="00634260" w:rsidP="00AE05E4"/>
    <w:p w14:paraId="07548306" w14:textId="77777777" w:rsidR="001A0962" w:rsidRPr="00DD6590" w:rsidRDefault="001A0962" w:rsidP="002167D2"/>
    <w:p w14:paraId="0F03FEAD" w14:textId="77777777" w:rsidR="002167D2" w:rsidRPr="00DD6590" w:rsidRDefault="002167D2">
      <w:pPr>
        <w:spacing w:before="0" w:after="200" w:line="276" w:lineRule="auto"/>
        <w:jc w:val="left"/>
      </w:pPr>
      <w:r w:rsidRPr="00DD6590">
        <w:br w:type="page"/>
      </w:r>
    </w:p>
    <w:p w14:paraId="0E5B498E" w14:textId="77777777" w:rsidR="002167D2" w:rsidRPr="00DD6590" w:rsidRDefault="002167D2">
      <w:pPr>
        <w:spacing w:before="0" w:after="200" w:line="276" w:lineRule="auto"/>
        <w:jc w:val="left"/>
        <w:sectPr w:rsidR="002167D2" w:rsidRPr="00DD6590" w:rsidSect="0008370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260" w:right="1411" w:bottom="1411" w:left="1411" w:header="677" w:footer="562" w:gutter="0"/>
          <w:cols w:space="284"/>
          <w:docGrid w:linePitch="360"/>
        </w:sectPr>
      </w:pPr>
    </w:p>
    <w:p w14:paraId="7794BDC9" w14:textId="0421A0DE" w:rsidR="004D661F" w:rsidRPr="00DD6590" w:rsidRDefault="004D661F" w:rsidP="004D661F">
      <w:pPr>
        <w:pStyle w:val="Caption"/>
      </w:pPr>
      <w:bookmarkStart w:id="12" w:name="_Toc8805476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5</w:t>
      </w:r>
      <w:r w:rsidRPr="00DD6590">
        <w:fldChar w:fldCharType="end"/>
      </w:r>
      <w:r w:rsidRPr="00DD6590">
        <w:t xml:space="preserve"> Vyhodnotenie realizácie projektov PO3</w:t>
      </w:r>
      <w:bookmarkEnd w:id="12"/>
    </w:p>
    <w:tbl>
      <w:tblPr>
        <w:tblStyle w:val="ListTable3-Accent1"/>
        <w:tblpPr w:leftFromText="180" w:rightFromText="180" w:vertAnchor="text" w:tblpY="1"/>
        <w:tblOverlap w:val="never"/>
        <w:tblW w:w="5285" w:type="pct"/>
        <w:tblBorders>
          <w:insideH w:val="single" w:sz="6" w:space="0" w:color="86BC25" w:themeColor="accent1"/>
          <w:insideV w:val="single" w:sz="6" w:space="0" w:color="86BC25" w:themeColor="accent1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05"/>
        <w:gridCol w:w="1643"/>
        <w:gridCol w:w="1107"/>
        <w:gridCol w:w="1540"/>
        <w:gridCol w:w="933"/>
        <w:gridCol w:w="1232"/>
        <w:gridCol w:w="1294"/>
        <w:gridCol w:w="2102"/>
        <w:gridCol w:w="2546"/>
        <w:gridCol w:w="2002"/>
      </w:tblGrid>
      <w:tr w:rsidR="00465882" w:rsidRPr="00DD6590" w14:paraId="4B8E324E" w14:textId="77777777" w:rsidTr="004D66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52" w:type="pct"/>
            <w:gridSpan w:val="7"/>
          </w:tcPr>
          <w:p w14:paraId="73F46002" w14:textId="77777777" w:rsidR="00465882" w:rsidRPr="00DD6590" w:rsidRDefault="00465882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Stav</w:t>
            </w:r>
          </w:p>
        </w:tc>
        <w:tc>
          <w:tcPr>
            <w:tcW w:w="710" w:type="pct"/>
            <w:vMerge w:val="restart"/>
            <w:vAlign w:val="center"/>
          </w:tcPr>
          <w:p w14:paraId="01143314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Plnenie ukazovateľov výstupu a výsledku</w:t>
            </w:r>
          </w:p>
        </w:tc>
        <w:tc>
          <w:tcPr>
            <w:tcW w:w="860" w:type="pct"/>
            <w:vMerge w:val="restart"/>
            <w:vAlign w:val="center"/>
          </w:tcPr>
          <w:p w14:paraId="7EF82D99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Hlavné zistenia</w:t>
            </w:r>
          </w:p>
        </w:tc>
        <w:tc>
          <w:tcPr>
            <w:tcW w:w="679" w:type="pct"/>
            <w:vMerge w:val="restart"/>
            <w:vAlign w:val="center"/>
          </w:tcPr>
          <w:p w14:paraId="11FA54A6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Návrh opatrení</w:t>
            </w:r>
          </w:p>
        </w:tc>
      </w:tr>
      <w:tr w:rsidR="0083779A" w:rsidRPr="00DD6590" w14:paraId="3F572DFA" w14:textId="77777777" w:rsidTr="004D66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7" w:type="pct"/>
          </w:tcPr>
          <w:p w14:paraId="292CB78C" w14:textId="77777777" w:rsidR="00465882" w:rsidRPr="00DD6590" w:rsidRDefault="00465882" w:rsidP="00D6603F">
            <w:pPr>
              <w:spacing w:before="60" w:after="0" w:line="240" w:lineRule="auto"/>
              <w:jc w:val="left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P.č..</w:t>
            </w:r>
          </w:p>
        </w:tc>
        <w:tc>
          <w:tcPr>
            <w:tcW w:w="555" w:type="pct"/>
          </w:tcPr>
          <w:p w14:paraId="338A4E33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Názov projektu</w:t>
            </w:r>
          </w:p>
        </w:tc>
        <w:tc>
          <w:tcPr>
            <w:tcW w:w="374" w:type="pct"/>
          </w:tcPr>
          <w:p w14:paraId="5BE6DA49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Vyhodnotenie</w:t>
            </w:r>
          </w:p>
        </w:tc>
        <w:tc>
          <w:tcPr>
            <w:tcW w:w="520" w:type="pct"/>
          </w:tcPr>
          <w:p w14:paraId="4251019B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EÚ zdroje zazmluvnené</w:t>
            </w:r>
            <w:r w:rsidRPr="00DD6590">
              <w:rPr>
                <w:rStyle w:val="FootnoteReference"/>
                <w:rFonts w:asciiTheme="minorHAnsi" w:hAnsiTheme="minorHAnsi"/>
                <w:sz w:val="14"/>
                <w:szCs w:val="14"/>
              </w:rPr>
              <w:footnoteReference w:id="2"/>
            </w:r>
          </w:p>
        </w:tc>
        <w:tc>
          <w:tcPr>
            <w:tcW w:w="315" w:type="pct"/>
          </w:tcPr>
          <w:p w14:paraId="38B75E0B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Finančné čerpanie (EÚ zdroj)</w:t>
            </w:r>
          </w:p>
        </w:tc>
        <w:tc>
          <w:tcPr>
            <w:tcW w:w="416" w:type="pct"/>
          </w:tcPr>
          <w:p w14:paraId="6D9F9174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Časové čerpanie</w:t>
            </w:r>
            <w:r w:rsidRPr="00DD6590">
              <w:rPr>
                <w:rStyle w:val="FootnoteReference"/>
                <w:rFonts w:asciiTheme="minorHAnsi" w:hAnsiTheme="minorHAnsi"/>
                <w:sz w:val="14"/>
                <w:szCs w:val="14"/>
              </w:rPr>
              <w:footnoteReference w:id="3"/>
            </w:r>
          </w:p>
        </w:tc>
        <w:tc>
          <w:tcPr>
            <w:tcW w:w="437" w:type="pct"/>
          </w:tcPr>
          <w:p w14:paraId="1D9BF798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Vecné plnenie</w:t>
            </w:r>
            <w:r w:rsidRPr="00DD6590">
              <w:rPr>
                <w:rStyle w:val="FootnoteReference"/>
                <w:rFonts w:asciiTheme="minorHAnsi" w:hAnsiTheme="minorHAnsi"/>
                <w:sz w:val="14"/>
                <w:szCs w:val="14"/>
              </w:rPr>
              <w:footnoteReference w:id="4"/>
            </w:r>
          </w:p>
        </w:tc>
        <w:tc>
          <w:tcPr>
            <w:tcW w:w="710" w:type="pct"/>
            <w:vMerge/>
          </w:tcPr>
          <w:p w14:paraId="03763DCA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60" w:type="pct"/>
            <w:vMerge/>
          </w:tcPr>
          <w:p w14:paraId="6A2D315E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679" w:type="pct"/>
            <w:vMerge/>
          </w:tcPr>
          <w:p w14:paraId="62CBCBD2" w14:textId="77777777" w:rsidR="00465882" w:rsidRPr="00DD6590" w:rsidRDefault="00465882" w:rsidP="00D6603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83779A" w:rsidRPr="00DD6590" w14:paraId="2DCBAE33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0E8B9EDF" w14:textId="77777777" w:rsidR="00465882" w:rsidRPr="00DD6590" w:rsidRDefault="00465882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555" w:type="pct"/>
          </w:tcPr>
          <w:p w14:paraId="1D5A9CB1" w14:textId="6D3C2EA7" w:rsidR="00465882" w:rsidRPr="00DD6590" w:rsidRDefault="0046588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DPB, Obnova vozového parku električiek v Bratislave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opcia na 15 ks jednosmerných električiek</w:t>
            </w:r>
          </w:p>
        </w:tc>
        <w:tc>
          <w:tcPr>
            <w:tcW w:w="374" w:type="pct"/>
            <w:shd w:val="clear" w:color="auto" w:fill="D0EC9F"/>
          </w:tcPr>
          <w:p w14:paraId="6595C9E5" w14:textId="77777777" w:rsidR="00465882" w:rsidRPr="00DD6590" w:rsidRDefault="00465882" w:rsidP="00D6603F">
            <w:pPr>
              <w:spacing w:before="6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20" w:type="pct"/>
          </w:tcPr>
          <w:p w14:paraId="5A55B522" w14:textId="38D6B1EE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31</w:t>
            </w:r>
            <w:r w:rsidR="001D2671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237</w:t>
            </w:r>
            <w:r w:rsidR="001D2671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644</w:t>
            </w:r>
            <w:r w:rsidR="001D2671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50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2512AD7F" w14:textId="480359E1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ab/>
            </w:r>
            <w:r w:rsidRPr="00DD6590">
              <w:rPr>
                <w:rFonts w:asciiTheme="minorHAnsi" w:hAnsiTheme="minorHAnsi"/>
                <w:sz w:val="16"/>
                <w:szCs w:val="16"/>
              </w:rPr>
              <w:tab/>
            </w:r>
            <w:r w:rsidRPr="00DD6590">
              <w:rPr>
                <w:rFonts w:asciiTheme="minorHAnsi" w:hAnsiTheme="minorHAnsi"/>
                <w:sz w:val="16"/>
                <w:szCs w:val="16"/>
              </w:rPr>
              <w:tab/>
            </w:r>
          </w:p>
          <w:p w14:paraId="67E7D1AA" w14:textId="23474960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5" w:type="pct"/>
          </w:tcPr>
          <w:p w14:paraId="43636683" w14:textId="31F6E193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2BC786AE" w14:textId="67389672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27EB79D1" w14:textId="00F08FA6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</w:p>
          <w:p w14:paraId="7ECD5D4E" w14:textId="60F16639" w:rsidR="00465882" w:rsidRPr="00DD6590" w:rsidRDefault="0046588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10" w:type="pct"/>
          </w:tcPr>
          <w:p w14:paraId="06E5A801" w14:textId="1F74DBA4" w:rsidR="00465882" w:rsidRPr="00DD6590" w:rsidRDefault="0046588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P0144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cestujúcich prepravených dráhovou MHD v mestách Bratislava, Košice, Žilina, Prešov a Banská Bystrica: 308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1027659" w14:textId="611AF6CC" w:rsidR="00465882" w:rsidRPr="00DD6590" w:rsidRDefault="0046588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P0222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mobilných prostriedkov dráhovej mestskej hromadnej dopravy (električky, trolejbusy) vhodných tiež pre cestujúcich s obmedzenou mobilitou: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6A3AAD8A" w14:textId="627AD03E" w:rsidR="00465882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je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ukončený v súlade s </w:t>
            </w:r>
            <w:r w:rsidR="00DC59F1"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harmonogramom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79" w:type="pct"/>
          </w:tcPr>
          <w:p w14:paraId="5C832267" w14:textId="098BC546" w:rsidR="00465882" w:rsidRPr="00DD6590" w:rsidRDefault="0046588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3779A" w:rsidRPr="00DD6590" w14:paraId="737A7FF8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79E699C3" w14:textId="77777777" w:rsidR="001D2671" w:rsidRPr="00DD6590" w:rsidRDefault="001D2671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555" w:type="pct"/>
          </w:tcPr>
          <w:p w14:paraId="1EA5D9BC" w14:textId="53D61113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Obnova vozidlového parku električiek v Košiciach – 1. časť</w:t>
            </w:r>
          </w:p>
        </w:tc>
        <w:tc>
          <w:tcPr>
            <w:tcW w:w="374" w:type="pct"/>
            <w:shd w:val="clear" w:color="auto" w:fill="D0EC9F"/>
          </w:tcPr>
          <w:p w14:paraId="5B9EB991" w14:textId="77777777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20" w:type="pct"/>
          </w:tcPr>
          <w:p w14:paraId="161DA4CF" w14:textId="1C93B617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16 022 908,85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0A485825" w14:textId="69BD427B" w:rsidR="001D2671" w:rsidRPr="00DD6590" w:rsidRDefault="001D2671" w:rsidP="00F01065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99</w:t>
            </w:r>
            <w:r w:rsidR="00374DCC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99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146A26BC" w14:textId="14022DBA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3EFBDAF3" w14:textId="32A0FE71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</w:p>
          <w:p w14:paraId="4CB0D200" w14:textId="5F0B8207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10" w:type="pct"/>
          </w:tcPr>
          <w:p w14:paraId="402FABD0" w14:textId="1CAC5662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P0144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cestujúcich prepravených dráhovou MHD v mestách Bratislava, Košice, Žilina, Prešov a Banská 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Bystrica: 14,92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7ECE7CA" w14:textId="1A7A9E15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P0222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mobilných prostriedkov dráhovej mestskej hromadnej dopravy (električky, trolejbusy) vhodných tiež pre cestujúcich s obmedzenou mobilitou: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3CBF60F7" w14:textId="2F1F8E1C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679" w:type="pct"/>
          </w:tcPr>
          <w:p w14:paraId="7EA0A22C" w14:textId="30C4D2CD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</w:t>
            </w:r>
            <w:r w:rsidR="00D6603F" w:rsidRPr="00DD6590">
              <w:rPr>
                <w:rFonts w:asciiTheme="minorHAnsi" w:hAnsiTheme="minorHAnsi"/>
                <w:sz w:val="16"/>
                <w:szCs w:val="16"/>
              </w:rPr>
              <w:t>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výsledku (P0144) v období udržateľnosti projektu</w:t>
            </w:r>
          </w:p>
        </w:tc>
      </w:tr>
      <w:tr w:rsidR="0083779A" w:rsidRPr="00DD6590" w14:paraId="58E2EF8C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3D8C5564" w14:textId="77777777" w:rsidR="001D2671" w:rsidRPr="00DD6590" w:rsidRDefault="001D2671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555" w:type="pct"/>
          </w:tcPr>
          <w:p w14:paraId="4BB4A063" w14:textId="190A5AC9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DPMP, Modernizácia vozového parku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trolejbusov v Prešove</w:t>
            </w:r>
          </w:p>
        </w:tc>
        <w:tc>
          <w:tcPr>
            <w:tcW w:w="374" w:type="pct"/>
            <w:shd w:val="clear" w:color="auto" w:fill="D0EC9F"/>
          </w:tcPr>
          <w:p w14:paraId="6B79E59B" w14:textId="77777777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20" w:type="pct"/>
          </w:tcPr>
          <w:p w14:paraId="3E6A5DE0" w14:textId="6D0F531C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6,723,427.45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11A029E1" w14:textId="4B582C2F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100%</w:t>
            </w:r>
          </w:p>
        </w:tc>
        <w:tc>
          <w:tcPr>
            <w:tcW w:w="416" w:type="pct"/>
          </w:tcPr>
          <w:p w14:paraId="48734580" w14:textId="10A3E32A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100%</w:t>
            </w:r>
          </w:p>
        </w:tc>
        <w:tc>
          <w:tcPr>
            <w:tcW w:w="437" w:type="pct"/>
          </w:tcPr>
          <w:p w14:paraId="7A4E7ECC" w14:textId="77777777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100%</w:t>
            </w:r>
          </w:p>
          <w:p w14:paraId="2D4AFCB2" w14:textId="30634F52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lastRenderedPageBreak/>
              <w:t>projekt ukončený</w:t>
            </w:r>
          </w:p>
        </w:tc>
        <w:tc>
          <w:tcPr>
            <w:tcW w:w="710" w:type="pct"/>
          </w:tcPr>
          <w:p w14:paraId="6CE6D653" w14:textId="7FF43DF2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P0144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cestujúcich prepravených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dráhovou MHD v mestách Bratislava, Košice, Žilina, Prešov a Banská Bystrica: 50,26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2469ED5" w14:textId="57F978F4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P0222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mobilných prostriedkov dráhovej mestskej hromadnej dopravy (električky, trolejbusy) vhodných tiež pre cestujúcich s obmedzenou mobilitou: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303E3788" w14:textId="518D46DF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je ukončený v súlade s časovým harmonogramom.</w:t>
            </w:r>
          </w:p>
        </w:tc>
        <w:tc>
          <w:tcPr>
            <w:tcW w:w="679" w:type="pct"/>
          </w:tcPr>
          <w:p w14:paraId="3A7941ED" w14:textId="40D57836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</w:t>
            </w:r>
            <w:r w:rsidR="00D6603F" w:rsidRPr="00DD6590">
              <w:rPr>
                <w:rFonts w:asciiTheme="minorHAnsi" w:hAnsiTheme="minorHAnsi"/>
                <w:sz w:val="16"/>
                <w:szCs w:val="16"/>
              </w:rPr>
              <w:t>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výsledku (P0144) v období udržateľnosti projektu</w:t>
            </w:r>
          </w:p>
        </w:tc>
      </w:tr>
      <w:tr w:rsidR="0083779A" w:rsidRPr="00DD6590" w14:paraId="78BA2C3A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150CAE85" w14:textId="77777777" w:rsidR="001D2671" w:rsidRPr="00DD6590" w:rsidRDefault="001D2671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4</w:t>
            </w:r>
          </w:p>
        </w:tc>
        <w:tc>
          <w:tcPr>
            <w:tcW w:w="555" w:type="pct"/>
          </w:tcPr>
          <w:p w14:paraId="228FE3EF" w14:textId="18A21537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Modernizácia električkových tratí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Karloveská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radiála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, projektová dokumentácia</w:t>
            </w:r>
          </w:p>
        </w:tc>
        <w:tc>
          <w:tcPr>
            <w:tcW w:w="374" w:type="pct"/>
            <w:shd w:val="clear" w:color="auto" w:fill="D0EC9F"/>
          </w:tcPr>
          <w:p w14:paraId="05280379" w14:textId="77777777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20" w:type="pct"/>
          </w:tcPr>
          <w:p w14:paraId="6B19DC8C" w14:textId="1D149A07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404 447,68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5A2ECB69" w14:textId="4432867A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69,86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503E725B" w14:textId="615DD46E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62E29736" w14:textId="67AB5F31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  <w:lang w:val="cs-CZ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%</w:t>
            </w:r>
          </w:p>
          <w:p w14:paraId="0B5977E0" w14:textId="29CFCCAF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projekt ukončený</w:t>
            </w:r>
          </w:p>
        </w:tc>
        <w:tc>
          <w:tcPr>
            <w:tcW w:w="710" w:type="pct"/>
          </w:tcPr>
          <w:p w14:paraId="1B32DD15" w14:textId="3A65B71D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095825A2" w14:textId="330CB369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679" w:type="pct"/>
          </w:tcPr>
          <w:p w14:paraId="15A86868" w14:textId="77777777" w:rsidR="001D2671" w:rsidRPr="00DD6590" w:rsidRDefault="001D2671" w:rsidP="00B943CD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3779A" w:rsidRPr="00DD6590" w14:paraId="61BCB6C9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193FB418" w14:textId="77777777" w:rsidR="001D2671" w:rsidRPr="00DD6590" w:rsidRDefault="001D2671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5</w:t>
            </w:r>
          </w:p>
        </w:tc>
        <w:tc>
          <w:tcPr>
            <w:tcW w:w="555" w:type="pct"/>
          </w:tcPr>
          <w:p w14:paraId="3BECBC7C" w14:textId="361703A3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ŽSR, Terminál integrovanej osobnej prepravy Trebišov, projektová dokumentácia (DÚR, DSPRS)</w:t>
            </w:r>
          </w:p>
        </w:tc>
        <w:tc>
          <w:tcPr>
            <w:tcW w:w="374" w:type="pct"/>
            <w:shd w:val="clear" w:color="auto" w:fill="D0EC9F"/>
          </w:tcPr>
          <w:p w14:paraId="198D1DD5" w14:textId="5A55AD30" w:rsidR="001D2671" w:rsidRPr="00DD6590" w:rsidRDefault="001D2671" w:rsidP="00D6603F">
            <w:pPr>
              <w:tabs>
                <w:tab w:val="left" w:pos="768"/>
              </w:tabs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20" w:type="pct"/>
          </w:tcPr>
          <w:p w14:paraId="55BE3E08" w14:textId="6B2EB2B1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164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535,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35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7E5EA7F2" w14:textId="69B6ACA0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105DF676" w14:textId="2009750E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1D8C9C8C" w14:textId="25DC6863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  <w:lang w:val="cs-CZ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%</w:t>
            </w:r>
          </w:p>
          <w:p w14:paraId="3D77DA96" w14:textId="365E7815" w:rsidR="001D2671" w:rsidRPr="00DD6590" w:rsidRDefault="001D2671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cs-CZ"/>
              </w:rPr>
              <w:t>projekt ukončený</w:t>
            </w:r>
          </w:p>
        </w:tc>
        <w:tc>
          <w:tcPr>
            <w:tcW w:w="710" w:type="pct"/>
          </w:tcPr>
          <w:p w14:paraId="3A0974F3" w14:textId="798A245D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0F4112B7" w14:textId="45F72EFE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679" w:type="pct"/>
          </w:tcPr>
          <w:p w14:paraId="4E77B738" w14:textId="702E6FB2" w:rsidR="001D2671" w:rsidRPr="00DD6590" w:rsidRDefault="001D2671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3779A" w:rsidRPr="00DD6590" w14:paraId="13A86BD4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1FBD15E3" w14:textId="77777777" w:rsidR="001D2671" w:rsidRPr="00DD6590" w:rsidRDefault="001D2671" w:rsidP="00D6603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6</w:t>
            </w:r>
          </w:p>
        </w:tc>
        <w:tc>
          <w:tcPr>
            <w:tcW w:w="555" w:type="pct"/>
          </w:tcPr>
          <w:p w14:paraId="33FD6947" w14:textId="1623615A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Stratégia udržateľného rozvoja dopravy mesta Prešov</w:t>
            </w:r>
          </w:p>
        </w:tc>
        <w:tc>
          <w:tcPr>
            <w:tcW w:w="374" w:type="pct"/>
            <w:shd w:val="clear" w:color="auto" w:fill="FFD653"/>
          </w:tcPr>
          <w:p w14:paraId="1BBC8B08" w14:textId="77777777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20" w:type="pct"/>
          </w:tcPr>
          <w:p w14:paraId="2B2E7B43" w14:textId="43A1EB90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598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765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08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313B8C83" w14:textId="19F8D7CC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91,79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548A48E4" w14:textId="7A7B6800" w:rsidR="001D2671" w:rsidRPr="00DD6590" w:rsidRDefault="001D267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71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28B52974" w14:textId="6B51BF5C" w:rsidR="001D2671" w:rsidRPr="00DD6590" w:rsidRDefault="00DC59F1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49041969" w14:textId="35D6BCD1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50</w:t>
            </w:r>
            <w:r w:rsidR="00374DC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0448194D" w14:textId="0A167F09" w:rsidR="001D2671" w:rsidRPr="00DD6590" w:rsidRDefault="001D2671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sa predĺžil o osem mesiacov v dôsledku zisťovacieho konania o posudzovaní strategického dokumentu, </w:t>
            </w:r>
            <w:r w:rsidR="00374DCC">
              <w:rPr>
                <w:rFonts w:asciiTheme="minorHAnsi" w:hAnsiTheme="minorHAnsi"/>
                <w:sz w:val="16"/>
                <w:szCs w:val="16"/>
              </w:rPr>
              <w:t>ale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predpokladá sa, že projekt </w:t>
            </w:r>
            <w:r w:rsidR="00B943CD" w:rsidRPr="00DD6590">
              <w:rPr>
                <w:rFonts w:asciiTheme="minorHAnsi" w:hAnsiTheme="minorHAnsi"/>
                <w:sz w:val="16"/>
                <w:szCs w:val="16"/>
              </w:rPr>
              <w:t>bude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ukonč</w:t>
            </w:r>
            <w:r w:rsidR="00B943CD" w:rsidRPr="00DD6590">
              <w:rPr>
                <w:rFonts w:asciiTheme="minorHAnsi" w:hAnsiTheme="minorHAnsi"/>
                <w:sz w:val="16"/>
                <w:szCs w:val="16"/>
              </w:rPr>
              <w:t xml:space="preserve">ený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podľa nového harmonogramu. </w:t>
            </w:r>
          </w:p>
          <w:p w14:paraId="22CB5406" w14:textId="66E8FB23" w:rsidR="001D2671" w:rsidRPr="00DD6590" w:rsidRDefault="00D62704" w:rsidP="003612C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</w:t>
            </w:r>
            <w:r w:rsidR="001D2671" w:rsidRPr="00DD6590">
              <w:rPr>
                <w:rFonts w:asciiTheme="minorHAnsi" w:hAnsiTheme="minorHAnsi"/>
                <w:sz w:val="16"/>
                <w:szCs w:val="16"/>
              </w:rPr>
              <w:t xml:space="preserve">erateľný ukazovateľ P0366 je naplnený na </w:t>
            </w:r>
            <w:r w:rsidR="00DC59F1" w:rsidRPr="00DD6590">
              <w:rPr>
                <w:rFonts w:asciiTheme="minorHAnsi" w:hAnsiTheme="minorHAnsi"/>
                <w:sz w:val="16"/>
                <w:szCs w:val="16"/>
              </w:rPr>
              <w:t>50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D2671" w:rsidRPr="00DD6590">
              <w:rPr>
                <w:rFonts w:asciiTheme="minorHAnsi" w:hAnsiTheme="minorHAnsi"/>
                <w:sz w:val="16"/>
                <w:szCs w:val="16"/>
              </w:rPr>
              <w:t xml:space="preserve">%. </w:t>
            </w:r>
            <w:r w:rsidR="004E3A07"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="001D2671" w:rsidRPr="00DD6590">
              <w:rPr>
                <w:rFonts w:asciiTheme="minorHAnsi" w:hAnsiTheme="minorHAnsi"/>
                <w:sz w:val="16"/>
                <w:szCs w:val="16"/>
              </w:rPr>
              <w:t xml:space="preserve"> prebiehalo spracovanie dokumentácie SEA. </w:t>
            </w:r>
          </w:p>
        </w:tc>
        <w:tc>
          <w:tcPr>
            <w:tcW w:w="679" w:type="pct"/>
          </w:tcPr>
          <w:p w14:paraId="6D634058" w14:textId="23E861F0" w:rsidR="001D2671" w:rsidRPr="00DD6590" w:rsidRDefault="00950E5E" w:rsidP="00950E5E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Dôsledná kontrola realizácie projektu v súlade s harmonogramom </w:t>
            </w:r>
          </w:p>
        </w:tc>
      </w:tr>
      <w:tr w:rsidR="0083779A" w:rsidRPr="00DD6590" w14:paraId="73BC114F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3F3D613B" w14:textId="77777777" w:rsidR="009A2C42" w:rsidRPr="00DD6590" w:rsidRDefault="009A2C42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lastRenderedPageBreak/>
              <w:t>7</w:t>
            </w:r>
          </w:p>
        </w:tc>
        <w:tc>
          <w:tcPr>
            <w:tcW w:w="555" w:type="pct"/>
          </w:tcPr>
          <w:p w14:paraId="30C7FDA2" w14:textId="130C78EF" w:rsidR="009A2C42" w:rsidRPr="00DD6590" w:rsidRDefault="009A2C4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Nízkopodlažné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 energeticky úsporné trolejbusy a trolejbusy s pomocným pohonom pre Žilinu</w:t>
            </w:r>
          </w:p>
        </w:tc>
        <w:tc>
          <w:tcPr>
            <w:tcW w:w="374" w:type="pct"/>
            <w:shd w:val="clear" w:color="auto" w:fill="D0EC9F"/>
          </w:tcPr>
          <w:p w14:paraId="035A0A98" w14:textId="77777777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30551B6C" w14:textId="1C143F55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107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630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73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4C09CC89" w14:textId="54F206C5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2EF8767E" w14:textId="63FA889C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0CE687A2" w14:textId="1D57A8BB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699EE62F" w14:textId="4FCE6928" w:rsidR="009A2C42" w:rsidRPr="00DD6590" w:rsidRDefault="009A2C4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P0144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cestujúcich prepravených dráhovou MHD v mestách Bratislava, Košice, Žilina, Prešov a Banská Bystrica: 17,48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2EE0CC0" w14:textId="3CA51619" w:rsidR="009A2C42" w:rsidRPr="00DD6590" w:rsidRDefault="009A2C4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P0222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mobilných prostriedkov dráhovej mestskej hromadnej dopravy (električky, trolejbusy) vhodných tiež pre cestujúcich s obmedzenou mobilitou: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016BCC63" w14:textId="3FAF4BB4" w:rsidR="009A2C42" w:rsidRPr="00DD6590" w:rsidRDefault="009A2C4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679" w:type="pct"/>
          </w:tcPr>
          <w:p w14:paraId="1F8CB302" w14:textId="359C2DF6" w:rsidR="009A2C42" w:rsidRPr="00DD6590" w:rsidRDefault="009A2C42" w:rsidP="00B943CD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</w:t>
            </w:r>
            <w:r w:rsidR="00B943CD" w:rsidRPr="00DD6590">
              <w:rPr>
                <w:rFonts w:asciiTheme="minorHAnsi" w:hAnsiTheme="minorHAnsi"/>
                <w:sz w:val="16"/>
                <w:szCs w:val="16"/>
              </w:rPr>
              <w:t xml:space="preserve">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výsledku (P0144) v období udržateľnosti projektu</w:t>
            </w:r>
          </w:p>
        </w:tc>
      </w:tr>
      <w:tr w:rsidR="009A2C42" w:rsidRPr="00DD6590" w14:paraId="0000BB2E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556264D9" w14:textId="6BAF7922" w:rsidR="009A2C42" w:rsidRPr="00DD6590" w:rsidRDefault="009A2C42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555" w:type="pct"/>
          </w:tcPr>
          <w:p w14:paraId="3AC3C926" w14:textId="79B3174E" w:rsidR="009A2C42" w:rsidRPr="00DD6590" w:rsidRDefault="009A2C4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Modernizácia električkových tratí v Košiciach – 2. etapa – 1. časť</w:t>
            </w:r>
          </w:p>
        </w:tc>
        <w:tc>
          <w:tcPr>
            <w:tcW w:w="374" w:type="pct"/>
            <w:shd w:val="clear" w:color="auto" w:fill="D0EC9F"/>
          </w:tcPr>
          <w:p w14:paraId="04089B5D" w14:textId="77777777" w:rsidR="009A2C42" w:rsidRPr="00DD6590" w:rsidRDefault="009A2C4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593CE91E" w14:textId="244D8C82" w:rsidR="009A2C42" w:rsidRPr="00DD6590" w:rsidRDefault="009A2C4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263 658,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68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10C815CB" w14:textId="46F0E287" w:rsidR="009A2C42" w:rsidRPr="00DD6590" w:rsidRDefault="009A2C4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73,35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66F8C3D1" w14:textId="222F31A8" w:rsidR="009A2C42" w:rsidRPr="00DD6590" w:rsidRDefault="009A2C4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95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707D162B" w14:textId="0790C0FE" w:rsidR="009A2C42" w:rsidRPr="00DD6590" w:rsidRDefault="009A2C4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99,8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7FA8E251" w14:textId="4E141F62" w:rsidR="009A2C42" w:rsidRPr="00DD6590" w:rsidRDefault="009A2C4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P0652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vo verejnej osobnej doprave: 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9C86962" w14:textId="7504C95E" w:rsidR="009A2C42" w:rsidRPr="00DD6590" w:rsidRDefault="009A2C4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P0013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nových alebo zmodernizovaných tratí pre električky alebo metro: 99,8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687F8E85" w14:textId="5B8B90F7" w:rsidR="009A2C42" w:rsidRPr="00DD6590" w:rsidRDefault="009A2C42" w:rsidP="00D62704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takmer ukončený z vecného hľadiska, pričom čerpanie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zazmluvnených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zdrojov je na úrovni 74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  <w:lang w:val="en-US"/>
              </w:rPr>
              <w:t>%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D62704" w:rsidRPr="00DD6590">
              <w:rPr>
                <w:rFonts w:asciiTheme="minorHAnsi" w:hAnsiTheme="minorHAnsi"/>
                <w:sz w:val="16"/>
                <w:szCs w:val="16"/>
              </w:rPr>
              <w:t xml:space="preserve">Projekt bol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stavebne ukončený 08/</w:t>
            </w:r>
            <w:r w:rsidR="00B943CD" w:rsidRPr="00DD6590">
              <w:rPr>
                <w:rFonts w:asciiTheme="minorHAnsi" w:hAnsiTheme="minorHAnsi"/>
                <w:sz w:val="16"/>
                <w:szCs w:val="16"/>
              </w:rPr>
              <w:t xml:space="preserve">2018. </w:t>
            </w:r>
          </w:p>
        </w:tc>
        <w:tc>
          <w:tcPr>
            <w:tcW w:w="679" w:type="pct"/>
          </w:tcPr>
          <w:p w14:paraId="68EFDBF5" w14:textId="4E8C55A1" w:rsidR="009A2C42" w:rsidRPr="00DD6590" w:rsidRDefault="009A2C4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</w:t>
            </w:r>
            <w:r w:rsidR="00B943CD" w:rsidRPr="00DD6590">
              <w:rPr>
                <w:rFonts w:asciiTheme="minorHAnsi" w:hAnsiTheme="minorHAnsi"/>
                <w:sz w:val="16"/>
                <w:szCs w:val="16"/>
              </w:rPr>
              <w:t>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výsledku (P0652) v období udržateľnosti projektu</w:t>
            </w:r>
          </w:p>
          <w:p w14:paraId="008B6DD2" w14:textId="77777777" w:rsidR="009A2C42" w:rsidRPr="00DD6590" w:rsidRDefault="009A2C42" w:rsidP="00B943CD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9A2C42" w:rsidRPr="00DD6590" w14:paraId="5FB9005C" w14:textId="77777777" w:rsidTr="00DC5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0438FF2D" w14:textId="46DDE0DC" w:rsidR="009A2C42" w:rsidRPr="00DD6590" w:rsidRDefault="009A2C42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555" w:type="pct"/>
          </w:tcPr>
          <w:p w14:paraId="19A20671" w14:textId="41336F14" w:rsidR="009A2C42" w:rsidRPr="00DD6590" w:rsidRDefault="009A2C4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Zastávka Ivanka pri Dunaji – záchytné parkovisko pre IAD, projektová dokumentácia (DÚR, DSPRS, DVZ)</w:t>
            </w:r>
          </w:p>
        </w:tc>
        <w:tc>
          <w:tcPr>
            <w:tcW w:w="374" w:type="pct"/>
            <w:shd w:val="clear" w:color="auto" w:fill="D0EC9F"/>
          </w:tcPr>
          <w:p w14:paraId="77DDCD27" w14:textId="77777777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1314428A" w14:textId="53AE0206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894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80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0B4954DE" w14:textId="66C60F8E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33,91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17498CFC" w14:textId="574F9B78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85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7BB26C32" w14:textId="240C1F1D" w:rsidR="009A2C42" w:rsidRPr="00DD6590" w:rsidRDefault="009A2C42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67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06EDB367" w14:textId="55908927" w:rsidR="009A2C42" w:rsidRPr="00DD6590" w:rsidRDefault="009A2C42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</w:p>
        </w:tc>
        <w:tc>
          <w:tcPr>
            <w:tcW w:w="860" w:type="pct"/>
          </w:tcPr>
          <w:p w14:paraId="680825FF" w14:textId="5E8CBCCA" w:rsidR="009A2C42" w:rsidRPr="00DD6590" w:rsidRDefault="009A2C42" w:rsidP="00D62704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na 67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a predpokladá sa jeho ukončenie v súlade s časovým harmonogramom. V súčasnosti prebieha inžinierska činnosť pre zabezpečenie právoplatných stavebných povolení. </w:t>
            </w:r>
          </w:p>
        </w:tc>
        <w:tc>
          <w:tcPr>
            <w:tcW w:w="679" w:type="pct"/>
          </w:tcPr>
          <w:p w14:paraId="1BA68E97" w14:textId="77777777" w:rsidR="009A2C42" w:rsidRPr="00DD6590" w:rsidRDefault="009A2C42" w:rsidP="008F6942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312" w:rsidRPr="00DD6590" w14:paraId="08744494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C9DC188" w14:textId="6BFE41B2" w:rsidR="00CE7312" w:rsidRPr="00DD6590" w:rsidRDefault="00CE7312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55" w:type="pct"/>
          </w:tcPr>
          <w:p w14:paraId="7B1678D6" w14:textId="7BF6001B" w:rsidR="00CE7312" w:rsidRPr="00DD6590" w:rsidRDefault="00CE731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ŽST Pezinok – záchytné parkovisko pre IAD, projektová dokumentácia (DÚR, DSPRS, DVZ)</w:t>
            </w:r>
          </w:p>
        </w:tc>
        <w:tc>
          <w:tcPr>
            <w:tcW w:w="374" w:type="pct"/>
            <w:shd w:val="clear" w:color="auto" w:fill="D0EC9F"/>
          </w:tcPr>
          <w:p w14:paraId="2826A274" w14:textId="77777777" w:rsidR="00CE7312" w:rsidRPr="00DD6590" w:rsidRDefault="00CE731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6D330797" w14:textId="24EA895E" w:rsidR="00CE7312" w:rsidRPr="00DD6590" w:rsidRDefault="00CE731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879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50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59B728AF" w14:textId="58336B5F" w:rsidR="00CE7312" w:rsidRPr="00DD6590" w:rsidRDefault="00CE731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81,8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62A0B317" w14:textId="47AB08C2" w:rsidR="00CE7312" w:rsidRPr="00DD6590" w:rsidRDefault="00CE731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4A035A50" w14:textId="077BCDE0" w:rsidR="00CE7312" w:rsidRPr="00DD6590" w:rsidRDefault="00CE7312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7DAC8A8C" w14:textId="54A499B6" w:rsidR="00CE7312" w:rsidRPr="00DD6590" w:rsidRDefault="00CE731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33,3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37A9E506" w14:textId="13957AE1" w:rsidR="00CE7312" w:rsidRPr="00DD6590" w:rsidRDefault="00CE731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realizovaný na 90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 a predpokladá sa jeho ukončenie v súlade s časovým harmonogramom.</w:t>
            </w:r>
          </w:p>
          <w:p w14:paraId="5F4C14BE" w14:textId="6CEBC424" w:rsidR="00CE7312" w:rsidRPr="00DD6590" w:rsidRDefault="004E3A07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="00CE7312" w:rsidRPr="00DD6590">
              <w:rPr>
                <w:rFonts w:asciiTheme="minorHAnsi" w:hAnsiTheme="minorHAnsi"/>
                <w:sz w:val="16"/>
                <w:szCs w:val="16"/>
              </w:rPr>
              <w:t xml:space="preserve"> sa projekt nachádzal vo fáze získavania právoplatných stavebných povolení.</w:t>
            </w:r>
          </w:p>
        </w:tc>
        <w:tc>
          <w:tcPr>
            <w:tcW w:w="679" w:type="pct"/>
          </w:tcPr>
          <w:p w14:paraId="751C5457" w14:textId="49A9CEA8" w:rsidR="00CE7312" w:rsidRPr="00DD6590" w:rsidRDefault="00CE731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Dôsledné monitorovanie napĺňania merateľného ukazovateľa najmä v súvislosti so zabezpečovaním stavebných povolení</w:t>
            </w:r>
          </w:p>
          <w:p w14:paraId="04C4AED8" w14:textId="77777777" w:rsidR="00CE7312" w:rsidRPr="00DD6590" w:rsidRDefault="00CE7312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947A4" w:rsidRPr="00DD6590" w14:paraId="595AFB22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35AA60B" w14:textId="2308DA10" w:rsidR="007947A4" w:rsidRPr="00DD6590" w:rsidRDefault="007947A4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555" w:type="pct"/>
          </w:tcPr>
          <w:p w14:paraId="27A0DA20" w14:textId="08FEA2E2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DPB, Modernizácia údržbovej základne 2.etapa</w:t>
            </w:r>
          </w:p>
        </w:tc>
        <w:tc>
          <w:tcPr>
            <w:tcW w:w="374" w:type="pct"/>
            <w:shd w:val="clear" w:color="auto" w:fill="D0EC9F"/>
          </w:tcPr>
          <w:p w14:paraId="60DCC734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2BBB5CAB" w14:textId="1269E052" w:rsidR="007947A4" w:rsidRPr="00DD6590" w:rsidRDefault="007947A4" w:rsidP="00D6603F">
            <w:pPr>
              <w:spacing w:before="6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7 429 309,40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10D2FDF8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15" w:type="pct"/>
          </w:tcPr>
          <w:p w14:paraId="0965D20A" w14:textId="6897B7BE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90,91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22376CED" w14:textId="1F70E218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278B9D24" w14:textId="489E860A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35A88C7" w14:textId="3218442C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ukončený</w:t>
            </w:r>
          </w:p>
        </w:tc>
        <w:tc>
          <w:tcPr>
            <w:tcW w:w="710" w:type="pct"/>
          </w:tcPr>
          <w:p w14:paraId="67FC1A82" w14:textId="02CF62BD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P0736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a/alebo technicky zhodnotených objektov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(v rámci verejnej osobnej dopravy): 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D91D4DA" w14:textId="690BA1EF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P0492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vybudovaných technických základní na opravu a údržbu vozového parku dráhovej MHD: 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33E1B7B" w14:textId="7E502D48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P0076 </w:t>
            </w:r>
            <w:r w:rsidR="00374DCC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Miera disponibility vozidiel pre prevádzku: 0</w:t>
            </w:r>
            <w:r w:rsidR="00374DC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520F69FD" w14:textId="64E623BB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Projekt je riadne ukončený avšak merateľné ukazovatele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P0736 a P0492 vykazujú nulové plnenie. </w:t>
            </w:r>
          </w:p>
          <w:p w14:paraId="00B0E15B" w14:textId="1F9D5D90" w:rsidR="000D5A99" w:rsidRPr="00DD6590" w:rsidRDefault="000D5A99" w:rsidP="00F0106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 záverečnej monitorovacej správe prijímateľ uvádza, že kolaudačné rozhodnutia k objektom boli vydané. </w:t>
            </w:r>
            <w:r w:rsidR="008C6082">
              <w:rPr>
                <w:rFonts w:asciiTheme="minorHAnsi" w:hAnsiTheme="minorHAnsi"/>
                <w:sz w:val="16"/>
                <w:szCs w:val="16"/>
              </w:rPr>
              <w:t>M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onitorovacia správa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však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C6082">
              <w:rPr>
                <w:rFonts w:asciiTheme="minorHAnsi" w:hAnsiTheme="minorHAnsi"/>
                <w:sz w:val="16"/>
                <w:szCs w:val="16"/>
              </w:rPr>
              <w:t>obsahuje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nulové hodnoty a tak bola schválená RO OPII.</w:t>
            </w:r>
          </w:p>
        </w:tc>
        <w:tc>
          <w:tcPr>
            <w:tcW w:w="679" w:type="pct"/>
          </w:tcPr>
          <w:p w14:paraId="51D91C5D" w14:textId="731B2564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Dôsledný monitoring naplnenia merateľných ukazovateľov</w:t>
            </w:r>
          </w:p>
          <w:p w14:paraId="37C87130" w14:textId="7376637D" w:rsidR="000D5A99" w:rsidRPr="00DD6590" w:rsidRDefault="000D5A99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Odporúčame overiť správnosť údajov v záverečnej </w:t>
            </w:r>
            <w:r w:rsidR="00157E6E" w:rsidRPr="00DD6590">
              <w:rPr>
                <w:rFonts w:asciiTheme="minorHAnsi" w:hAnsiTheme="minorHAnsi"/>
                <w:sz w:val="16"/>
                <w:szCs w:val="16"/>
              </w:rPr>
              <w:t xml:space="preserve">monitorovacej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správe </w:t>
            </w:r>
          </w:p>
          <w:p w14:paraId="1121FF4B" w14:textId="77777777" w:rsidR="007947A4" w:rsidRPr="00DD6590" w:rsidRDefault="007947A4" w:rsidP="00D6603F">
            <w:pPr>
              <w:pStyle w:val="ListParagraph"/>
              <w:spacing w:before="60" w:after="0" w:line="240" w:lineRule="auto"/>
              <w:ind w:left="62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C1FEDC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947A4" w:rsidRPr="00DD6590" w14:paraId="1A0EDB64" w14:textId="77777777" w:rsidTr="003D04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BCFB8C3" w14:textId="2C5F2AE1" w:rsidR="007947A4" w:rsidRPr="00DD6590" w:rsidRDefault="007947A4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lastRenderedPageBreak/>
              <w:t>12</w:t>
            </w:r>
          </w:p>
        </w:tc>
        <w:tc>
          <w:tcPr>
            <w:tcW w:w="555" w:type="pct"/>
          </w:tcPr>
          <w:p w14:paraId="1AF006B4" w14:textId="31708E84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Štúdia realizovateľnosti – Výstavba a modernizácia údržbovej základne trolejbusov, modernizácia infraštruktúry trolejbusovej dráhy a meniarní, výstavba nových trolejbusových tratí a obratísk v Žiline</w:t>
            </w:r>
          </w:p>
        </w:tc>
        <w:tc>
          <w:tcPr>
            <w:tcW w:w="374" w:type="pct"/>
            <w:shd w:val="clear" w:color="auto" w:fill="FFD653"/>
          </w:tcPr>
          <w:p w14:paraId="053DF698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3529D878" w14:textId="1FD39D7C" w:rsidR="007947A4" w:rsidRPr="00DD6590" w:rsidRDefault="007947A4" w:rsidP="00D6603F">
            <w:pPr>
              <w:spacing w:before="6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272 760,66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216256BA" w14:textId="7BE0F902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2,6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54A5DCF5" w14:textId="00BDAFF3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7A1A9677" w14:textId="0813B840" w:rsidR="007947A4" w:rsidRPr="00DD6590" w:rsidRDefault="00E64078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690B4FE9" w14:textId="144D6741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s prípravou, implementáciou, monitorovaním a hodnotením projektu: </w:t>
            </w:r>
            <w:r w:rsidR="000D5A99"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3B5718B1" w14:textId="787EEDD8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Hlavná aktivita bola ukončená dňa 28.</w:t>
            </w:r>
            <w:r w:rsidR="008C6082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2.</w:t>
            </w:r>
            <w:r w:rsidR="008C6082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2019 (ukončenie tzv. fyzickej realizácie projektu):</w:t>
            </w:r>
          </w:p>
          <w:p w14:paraId="175B0436" w14:textId="26F214C8" w:rsidR="007947A4" w:rsidRPr="00DD6590" w:rsidRDefault="007947A4" w:rsidP="003E761D">
            <w:pPr>
              <w:pStyle w:val="ListParagraph"/>
              <w:numPr>
                <w:ilvl w:val="0"/>
                <w:numId w:val="35"/>
              </w:numPr>
              <w:spacing w:before="60" w:after="0" w:line="240" w:lineRule="auto"/>
              <w:ind w:left="355" w:hanging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Verdana" w:hAnsiTheme="minorHAnsi"/>
                <w:sz w:val="16"/>
                <w:szCs w:val="16"/>
                <w:lang w:eastAsia="cs-CZ"/>
              </w:rPr>
            </w:pPr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riadnym dodaním predmetu projektu,</w:t>
            </w:r>
          </w:p>
          <w:p w14:paraId="19BD5127" w14:textId="727CECD7" w:rsidR="007947A4" w:rsidRPr="00DD6590" w:rsidRDefault="007947A4" w:rsidP="003E761D">
            <w:pPr>
              <w:pStyle w:val="ListParagraph"/>
              <w:numPr>
                <w:ilvl w:val="0"/>
                <w:numId w:val="35"/>
              </w:numPr>
              <w:spacing w:before="60" w:after="0" w:line="240" w:lineRule="auto"/>
              <w:ind w:left="355" w:hanging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Verdana" w:hAnsiTheme="minorHAnsi"/>
                <w:sz w:val="16"/>
                <w:szCs w:val="16"/>
                <w:lang w:eastAsia="cs-CZ"/>
              </w:rPr>
            </w:pPr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prevzatím predmetu projektu.</w:t>
            </w:r>
          </w:p>
          <w:p w14:paraId="72058112" w14:textId="38777161" w:rsidR="007947A4" w:rsidRPr="00DD6590" w:rsidRDefault="007947A4" w:rsidP="00F0106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nie je finančne a administratívne ukončený</w:t>
            </w:r>
            <w:r w:rsidR="008C6082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dá sa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však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predpokladať jeho vysporiadanie v súlade s podpísanou zmluvou o NFP.</w:t>
            </w:r>
          </w:p>
        </w:tc>
        <w:tc>
          <w:tcPr>
            <w:tcW w:w="679" w:type="pct"/>
          </w:tcPr>
          <w:p w14:paraId="1E317E5F" w14:textId="59455E18" w:rsidR="007947A4" w:rsidRPr="00DD6590" w:rsidRDefault="00B943CD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Dohliadnuť na 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ukončeni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e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 xml:space="preserve"> projektu z finančného a administratívneho hľadiska</w:t>
            </w:r>
          </w:p>
          <w:p w14:paraId="6BC9B7EF" w14:textId="77777777" w:rsidR="007947A4" w:rsidRPr="00DD6590" w:rsidRDefault="007947A4" w:rsidP="00D6603F">
            <w:pPr>
              <w:pStyle w:val="ListParagraph"/>
              <w:spacing w:before="60" w:after="0" w:line="240" w:lineRule="auto"/>
              <w:ind w:left="6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35912A" w14:textId="77777777" w:rsidR="007947A4" w:rsidRPr="00DD6590" w:rsidRDefault="007947A4" w:rsidP="00B943CD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947A4" w:rsidRPr="00DD6590" w14:paraId="1D2782E0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757E098A" w14:textId="62B56419" w:rsidR="007947A4" w:rsidRPr="00DD6590" w:rsidRDefault="007947A4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55" w:type="pct"/>
          </w:tcPr>
          <w:p w14:paraId="7F40DD01" w14:textId="4E79FAAD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Nízkopodlažné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 energeticky úsporné trolejbusy a trolejbusy s pomocným pohonom pre Žilinu – opcia</w:t>
            </w:r>
          </w:p>
        </w:tc>
        <w:tc>
          <w:tcPr>
            <w:tcW w:w="374" w:type="pct"/>
            <w:shd w:val="clear" w:color="auto" w:fill="FFD653"/>
          </w:tcPr>
          <w:p w14:paraId="766B6286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10AFB5EE" w14:textId="55379FFA" w:rsidR="007947A4" w:rsidRPr="00DD6590" w:rsidRDefault="007947A4" w:rsidP="00D6603F">
            <w:pPr>
              <w:spacing w:before="6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5 272 808,66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3FE319B1" w14:textId="1D740E77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065D77EA" w14:textId="30799A2F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66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4ACE12F7" w14:textId="441CBC64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33,3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13BCBE2A" w14:textId="52010AD1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P0144 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cestujúcich prepravených dráhovou MHD v mestách Bratislava, Košice, Žilina, Prešov a Banská Bystrica: 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EBA6818" w14:textId="27D2F278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P0222 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mobilných prostriedkov dráhovej mestskej hromadnej dopravy (električky, trolejbusy) vhodných tiež pre cestujúcich s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obmedzenou mobilitou: 33,3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30383CCF" w14:textId="79F2E5E5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súlade so stanoveným časovým harmonogramom. </w:t>
            </w:r>
            <w:r w:rsidR="004E3A07"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boli dodané 4 trolejbusy, čaká sa na dodanie ďalších 8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ks. </w:t>
            </w:r>
          </w:p>
        </w:tc>
        <w:tc>
          <w:tcPr>
            <w:tcW w:w="679" w:type="pct"/>
          </w:tcPr>
          <w:p w14:paraId="6E8D20C3" w14:textId="62ACADF9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Dôsledný monitoring naplnenia merateľného ukazovateľa P0144 (počet cestujúcich) v období udržateľnosti projektu</w:t>
            </w:r>
          </w:p>
          <w:p w14:paraId="372EDA2B" w14:textId="77777777" w:rsidR="007947A4" w:rsidRPr="00DD6590" w:rsidRDefault="007947A4" w:rsidP="00D6603F">
            <w:pPr>
              <w:pStyle w:val="ListParagraph"/>
              <w:spacing w:before="60" w:after="0" w:line="240" w:lineRule="auto"/>
              <w:ind w:left="62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818DBD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947A4" w:rsidRPr="00DD6590" w14:paraId="48F428A2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0912EA69" w14:textId="3645D7FE" w:rsidR="007947A4" w:rsidRPr="00DD6590" w:rsidRDefault="007947A4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555" w:type="pct"/>
          </w:tcPr>
          <w:p w14:paraId="35B77C43" w14:textId="79866D80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ŽSR, Terminály integrovanej osobnej prepravy v Bratislave, úsek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Devínska Nová Ves 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Bratislava hlavná stanica 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Podunajské Biskupice, TIOP č. 1, 2, 4, 5, 6, 7 - projektová dokumentácia (DÚR)</w:t>
            </w:r>
          </w:p>
        </w:tc>
        <w:tc>
          <w:tcPr>
            <w:tcW w:w="374" w:type="pct"/>
            <w:shd w:val="clear" w:color="auto" w:fill="FFD653"/>
          </w:tcPr>
          <w:p w14:paraId="5B26E011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7D6EE22F" w14:textId="3523B186" w:rsidR="007947A4" w:rsidRPr="00DD6590" w:rsidRDefault="007947A4" w:rsidP="00D6603F">
            <w:pPr>
              <w:spacing w:before="6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163 614,80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21E82880" w14:textId="766A7906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6266810D" w14:textId="6DB1DEAD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87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1171C5AA" w14:textId="5BB88AA8" w:rsidR="007947A4" w:rsidRPr="00DD6590" w:rsidRDefault="00E64078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85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947A4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54B8BA7C" w14:textId="355E3C6B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P0366 </w:t>
            </w:r>
            <w:r w:rsidR="00F0106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realizovaných dokumentácií, analýz, štúdií a správ v súvislosti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s prípravou, implementáciou, monitorovaním a hodnotením projektu: 0</w:t>
            </w:r>
            <w:r w:rsidR="008C6082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709A2278" w14:textId="7B4A6FFC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Projekt je </w:t>
            </w:r>
            <w:r w:rsidR="004E3A07"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zrealizovaný na 85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C6082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90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%. Čaká sa na vydanie posledného územného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rozhodnutia</w:t>
            </w:r>
            <w:r w:rsidR="008C6082">
              <w:rPr>
                <w:rFonts w:asciiTheme="minorHAnsi" w:hAnsiTheme="minorHAnsi"/>
                <w:sz w:val="16"/>
                <w:szCs w:val="16"/>
              </w:rPr>
              <w:t xml:space="preserve"> 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zároveň na doriešenie predĺženia územných rozhodnutí, ktorých platnosť medzitým končí.</w:t>
            </w:r>
          </w:p>
          <w:p w14:paraId="4DD71BEF" w14:textId="64293B92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Ukončenie projektu sa predpokladá v súlade s časovým harmonogramom. </w:t>
            </w:r>
          </w:p>
        </w:tc>
        <w:tc>
          <w:tcPr>
            <w:tcW w:w="679" w:type="pct"/>
          </w:tcPr>
          <w:p w14:paraId="1CDF321F" w14:textId="71B70FB4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Dôsledné monitorovanie napĺňania merateľného ukazovateľa najmä v súvislosti so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získavaním územného rozhodnutia</w:t>
            </w:r>
          </w:p>
          <w:p w14:paraId="49180B82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578773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947A4" w:rsidRPr="00DD6590" w14:paraId="7ACDAC2E" w14:textId="77777777" w:rsidTr="004D6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2F6260B9" w14:textId="00EECD66" w:rsidR="007947A4" w:rsidRPr="00DD6590" w:rsidRDefault="007947A4" w:rsidP="00D6603F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lastRenderedPageBreak/>
              <w:t>15</w:t>
            </w:r>
          </w:p>
        </w:tc>
        <w:tc>
          <w:tcPr>
            <w:tcW w:w="555" w:type="pct"/>
          </w:tcPr>
          <w:p w14:paraId="6C25731E" w14:textId="3A7E4B4D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Nízkopodlažné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 energeticky úsporné trolejbusy a trolejbusy s pomocným pohonom pre Žilinu – 2. časť</w:t>
            </w:r>
          </w:p>
        </w:tc>
        <w:tc>
          <w:tcPr>
            <w:tcW w:w="374" w:type="pct"/>
            <w:shd w:val="clear" w:color="auto" w:fill="FFD653"/>
          </w:tcPr>
          <w:p w14:paraId="73BE44E6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20" w:type="pct"/>
          </w:tcPr>
          <w:p w14:paraId="65662742" w14:textId="16E261A8" w:rsidR="007947A4" w:rsidRPr="00DD6590" w:rsidRDefault="007947A4" w:rsidP="00D6603F">
            <w:pPr>
              <w:spacing w:before="6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1 050 748,80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1AFD0AFC" w14:textId="28120D24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F010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789B309F" w14:textId="578EF0DF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11</w:t>
            </w:r>
            <w:r w:rsidR="00F010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74A5441C" w14:textId="21BB9034" w:rsidR="007947A4" w:rsidRPr="00DD6590" w:rsidRDefault="007947A4" w:rsidP="00D6603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F010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27DDB0B1" w14:textId="110A840E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P0144 </w:t>
            </w:r>
            <w:r w:rsidR="00F0106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F010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Počet cestujúcich prepravených dráhovou MHD v mestách Bratislava, Košice, Žilina, Prešov a</w:t>
            </w:r>
            <w:r w:rsidR="00F0106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Banská Bystrica: 0</w:t>
            </w:r>
            <w:r w:rsidR="00F010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332EC39" w14:textId="5B78C6DB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P0222 </w:t>
            </w:r>
            <w:r w:rsidR="00F0106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nových mobilných prostriedkov dráhovej mestskej hromadnej dopravy (električky, trolejbusy) vhodných tiež pre cestujúcich s obmedzenou mobilitou: 0</w:t>
            </w:r>
            <w:r w:rsidR="00F0106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539CF889" w14:textId="43719B1F" w:rsidR="007947A4" w:rsidRPr="00DD6590" w:rsidRDefault="007947A4" w:rsidP="00F0106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Začiatok realizácie projektu sa presunul z 11/2018 na 04/2019 z dôvodu predĺženia procesu verejného obstarávania, predpokladá sa </w:t>
            </w:r>
            <w:r w:rsidR="00F01065">
              <w:rPr>
                <w:rFonts w:asciiTheme="minorHAnsi" w:hAnsiTheme="minorHAnsi"/>
                <w:sz w:val="16"/>
                <w:szCs w:val="16"/>
              </w:rPr>
              <w:t xml:space="preserve">však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dodržanie dĺžky realizácie 17 mesiacov. </w:t>
            </w:r>
          </w:p>
        </w:tc>
        <w:tc>
          <w:tcPr>
            <w:tcW w:w="679" w:type="pct"/>
          </w:tcPr>
          <w:p w14:paraId="74DFF4D7" w14:textId="7858CCC0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Dôsledný monitoring naplnenia merateľného ukazovateľa P0144 (počet cestujúcich) v období udržateľnosti projektu</w:t>
            </w:r>
          </w:p>
          <w:p w14:paraId="47F77198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9021B" w:rsidRPr="00DD6590" w14:paraId="43DE1D87" w14:textId="77777777" w:rsidTr="004D66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E7F5CF" w:themeFill="accent1" w:themeFillTint="33"/>
          </w:tcPr>
          <w:p w14:paraId="10F0FC99" w14:textId="77777777" w:rsidR="007947A4" w:rsidRPr="00DD6590" w:rsidRDefault="007947A4" w:rsidP="00D6603F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E7F5CF" w:themeFill="accent1" w:themeFillTint="33"/>
          </w:tcPr>
          <w:p w14:paraId="0817433E" w14:textId="66EB3719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Celkom</w:t>
            </w:r>
          </w:p>
        </w:tc>
        <w:tc>
          <w:tcPr>
            <w:tcW w:w="374" w:type="pct"/>
            <w:shd w:val="clear" w:color="auto" w:fill="E7F5CF" w:themeFill="accent1" w:themeFillTint="33"/>
          </w:tcPr>
          <w:p w14:paraId="7F7B43D6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20" w:type="pct"/>
            <w:shd w:val="clear" w:color="auto" w:fill="E7F5CF" w:themeFill="accent1" w:themeFillTint="33"/>
          </w:tcPr>
          <w:p w14:paraId="36E6704A" w14:textId="01B3CF73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156 728 034,94 </w:t>
            </w:r>
            <w:r w:rsidR="005A33E6">
              <w:rPr>
                <w:rFonts w:asciiTheme="minorHAnsi" w:hAnsiTheme="minorHAnsi"/>
                <w:b/>
                <w:sz w:val="16"/>
                <w:szCs w:val="16"/>
              </w:rPr>
              <w:t>EUR</w:t>
            </w:r>
          </w:p>
        </w:tc>
        <w:tc>
          <w:tcPr>
            <w:tcW w:w="315" w:type="pct"/>
            <w:shd w:val="clear" w:color="auto" w:fill="E7F5CF" w:themeFill="accent1" w:themeFillTint="33"/>
          </w:tcPr>
          <w:p w14:paraId="416E90FD" w14:textId="71402568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50,12</w:t>
            </w:r>
            <w:r w:rsidR="00F01065">
              <w:rPr>
                <w:rFonts w:asciiTheme="minorHAnsi" w:hAnsiTheme="minorHAnsi"/>
                <w:b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%</w:t>
            </w:r>
          </w:p>
        </w:tc>
        <w:tc>
          <w:tcPr>
            <w:tcW w:w="416" w:type="pct"/>
            <w:shd w:val="clear" w:color="auto" w:fill="E7F5CF" w:themeFill="accent1" w:themeFillTint="33"/>
          </w:tcPr>
          <w:p w14:paraId="49BD0609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E7F5CF" w:themeFill="accent1" w:themeFillTint="33"/>
          </w:tcPr>
          <w:p w14:paraId="739D7616" w14:textId="77777777" w:rsidR="007947A4" w:rsidRPr="00DD6590" w:rsidRDefault="007947A4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10" w:type="pct"/>
            <w:shd w:val="clear" w:color="auto" w:fill="E7F5CF" w:themeFill="accent1" w:themeFillTint="33"/>
          </w:tcPr>
          <w:p w14:paraId="7AC81CA1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60" w:type="pct"/>
            <w:shd w:val="clear" w:color="auto" w:fill="E7F5CF" w:themeFill="accent1" w:themeFillTint="33"/>
          </w:tcPr>
          <w:p w14:paraId="69FF4964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79" w:type="pct"/>
            <w:shd w:val="clear" w:color="auto" w:fill="E7F5CF" w:themeFill="accent1" w:themeFillTint="33"/>
          </w:tcPr>
          <w:p w14:paraId="01AF79BE" w14:textId="77777777" w:rsidR="007947A4" w:rsidRPr="00DD6590" w:rsidRDefault="007947A4" w:rsidP="00D6603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0062D224" w14:textId="335B7B23" w:rsidR="002167D2" w:rsidRPr="00DD6590" w:rsidRDefault="002167D2">
      <w:pPr>
        <w:spacing w:before="0" w:after="200" w:line="276" w:lineRule="auto"/>
        <w:jc w:val="left"/>
      </w:pPr>
      <w:r w:rsidRPr="00DD6590">
        <w:br w:type="page"/>
      </w:r>
    </w:p>
    <w:p w14:paraId="2FDFBB0F" w14:textId="77777777" w:rsidR="00E64078" w:rsidRPr="00DD6590" w:rsidRDefault="00E64078" w:rsidP="00B0035E">
      <w:pPr>
        <w:pStyle w:val="Heading2"/>
      </w:pPr>
      <w:bookmarkStart w:id="13" w:name="_Toc9350270"/>
      <w:r w:rsidRPr="00DD6590">
        <w:lastRenderedPageBreak/>
        <w:t>Vyhodnotenie plnenia výstupových, výsledkových a finančných ukazovateľov v rámci PO 3</w:t>
      </w:r>
      <w:bookmarkEnd w:id="13"/>
    </w:p>
    <w:p w14:paraId="3517FF73" w14:textId="77777777" w:rsidR="00E64078" w:rsidRPr="00DD6590" w:rsidRDefault="00E64078" w:rsidP="00E64078">
      <w:pPr>
        <w:rPr>
          <w:rFonts w:asciiTheme="majorHAnsi" w:hAnsiTheme="majorHAnsi"/>
          <w:i/>
          <w:szCs w:val="18"/>
          <w:u w:val="single"/>
        </w:rPr>
      </w:pPr>
      <w:r w:rsidRPr="00DD6590">
        <w:rPr>
          <w:rFonts w:asciiTheme="majorHAnsi" w:hAnsiTheme="majorHAnsi"/>
          <w:i/>
          <w:szCs w:val="18"/>
          <w:u w:val="single"/>
        </w:rPr>
        <w:t>Vyhodnotenie ukazovateľov výsledku</w:t>
      </w:r>
    </w:p>
    <w:p w14:paraId="064B4215" w14:textId="66AE3A84" w:rsidR="00E64078" w:rsidRPr="00DD6590" w:rsidRDefault="00E64078" w:rsidP="00E64078">
      <w:pPr>
        <w:pStyle w:val="Caption"/>
      </w:pPr>
      <w:bookmarkStart w:id="14" w:name="_Toc8805477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6</w:t>
      </w:r>
      <w:r w:rsidRPr="00DD6590">
        <w:fldChar w:fldCharType="end"/>
      </w:r>
      <w:r w:rsidRPr="00DD6590">
        <w:t xml:space="preserve"> Vyhodnotenie ukazovateľov výsledku PO3</w:t>
      </w:r>
      <w:bookmarkEnd w:id="14"/>
      <w:r w:rsidRPr="00DD6590">
        <w:t xml:space="preserve"> </w:t>
      </w:r>
    </w:p>
    <w:tbl>
      <w:tblPr>
        <w:tblStyle w:val="TableGrid"/>
        <w:tblW w:w="14983" w:type="dxa"/>
        <w:tblInd w:w="-26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0"/>
        <w:gridCol w:w="1345"/>
        <w:gridCol w:w="1265"/>
        <w:gridCol w:w="1260"/>
        <w:gridCol w:w="1350"/>
        <w:gridCol w:w="1204"/>
        <w:gridCol w:w="992"/>
        <w:gridCol w:w="4503"/>
      </w:tblGrid>
      <w:tr w:rsidR="007C1289" w:rsidRPr="00DD6590" w14:paraId="7DC48516" w14:textId="77777777" w:rsidTr="00527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9"/>
        </w:trPr>
        <w:tc>
          <w:tcPr>
            <w:tcW w:w="454" w:type="dxa"/>
            <w:shd w:val="clear" w:color="auto" w:fill="DBDCDE" w:themeFill="text2" w:themeFillTint="33"/>
            <w:vAlign w:val="center"/>
          </w:tcPr>
          <w:p w14:paraId="74AF9FD0" w14:textId="77777777" w:rsidR="00E64078" w:rsidRPr="00DD6590" w:rsidRDefault="00E6407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P.č.</w:t>
            </w:r>
          </w:p>
        </w:tc>
        <w:tc>
          <w:tcPr>
            <w:tcW w:w="2610" w:type="dxa"/>
            <w:shd w:val="clear" w:color="auto" w:fill="DBDCDE" w:themeFill="text2" w:themeFillTint="33"/>
            <w:vAlign w:val="center"/>
          </w:tcPr>
          <w:p w14:paraId="1092E1E1" w14:textId="77777777" w:rsidR="00E64078" w:rsidRPr="00DD6590" w:rsidRDefault="00E6407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1345" w:type="dxa"/>
            <w:shd w:val="clear" w:color="auto" w:fill="DBDCDE" w:themeFill="text2" w:themeFillTint="33"/>
            <w:vAlign w:val="center"/>
          </w:tcPr>
          <w:p w14:paraId="6DF03D31" w14:textId="77777777" w:rsidR="00E64078" w:rsidRPr="00DD6590" w:rsidRDefault="00E6407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 (2013)</w:t>
            </w:r>
          </w:p>
        </w:tc>
        <w:tc>
          <w:tcPr>
            <w:tcW w:w="1265" w:type="dxa"/>
            <w:shd w:val="clear" w:color="auto" w:fill="DBDCDE" w:themeFill="text2" w:themeFillTint="33"/>
            <w:vAlign w:val="center"/>
          </w:tcPr>
          <w:p w14:paraId="34687371" w14:textId="1D41D9EB" w:rsidR="00E64078" w:rsidRPr="00DD6590" w:rsidRDefault="00E6407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Cieľová hodnota </w:t>
            </w:r>
            <w:r w:rsidR="00E67729" w:rsidRPr="00DD6590">
              <w:rPr>
                <w:b/>
                <w:sz w:val="16"/>
                <w:szCs w:val="16"/>
              </w:rPr>
              <w:t xml:space="preserve">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1260" w:type="dxa"/>
            <w:shd w:val="clear" w:color="auto" w:fill="DBDCDE" w:themeFill="text2" w:themeFillTint="33"/>
            <w:vAlign w:val="center"/>
          </w:tcPr>
          <w:p w14:paraId="26218C98" w14:textId="6A2A1F41" w:rsidR="00E64078" w:rsidRPr="00DD6590" w:rsidRDefault="00E67729" w:rsidP="00F01065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Plánovaná ú</w:t>
            </w:r>
            <w:r w:rsidR="00E64078" w:rsidRPr="00DD6590">
              <w:rPr>
                <w:b/>
                <w:sz w:val="16"/>
                <w:szCs w:val="16"/>
              </w:rPr>
              <w:t>spora</w:t>
            </w:r>
            <w:r w:rsidRPr="00DD6590">
              <w:rPr>
                <w:b/>
                <w:sz w:val="16"/>
                <w:szCs w:val="16"/>
              </w:rPr>
              <w:t>/ n</w:t>
            </w:r>
            <w:r w:rsidR="00E64078" w:rsidRPr="00DD6590">
              <w:rPr>
                <w:b/>
                <w:sz w:val="16"/>
                <w:szCs w:val="16"/>
              </w:rPr>
              <w:t>árast</w:t>
            </w:r>
            <w:r w:rsidR="00E64078" w:rsidRPr="00DD6590">
              <w:rPr>
                <w:b/>
                <w:sz w:val="16"/>
                <w:szCs w:val="16"/>
              </w:rPr>
              <w:br/>
              <w:t>(2013-2023)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701B7530" w14:textId="77777777" w:rsidR="00E64078" w:rsidRPr="00DD6590" w:rsidRDefault="00E6407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204" w:type="dxa"/>
            <w:shd w:val="clear" w:color="auto" w:fill="DBDCDE" w:themeFill="text2" w:themeFillTint="33"/>
            <w:vAlign w:val="center"/>
          </w:tcPr>
          <w:p w14:paraId="686BA7B3" w14:textId="77777777" w:rsidR="00E64078" w:rsidRPr="00DD6590" w:rsidRDefault="00E64078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992" w:type="dxa"/>
            <w:shd w:val="clear" w:color="auto" w:fill="DBDCDE" w:themeFill="text2" w:themeFillTint="33"/>
            <w:vAlign w:val="center"/>
          </w:tcPr>
          <w:p w14:paraId="050D6236" w14:textId="77777777" w:rsidR="00E64078" w:rsidRPr="00DD6590" w:rsidRDefault="00E64078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503" w:type="dxa"/>
            <w:shd w:val="clear" w:color="auto" w:fill="DBDCDE" w:themeFill="text2" w:themeFillTint="33"/>
            <w:vAlign w:val="center"/>
          </w:tcPr>
          <w:p w14:paraId="6D7D5F79" w14:textId="77777777" w:rsidR="00E64078" w:rsidRPr="00DD6590" w:rsidRDefault="00E64078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E64078" w:rsidRPr="00DD6590" w14:paraId="1364F1B1" w14:textId="77777777" w:rsidTr="00527BCC">
        <w:trPr>
          <w:trHeight w:val="550"/>
        </w:trPr>
        <w:tc>
          <w:tcPr>
            <w:tcW w:w="454" w:type="dxa"/>
            <w:vAlign w:val="center"/>
          </w:tcPr>
          <w:p w14:paraId="77329EFD" w14:textId="77777777" w:rsidR="00E64078" w:rsidRPr="00DD6590" w:rsidRDefault="00E6407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6C0A55CE" w14:textId="77777777" w:rsidR="00E64078" w:rsidRPr="00DD6590" w:rsidRDefault="00E64078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času vo verejnej osobnej doprave</w:t>
            </w:r>
          </w:p>
        </w:tc>
        <w:tc>
          <w:tcPr>
            <w:tcW w:w="1345" w:type="dxa"/>
            <w:vAlign w:val="center"/>
          </w:tcPr>
          <w:p w14:paraId="638AB074" w14:textId="76ACAA9F" w:rsidR="00E64078" w:rsidRPr="00DD6590" w:rsidRDefault="00E6407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33</w:t>
            </w:r>
            <w:r w:rsidR="007C1289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752</w:t>
            </w:r>
            <w:r w:rsidR="007C1289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086  EUR</w:t>
            </w:r>
          </w:p>
        </w:tc>
        <w:tc>
          <w:tcPr>
            <w:tcW w:w="1265" w:type="dxa"/>
            <w:vAlign w:val="center"/>
          </w:tcPr>
          <w:p w14:paraId="5AA02C47" w14:textId="76BA6992" w:rsidR="00E64078" w:rsidRPr="00DD6590" w:rsidRDefault="00E6407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  <w:r w:rsidR="007C1289" w:rsidRPr="00DD6590">
              <w:rPr>
                <w:sz w:val="16"/>
                <w:szCs w:val="16"/>
              </w:rPr>
              <w:t xml:space="preserve">9 </w:t>
            </w:r>
            <w:r w:rsidRPr="00DD6590">
              <w:rPr>
                <w:sz w:val="16"/>
                <w:szCs w:val="16"/>
              </w:rPr>
              <w:t>286</w:t>
            </w:r>
            <w:r w:rsidR="007C1289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906 EUR</w:t>
            </w:r>
          </w:p>
        </w:tc>
        <w:tc>
          <w:tcPr>
            <w:tcW w:w="1260" w:type="dxa"/>
            <w:vAlign w:val="center"/>
          </w:tcPr>
          <w:p w14:paraId="4DCF8D56" w14:textId="19F4B06E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14</w:t>
            </w:r>
            <w:r w:rsidR="007C1289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465</w:t>
            </w:r>
            <w:r w:rsidR="007C1289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180 EUR</w:t>
            </w:r>
          </w:p>
        </w:tc>
        <w:tc>
          <w:tcPr>
            <w:tcW w:w="1350" w:type="dxa"/>
            <w:vAlign w:val="center"/>
          </w:tcPr>
          <w:p w14:paraId="2E6E0B83" w14:textId="7C406C1C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3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659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269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>,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00 EUR</w:t>
            </w:r>
          </w:p>
        </w:tc>
        <w:tc>
          <w:tcPr>
            <w:tcW w:w="1204" w:type="dxa"/>
            <w:shd w:val="clear" w:color="auto" w:fill="FFD653"/>
            <w:vAlign w:val="center"/>
          </w:tcPr>
          <w:p w14:paraId="1716412F" w14:textId="149A40B6" w:rsidR="00E64078" w:rsidRPr="00DD6590" w:rsidRDefault="000D5A9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25,30</w:t>
            </w:r>
            <w:r w:rsidR="00F01065">
              <w:rPr>
                <w:color w:val="000000"/>
                <w:sz w:val="16"/>
                <w:szCs w:val="16"/>
              </w:rPr>
              <w:t xml:space="preserve"> </w:t>
            </w:r>
            <w:r w:rsidR="00E64078" w:rsidRPr="00DD6590">
              <w:rPr>
                <w:color w:val="000000"/>
                <w:sz w:val="16"/>
                <w:szCs w:val="16"/>
              </w:rPr>
              <w:t>%</w:t>
            </w:r>
          </w:p>
          <w:p w14:paraId="4EBC7050" w14:textId="7628D23C" w:rsidR="007C1289" w:rsidRPr="00DD6590" w:rsidRDefault="007C128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E2D9118" w14:textId="77777777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03" w:type="dxa"/>
            <w:vAlign w:val="center"/>
          </w:tcPr>
          <w:p w14:paraId="25240C01" w14:textId="346D2107" w:rsidR="00E64078" w:rsidRPr="00DD6590" w:rsidRDefault="00E6407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Výsledkový ukazovateľ Úspora času vo verejnej osobnej doprave sa </w:t>
            </w:r>
            <w:r w:rsidR="004E3A07" w:rsidRPr="00DD6590">
              <w:rPr>
                <w:color w:val="000000"/>
                <w:sz w:val="16"/>
                <w:szCs w:val="16"/>
              </w:rPr>
              <w:t>do konca roka 2018</w:t>
            </w:r>
            <w:r w:rsidRPr="00DD6590">
              <w:rPr>
                <w:color w:val="000000"/>
                <w:sz w:val="16"/>
                <w:szCs w:val="16"/>
              </w:rPr>
              <w:t xml:space="preserve"> vykazoval len na </w:t>
            </w:r>
            <w:r w:rsidR="000D5A99" w:rsidRPr="00DD6590">
              <w:rPr>
                <w:color w:val="000000"/>
                <w:sz w:val="16"/>
                <w:szCs w:val="16"/>
              </w:rPr>
              <w:t xml:space="preserve">jednom </w:t>
            </w:r>
            <w:r w:rsidRPr="00DD6590">
              <w:rPr>
                <w:color w:val="000000"/>
                <w:sz w:val="16"/>
                <w:szCs w:val="16"/>
              </w:rPr>
              <w:t>projekt</w:t>
            </w:r>
            <w:r w:rsidR="000D5A99" w:rsidRPr="00DD6590">
              <w:rPr>
                <w:color w:val="000000"/>
                <w:sz w:val="16"/>
                <w:szCs w:val="16"/>
              </w:rPr>
              <w:t>e</w:t>
            </w:r>
            <w:r w:rsidR="00F01065">
              <w:rPr>
                <w:color w:val="000000"/>
                <w:sz w:val="16"/>
                <w:szCs w:val="16"/>
              </w:rPr>
              <w:t>, a to</w:t>
            </w:r>
            <w:r w:rsidR="000D5A99" w:rsidRPr="00DD6590">
              <w:rPr>
                <w:color w:val="000000"/>
                <w:sz w:val="16"/>
                <w:szCs w:val="16"/>
              </w:rPr>
              <w:t xml:space="preserve"> „Modernizácia električkových tratí v Košiciach – 2. etapa – 1. časť“</w:t>
            </w:r>
            <w:r w:rsidRPr="00DD6590">
              <w:rPr>
                <w:color w:val="000000"/>
                <w:sz w:val="16"/>
                <w:szCs w:val="16"/>
              </w:rPr>
              <w:t xml:space="preserve">, čo prispelo k naplneniu ukazovateľa na </w:t>
            </w:r>
            <w:r w:rsidR="000D5A99" w:rsidRPr="00DD6590">
              <w:rPr>
                <w:color w:val="000000"/>
                <w:sz w:val="16"/>
                <w:szCs w:val="16"/>
              </w:rPr>
              <w:t>25,30</w:t>
            </w:r>
            <w:r w:rsidR="00F01065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%.</w:t>
            </w:r>
          </w:p>
          <w:p w14:paraId="656938AF" w14:textId="64B1FA49" w:rsidR="005F3082" w:rsidRPr="00DD6590" w:rsidRDefault="00E6407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Na základe údajov poskytnutých projektovými manažérmi v dotazníku bol</w:t>
            </w:r>
            <w:r w:rsidR="000D5A99" w:rsidRPr="00DD6590"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0D5A99" w:rsidRPr="00DD6590">
              <w:rPr>
                <w:color w:val="000000"/>
                <w:sz w:val="16"/>
                <w:szCs w:val="16"/>
              </w:rPr>
              <w:t xml:space="preserve">identifikované dva plánované </w:t>
            </w:r>
            <w:r w:rsidRPr="00DD6590">
              <w:rPr>
                <w:color w:val="000000"/>
                <w:sz w:val="16"/>
                <w:szCs w:val="16"/>
              </w:rPr>
              <w:t>projekt</w:t>
            </w:r>
            <w:r w:rsidR="000D5A99" w:rsidRPr="00DD6590">
              <w:rPr>
                <w:color w:val="000000"/>
                <w:sz w:val="16"/>
                <w:szCs w:val="16"/>
              </w:rPr>
              <w:t>y</w:t>
            </w:r>
            <w:r w:rsidRPr="00DD6590">
              <w:rPr>
                <w:color w:val="000000"/>
                <w:sz w:val="16"/>
                <w:szCs w:val="16"/>
              </w:rPr>
              <w:t xml:space="preserve">, </w:t>
            </w:r>
            <w:r w:rsidR="000D5A99" w:rsidRPr="00DD6590">
              <w:rPr>
                <w:color w:val="000000"/>
                <w:sz w:val="16"/>
                <w:szCs w:val="16"/>
              </w:rPr>
              <w:t xml:space="preserve">ktoré </w:t>
            </w:r>
            <w:r w:rsidR="00961697" w:rsidRPr="00DD6590">
              <w:rPr>
                <w:color w:val="000000"/>
                <w:sz w:val="16"/>
                <w:szCs w:val="16"/>
              </w:rPr>
              <w:t xml:space="preserve">prispejú </w:t>
            </w:r>
            <w:r w:rsidRPr="00DD6590">
              <w:rPr>
                <w:color w:val="000000"/>
                <w:sz w:val="16"/>
                <w:szCs w:val="16"/>
              </w:rPr>
              <w:t xml:space="preserve">k naplneniu daného ukazovateľa. </w:t>
            </w:r>
            <w:r w:rsidR="00F01065">
              <w:rPr>
                <w:color w:val="000000"/>
                <w:sz w:val="16"/>
                <w:szCs w:val="16"/>
              </w:rPr>
              <w:t>K</w:t>
            </w:r>
            <w:r w:rsidRPr="00DD6590">
              <w:rPr>
                <w:color w:val="000000"/>
                <w:sz w:val="16"/>
                <w:szCs w:val="16"/>
              </w:rPr>
              <w:t xml:space="preserve">eďže výška úspory nebola kvantifikovaná, nie je možné určiť, do akej miery by k naplneniu ukazovateľa projekt prispel. </w:t>
            </w:r>
          </w:p>
          <w:p w14:paraId="01A7B97D" w14:textId="4E1433DB" w:rsidR="005F3082" w:rsidRPr="00DD6590" w:rsidRDefault="005F3082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72ED445F" w14:textId="77A15A6D" w:rsidR="00E64078" w:rsidRPr="00DD6590" w:rsidRDefault="0039267B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Odporúčame tento ukazovateľ doplniť do </w:t>
            </w:r>
            <w:r w:rsidR="00961697" w:rsidRPr="00DD6590">
              <w:rPr>
                <w:color w:val="000000"/>
                <w:sz w:val="16"/>
                <w:szCs w:val="16"/>
              </w:rPr>
              <w:t xml:space="preserve">plánovaného </w:t>
            </w:r>
            <w:r w:rsidRPr="00DD6590">
              <w:rPr>
                <w:color w:val="000000"/>
                <w:sz w:val="16"/>
                <w:szCs w:val="16"/>
              </w:rPr>
              <w:t>projektu „Koľajové prepojenie mestskej časti Petržalka s centrom mesta, NS MHD</w:t>
            </w:r>
            <w:r w:rsidR="00F01065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1. etapa</w:t>
            </w:r>
            <w:r w:rsidR="00F01065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Hlavná stanica – Janíkov dvor, prevádzkový úsek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Bosákova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ulica – Janíkov dvor, 2. časť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Bosákova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– Janíkov dvor“</w:t>
            </w:r>
            <w:r w:rsidR="00961697" w:rsidRPr="00DD6590">
              <w:rPr>
                <w:color w:val="000000"/>
                <w:sz w:val="16"/>
                <w:szCs w:val="16"/>
              </w:rPr>
              <w:t>, keďže nebol v dotazníku pre tento projekt zaznamenaný.</w:t>
            </w:r>
          </w:p>
        </w:tc>
      </w:tr>
      <w:tr w:rsidR="00E64078" w:rsidRPr="00DD6590" w14:paraId="514F6E39" w14:textId="77777777" w:rsidTr="00527BCC">
        <w:trPr>
          <w:trHeight w:val="775"/>
        </w:trPr>
        <w:tc>
          <w:tcPr>
            <w:tcW w:w="454" w:type="dxa"/>
            <w:vAlign w:val="center"/>
          </w:tcPr>
          <w:p w14:paraId="2298CC79" w14:textId="77777777" w:rsidR="00E64078" w:rsidRPr="00DD6590" w:rsidRDefault="00E6407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2610" w:type="dxa"/>
            <w:vAlign w:val="center"/>
          </w:tcPr>
          <w:p w14:paraId="5AE90822" w14:textId="77777777" w:rsidR="00E64078" w:rsidRPr="00DD6590" w:rsidRDefault="00E64078" w:rsidP="00527BCC">
            <w:pPr>
              <w:pStyle w:val="Style30"/>
              <w:widowControl/>
              <w:spacing w:before="6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Počet cestujúcich prepravených dráhovou MHD v mestách Bratislava, Košice, Žilina, Prešov a Banská Bystrica  </w:t>
            </w:r>
          </w:p>
        </w:tc>
        <w:tc>
          <w:tcPr>
            <w:tcW w:w="1345" w:type="dxa"/>
            <w:vAlign w:val="center"/>
          </w:tcPr>
          <w:p w14:paraId="38E9F9D0" w14:textId="2DFC6A14" w:rsidR="00E64078" w:rsidRPr="00DD6590" w:rsidRDefault="00E64078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157</w:t>
            </w:r>
            <w:r w:rsidR="007C128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657</w:t>
            </w:r>
            <w:r w:rsidR="007C1289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489</w:t>
            </w:r>
          </w:p>
        </w:tc>
        <w:tc>
          <w:tcPr>
            <w:tcW w:w="1265" w:type="dxa"/>
            <w:vAlign w:val="center"/>
          </w:tcPr>
          <w:p w14:paraId="032164E7" w14:textId="353EB960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2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00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085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737</w:t>
            </w:r>
          </w:p>
        </w:tc>
        <w:tc>
          <w:tcPr>
            <w:tcW w:w="1260" w:type="dxa"/>
            <w:vAlign w:val="center"/>
          </w:tcPr>
          <w:p w14:paraId="33289835" w14:textId="3BE645D9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42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 428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24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350" w:type="dxa"/>
            <w:vAlign w:val="center"/>
          </w:tcPr>
          <w:p w14:paraId="3763FC21" w14:textId="0B5E92FC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25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587</w:t>
            </w:r>
            <w:r w:rsidR="007C1289" w:rsidRPr="00DD6590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679</w:t>
            </w:r>
          </w:p>
        </w:tc>
        <w:tc>
          <w:tcPr>
            <w:tcW w:w="1204" w:type="dxa"/>
            <w:shd w:val="clear" w:color="auto" w:fill="EF858F"/>
            <w:vAlign w:val="center"/>
          </w:tcPr>
          <w:p w14:paraId="11CC446D" w14:textId="041711B2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12,78</w:t>
            </w:r>
            <w:r w:rsidR="00F01065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14:paraId="6469B32E" w14:textId="77777777" w:rsidR="00E64078" w:rsidRPr="00DD6590" w:rsidRDefault="00E6407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503" w:type="dxa"/>
            <w:vAlign w:val="center"/>
          </w:tcPr>
          <w:p w14:paraId="63EFC249" w14:textId="7671C26F" w:rsidR="006320DB" w:rsidRPr="00DD6590" w:rsidRDefault="006320DB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Jedná sa o makro ukazovateľ meraný na úrovni celej dráhovej MHD, nielen pri realizovaných projektoch. V súčasnej dobe je podľa informácií získaných z výročných správ jednotlivých dopravných podnikov (príp. na základe predbežných dát za rok 2018) daný ukazovateľ naplnený vo výške 152 830 883.</w:t>
            </w:r>
          </w:p>
          <w:p w14:paraId="468AE9B5" w14:textId="31A922F7" w:rsidR="006320DB" w:rsidRPr="00DD6590" w:rsidRDefault="00F01065" w:rsidP="00527BCC">
            <w:pPr>
              <w:spacing w:before="60"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</w:t>
            </w:r>
            <w:r w:rsidR="006320DB" w:rsidRPr="00DD6590">
              <w:rPr>
                <w:color w:val="000000"/>
                <w:sz w:val="16"/>
                <w:szCs w:val="16"/>
              </w:rPr>
              <w:t xml:space="preserve">proti roku 2013 došlo </w:t>
            </w:r>
            <w:r w:rsidR="006320DB" w:rsidRPr="00DD6590">
              <w:rPr>
                <w:b/>
                <w:color w:val="000000"/>
                <w:sz w:val="16"/>
                <w:szCs w:val="16"/>
              </w:rPr>
              <w:t>k zníženiu ukazovateľa o</w:t>
            </w:r>
            <w:r>
              <w:rPr>
                <w:b/>
                <w:color w:val="000000"/>
                <w:sz w:val="16"/>
                <w:szCs w:val="16"/>
              </w:rPr>
              <w:t> </w:t>
            </w:r>
            <w:r w:rsidR="006320DB" w:rsidRPr="00DD6590">
              <w:rPr>
                <w:b/>
                <w:color w:val="000000"/>
                <w:sz w:val="16"/>
                <w:szCs w:val="16"/>
              </w:rPr>
              <w:t>4</w:t>
            </w:r>
            <w:r>
              <w:rPr>
                <w:b/>
                <w:color w:val="000000"/>
                <w:sz w:val="16"/>
                <w:szCs w:val="16"/>
              </w:rPr>
              <w:t> </w:t>
            </w:r>
            <w:r w:rsidR="006320DB" w:rsidRPr="00DD6590">
              <w:rPr>
                <w:b/>
                <w:color w:val="000000"/>
                <w:sz w:val="16"/>
                <w:szCs w:val="16"/>
              </w:rPr>
              <w:t>826 606</w:t>
            </w:r>
            <w:r w:rsidR="006320DB" w:rsidRPr="00DD6590">
              <w:rPr>
                <w:color w:val="000000"/>
                <w:sz w:val="16"/>
                <w:szCs w:val="16"/>
              </w:rPr>
              <w:t xml:space="preserve">.  </w:t>
            </w:r>
          </w:p>
          <w:p w14:paraId="14C50BEC" w14:textId="05239DC1" w:rsidR="006320DB" w:rsidRPr="00DD6590" w:rsidRDefault="006320DB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Vplyv projektov na tento ukazovateľ bude viditeľný až po zrealizovaní všetkých projektov týkajúcich sa rekonštrukcie a modernizácie infraštruktúry. Čiastočne môže byť pokles spôsobený aj rozsiahlou výstavbou a uzatváraním niektorých ciest, napr. rekonštrukcia v Bratislave </w:t>
            </w:r>
            <w:r w:rsidR="00F01065" w:rsidRPr="00DD6590">
              <w:rPr>
                <w:sz w:val="16"/>
                <w:szCs w:val="16"/>
              </w:rPr>
              <w:t>–</w:t>
            </w:r>
            <w:r w:rsidR="00F01065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Mlynské nivy, alebo aj uzatváraním daných úsekov električkových tratí pri ich rekonštrukcii.</w:t>
            </w:r>
          </w:p>
          <w:p w14:paraId="66672843" w14:textId="77777777" w:rsidR="006320DB" w:rsidRPr="00DD6590" w:rsidRDefault="006320DB" w:rsidP="00527BCC">
            <w:pPr>
              <w:spacing w:before="60" w:after="0" w:line="240" w:lineRule="auto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>Odporúčanie:</w:t>
            </w:r>
          </w:p>
          <w:p w14:paraId="460BE4A5" w14:textId="1E806FC7" w:rsidR="00E64078" w:rsidRPr="00DD6590" w:rsidRDefault="006320DB" w:rsidP="00527BCC">
            <w:pPr>
              <w:spacing w:before="60" w:after="0" w:line="240" w:lineRule="auto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</w:tbl>
    <w:p w14:paraId="6F446A34" w14:textId="4F40650C" w:rsidR="00E64078" w:rsidRPr="00DD6590" w:rsidRDefault="00E64078" w:rsidP="00E64078">
      <w:pPr>
        <w:rPr>
          <w:rFonts w:asciiTheme="majorHAnsi" w:hAnsiTheme="majorHAnsi"/>
          <w:i/>
          <w:szCs w:val="18"/>
          <w:u w:val="single"/>
        </w:rPr>
      </w:pPr>
      <w:r w:rsidRPr="00DD6590">
        <w:rPr>
          <w:rFonts w:asciiTheme="majorHAnsi" w:hAnsiTheme="majorHAnsi"/>
          <w:i/>
          <w:szCs w:val="18"/>
          <w:u w:val="single"/>
        </w:rPr>
        <w:lastRenderedPageBreak/>
        <w:t>Vyhodnotenie ukazovateľov výstupu</w:t>
      </w:r>
    </w:p>
    <w:p w14:paraId="0E81D1B8" w14:textId="2B6F03B8" w:rsidR="00E64078" w:rsidRPr="00DD6590" w:rsidRDefault="00E64078" w:rsidP="00E64078">
      <w:pPr>
        <w:pStyle w:val="Caption"/>
      </w:pPr>
      <w:bookmarkStart w:id="15" w:name="_Toc8805478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7</w:t>
      </w:r>
      <w:r w:rsidRPr="00DD6590">
        <w:fldChar w:fldCharType="end"/>
      </w:r>
      <w:r w:rsidRPr="00DD6590">
        <w:t xml:space="preserve"> Vyhodnotenie ukazovateľov výstupu PO3</w:t>
      </w:r>
      <w:bookmarkEnd w:id="15"/>
      <w:r w:rsidRPr="00DD6590">
        <w:t xml:space="preserve"> </w:t>
      </w:r>
    </w:p>
    <w:tbl>
      <w:tblPr>
        <w:tblStyle w:val="TableGrid"/>
        <w:tblW w:w="15012" w:type="dxa"/>
        <w:tblInd w:w="-2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604"/>
        <w:gridCol w:w="1611"/>
        <w:gridCol w:w="1701"/>
        <w:gridCol w:w="1984"/>
        <w:gridCol w:w="1134"/>
        <w:gridCol w:w="992"/>
        <w:gridCol w:w="4536"/>
      </w:tblGrid>
      <w:tr w:rsidR="00E64078" w:rsidRPr="00DD6590" w14:paraId="3393CD22" w14:textId="77777777" w:rsidTr="00E64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50" w:type="dxa"/>
            <w:shd w:val="clear" w:color="auto" w:fill="DBDCDE" w:themeFill="text2" w:themeFillTint="33"/>
            <w:vAlign w:val="center"/>
          </w:tcPr>
          <w:p w14:paraId="2EAB4381" w14:textId="77777777" w:rsidR="00E64078" w:rsidRPr="00DD6590" w:rsidRDefault="00E64078" w:rsidP="007C1289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P.č. </w:t>
            </w:r>
          </w:p>
        </w:tc>
        <w:tc>
          <w:tcPr>
            <w:tcW w:w="2604" w:type="dxa"/>
            <w:shd w:val="clear" w:color="auto" w:fill="DBDCDE" w:themeFill="text2" w:themeFillTint="33"/>
            <w:vAlign w:val="center"/>
          </w:tcPr>
          <w:p w14:paraId="7B497404" w14:textId="77777777" w:rsidR="00E64078" w:rsidRPr="00DD6590" w:rsidRDefault="00E64078" w:rsidP="007C1289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Ukazovateľ výstupu</w:t>
            </w:r>
          </w:p>
        </w:tc>
        <w:tc>
          <w:tcPr>
            <w:tcW w:w="1611" w:type="dxa"/>
            <w:shd w:val="clear" w:color="auto" w:fill="DBDCDE" w:themeFill="text2" w:themeFillTint="33"/>
            <w:vAlign w:val="center"/>
          </w:tcPr>
          <w:p w14:paraId="4BF4BA95" w14:textId="40E0CFCC" w:rsidR="00E64078" w:rsidRPr="00DD6590" w:rsidRDefault="00E64078" w:rsidP="007C1289">
            <w:pPr>
              <w:spacing w:before="6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</w:t>
            </w:r>
            <w:r w:rsidR="00E67729" w:rsidRPr="00DD6590">
              <w:rPr>
                <w:b/>
                <w:sz w:val="16"/>
                <w:szCs w:val="16"/>
              </w:rPr>
              <w:t xml:space="preserve"> OPII</w:t>
            </w:r>
            <w:r w:rsidRPr="00DD6590">
              <w:rPr>
                <w:b/>
                <w:sz w:val="16"/>
                <w:szCs w:val="16"/>
              </w:rPr>
              <w:t xml:space="preserve"> (2023)</w:t>
            </w:r>
          </w:p>
        </w:tc>
        <w:tc>
          <w:tcPr>
            <w:tcW w:w="1701" w:type="dxa"/>
            <w:shd w:val="clear" w:color="auto" w:fill="DBDCDE" w:themeFill="text2" w:themeFillTint="33"/>
            <w:vAlign w:val="center"/>
          </w:tcPr>
          <w:p w14:paraId="06A6CD29" w14:textId="77777777" w:rsidR="00E64078" w:rsidRPr="00DD6590" w:rsidRDefault="00E64078" w:rsidP="007C1289">
            <w:pPr>
              <w:spacing w:before="6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984" w:type="dxa"/>
            <w:shd w:val="clear" w:color="auto" w:fill="DBDCDE" w:themeFill="text2" w:themeFillTint="33"/>
            <w:vAlign w:val="center"/>
          </w:tcPr>
          <w:p w14:paraId="48194801" w14:textId="77777777" w:rsidR="00E64078" w:rsidRPr="00DD6590" w:rsidRDefault="00E64078" w:rsidP="007C1289">
            <w:pPr>
              <w:spacing w:before="60" w:after="0" w:line="240" w:lineRule="auto"/>
              <w:ind w:left="42" w:hanging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Skutočné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134" w:type="dxa"/>
            <w:shd w:val="clear" w:color="auto" w:fill="DBDCDE" w:themeFill="text2" w:themeFillTint="33"/>
            <w:vAlign w:val="center"/>
          </w:tcPr>
          <w:p w14:paraId="0CEC2B5A" w14:textId="77777777" w:rsidR="00E64078" w:rsidRPr="00DD6590" w:rsidRDefault="00E64078" w:rsidP="007C1289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992" w:type="dxa"/>
            <w:shd w:val="clear" w:color="auto" w:fill="DBDCDE" w:themeFill="text2" w:themeFillTint="33"/>
            <w:vAlign w:val="center"/>
          </w:tcPr>
          <w:p w14:paraId="5B47DF21" w14:textId="77777777" w:rsidR="00E64078" w:rsidRPr="00DD6590" w:rsidRDefault="00E64078" w:rsidP="007C1289">
            <w:pPr>
              <w:spacing w:before="6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536" w:type="dxa"/>
            <w:shd w:val="clear" w:color="auto" w:fill="DBDCDE" w:themeFill="text2" w:themeFillTint="33"/>
            <w:vAlign w:val="center"/>
          </w:tcPr>
          <w:p w14:paraId="6F47E11B" w14:textId="77777777" w:rsidR="00E64078" w:rsidRPr="00DD6590" w:rsidRDefault="00E64078" w:rsidP="007A7786">
            <w:pPr>
              <w:spacing w:before="6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 odporúčania</w:t>
            </w:r>
          </w:p>
        </w:tc>
      </w:tr>
      <w:tr w:rsidR="00E64078" w:rsidRPr="00DD6590" w14:paraId="4A46435D" w14:textId="77777777" w:rsidTr="009E3BD6">
        <w:trPr>
          <w:trHeight w:val="20"/>
        </w:trPr>
        <w:tc>
          <w:tcPr>
            <w:tcW w:w="450" w:type="dxa"/>
            <w:vAlign w:val="center"/>
          </w:tcPr>
          <w:p w14:paraId="483162CC" w14:textId="77777777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04" w:type="dxa"/>
            <w:vAlign w:val="center"/>
          </w:tcPr>
          <w:p w14:paraId="29A816F5" w14:textId="77777777" w:rsidR="00E64078" w:rsidRPr="00DD6590" w:rsidRDefault="00E64078" w:rsidP="007C1289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dĺžka nových alebo zmodernizovaných tratí pre električky alebo metro</w:t>
            </w:r>
          </w:p>
        </w:tc>
        <w:tc>
          <w:tcPr>
            <w:tcW w:w="1611" w:type="dxa"/>
            <w:vAlign w:val="center"/>
          </w:tcPr>
          <w:p w14:paraId="30858F98" w14:textId="77777777" w:rsidR="00E64078" w:rsidRPr="00DD6590" w:rsidRDefault="00E64078" w:rsidP="007C1289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18,5 km</w:t>
            </w:r>
          </w:p>
        </w:tc>
        <w:tc>
          <w:tcPr>
            <w:tcW w:w="1701" w:type="dxa"/>
            <w:vAlign w:val="center"/>
          </w:tcPr>
          <w:p w14:paraId="0EE284DA" w14:textId="77777777" w:rsidR="00E64078" w:rsidRPr="00DD6590" w:rsidRDefault="00E64078" w:rsidP="007C1289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7,9 km</w:t>
            </w:r>
          </w:p>
        </w:tc>
        <w:tc>
          <w:tcPr>
            <w:tcW w:w="1984" w:type="dxa"/>
            <w:vAlign w:val="center"/>
          </w:tcPr>
          <w:p w14:paraId="230F4F60" w14:textId="77777777" w:rsidR="00E64078" w:rsidRPr="00DD6590" w:rsidRDefault="00E64078" w:rsidP="007C1289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7,9 km</w:t>
            </w:r>
          </w:p>
        </w:tc>
        <w:tc>
          <w:tcPr>
            <w:tcW w:w="1134" w:type="dxa"/>
            <w:shd w:val="clear" w:color="auto" w:fill="FFD653"/>
            <w:vAlign w:val="center"/>
          </w:tcPr>
          <w:p w14:paraId="1D64E7D9" w14:textId="42679FBF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42,70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14:paraId="431F3EBB" w14:textId="77777777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536" w:type="dxa"/>
            <w:vAlign w:val="center"/>
          </w:tcPr>
          <w:p w14:paraId="20B6700A" w14:textId="40AF18B3" w:rsidR="00E64078" w:rsidRPr="00DD6590" w:rsidRDefault="004E3A07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sa ukazovateľ Celková dĺžka nových alebo zmodernizovaných tratí pre električky alebo metro vykazoval len 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="00F0106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jednom projekte. </w:t>
            </w:r>
          </w:p>
          <w:p w14:paraId="11F4FCE3" w14:textId="74405CCE" w:rsidR="00E64078" w:rsidRPr="00DD6590" w:rsidRDefault="00E64078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Na základe dotazníka boli projektovými manažérmi identifikované </w:t>
            </w:r>
            <w:r w:rsidR="009E3BD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dva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plánované projekty, ktorých realizáciou by sa podarilo naplniť daný ukazovateľ na </w:t>
            </w:r>
            <w:r w:rsidR="009E3BD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99,73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%. </w:t>
            </w:r>
          </w:p>
          <w:p w14:paraId="7E964E5A" w14:textId="77777777" w:rsidR="00E64078" w:rsidRPr="00DD6590" w:rsidRDefault="00E64078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Odporúčania:</w:t>
            </w:r>
          </w:p>
          <w:p w14:paraId="700350F9" w14:textId="035998B1" w:rsidR="00E64078" w:rsidRPr="00DD6590" w:rsidRDefault="00E64078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 rámci schvaľovania projektov prioritizovať projekty zamerané na budovanie a modernizovani</w:t>
            </w:r>
            <w:r w:rsidR="00A5761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e </w:t>
            </w:r>
            <w:r w:rsidR="0096169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električkových </w:t>
            </w:r>
            <w:r w:rsidR="00A5761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tratí.</w:t>
            </w:r>
          </w:p>
        </w:tc>
      </w:tr>
      <w:tr w:rsidR="00E64078" w:rsidRPr="00DD6590" w14:paraId="3E087AA7" w14:textId="77777777" w:rsidTr="00E64078">
        <w:trPr>
          <w:trHeight w:val="20"/>
        </w:trPr>
        <w:tc>
          <w:tcPr>
            <w:tcW w:w="450" w:type="dxa"/>
            <w:vAlign w:val="center"/>
          </w:tcPr>
          <w:p w14:paraId="049317A3" w14:textId="77777777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04" w:type="dxa"/>
            <w:vAlign w:val="center"/>
          </w:tcPr>
          <w:p w14:paraId="19FE7B52" w14:textId="77777777" w:rsidR="00E64078" w:rsidRPr="00DD6590" w:rsidRDefault="00E64078" w:rsidP="007C1289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Počet vybudovaných terminálov osobnej dopravy </w:t>
            </w:r>
          </w:p>
        </w:tc>
        <w:tc>
          <w:tcPr>
            <w:tcW w:w="1611" w:type="dxa"/>
            <w:vAlign w:val="center"/>
          </w:tcPr>
          <w:p w14:paraId="52CDA79E" w14:textId="77777777" w:rsidR="00E64078" w:rsidRPr="00DD6590" w:rsidRDefault="00E64078" w:rsidP="007C1289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36A44665" w14:textId="77777777" w:rsidR="00E64078" w:rsidRPr="00DD6590" w:rsidRDefault="00E64078" w:rsidP="007C1289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984" w:type="dxa"/>
            <w:vAlign w:val="center"/>
          </w:tcPr>
          <w:p w14:paraId="572D5D0B" w14:textId="77777777" w:rsidR="00E64078" w:rsidRPr="00DD6590" w:rsidRDefault="00E64078" w:rsidP="007C1289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shd w:val="clear" w:color="auto" w:fill="EF858F"/>
            <w:vAlign w:val="center"/>
          </w:tcPr>
          <w:p w14:paraId="02574C5C" w14:textId="4CFE48F0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14:paraId="6A192555" w14:textId="77777777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536" w:type="dxa"/>
            <w:vAlign w:val="center"/>
          </w:tcPr>
          <w:p w14:paraId="61BA2BC2" w14:textId="185362FF" w:rsidR="00E64078" w:rsidRPr="00DD6590" w:rsidRDefault="00E64078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Výstupový ukazovateľ Počet vybudovaných terminálov osobnej dopravy nebol </w:t>
            </w:r>
            <w:r w:rsidR="004E3A0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vykazovaný 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="00F0106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žiadnom projekte.</w:t>
            </w:r>
          </w:p>
          <w:p w14:paraId="3E2DA850" w14:textId="3F09F1B7" w:rsidR="00E64078" w:rsidRPr="00DD6590" w:rsidRDefault="00F01065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Projektoví manažéri v 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dotazník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u identifikovali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9E3BD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štyri 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plánovan</w:t>
            </w:r>
            <w:r w:rsidR="009E3BD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é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projekt</w:t>
            </w:r>
            <w:r w:rsidR="009E3BD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y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, ktorých realizáciou by sa podarilo naplniť daný ukazovateľ na </w:t>
            </w:r>
            <w:r w:rsidR="009E3BD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50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%.</w:t>
            </w:r>
          </w:p>
          <w:p w14:paraId="789EE20C" w14:textId="1F43826A" w:rsidR="00E64078" w:rsidRPr="00DD6590" w:rsidRDefault="005F3082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Odporúčanie</w:t>
            </w:r>
            <w:r w:rsidR="00E64078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:</w:t>
            </w:r>
          </w:p>
          <w:p w14:paraId="0252D02A" w14:textId="3D60128A" w:rsidR="00E64078" w:rsidRPr="00DD6590" w:rsidRDefault="00961697" w:rsidP="00F0106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 rámci schvaľovania projektov prioritizovať projekty zamerané na vybudovanie terminálov osobnej dopravy. 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rehodnotiť cieľovú hodnotu v rámci OPII na základe výsledkov štúdie uskutočniteľnosti železničného uzla Bratislava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a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dostupnosti alokácie PO3 OPII, a v nadväznosti na pripravenosť jednotlivých terminálov, ako aj na prebiehajúcu revíziu OPII</w:t>
            </w:r>
            <w:r w:rsidR="006320D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6320DB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 tejto revízii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sa navrhuje presun výstavby terminálu v Trebišove do prioritnej osi 5.</w:t>
            </w:r>
          </w:p>
        </w:tc>
      </w:tr>
      <w:tr w:rsidR="00E64078" w:rsidRPr="00DD6590" w14:paraId="3EE8B03C" w14:textId="77777777" w:rsidTr="00E64078">
        <w:trPr>
          <w:trHeight w:val="829"/>
        </w:trPr>
        <w:tc>
          <w:tcPr>
            <w:tcW w:w="450" w:type="dxa"/>
            <w:vAlign w:val="center"/>
          </w:tcPr>
          <w:p w14:paraId="665636A1" w14:textId="77777777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04" w:type="dxa"/>
            <w:vAlign w:val="center"/>
          </w:tcPr>
          <w:p w14:paraId="147AA6CB" w14:textId="1A82D154" w:rsidR="00E64078" w:rsidRPr="00DD6590" w:rsidRDefault="00E64078" w:rsidP="007C1289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Počet nových mobilných prostriedkov dráhovej mestskej hromadnej </w:t>
            </w:r>
            <w:r w:rsidRPr="005A33E6">
              <w:rPr>
                <w:sz w:val="16"/>
                <w:szCs w:val="16"/>
              </w:rPr>
              <w:t>dopravy (električky, trolejbusy) vhodný</w:t>
            </w:r>
            <w:r w:rsidR="00F01065" w:rsidRPr="005A33E6">
              <w:rPr>
                <w:sz w:val="16"/>
                <w:szCs w:val="16"/>
              </w:rPr>
              <w:t>ch</w:t>
            </w:r>
            <w:r w:rsidRPr="005A33E6">
              <w:rPr>
                <w:sz w:val="16"/>
                <w:szCs w:val="16"/>
              </w:rPr>
              <w:t xml:space="preserve"> tiež pre </w:t>
            </w:r>
            <w:r w:rsidRPr="005A33E6">
              <w:rPr>
                <w:sz w:val="16"/>
                <w:szCs w:val="16"/>
              </w:rPr>
              <w:lastRenderedPageBreak/>
              <w:t>cestujúcich s obmedzen</w:t>
            </w:r>
            <w:r w:rsidRPr="00DD6590">
              <w:rPr>
                <w:sz w:val="16"/>
                <w:szCs w:val="16"/>
              </w:rPr>
              <w:t>ou mobilitou</w:t>
            </w:r>
          </w:p>
        </w:tc>
        <w:tc>
          <w:tcPr>
            <w:tcW w:w="1611" w:type="dxa"/>
            <w:vAlign w:val="center"/>
          </w:tcPr>
          <w:p w14:paraId="405D673A" w14:textId="77777777" w:rsidR="00E64078" w:rsidRPr="00DD6590" w:rsidRDefault="00E64078" w:rsidP="007C1289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78</w:t>
            </w:r>
          </w:p>
        </w:tc>
        <w:tc>
          <w:tcPr>
            <w:tcW w:w="1701" w:type="dxa"/>
            <w:vAlign w:val="center"/>
          </w:tcPr>
          <w:p w14:paraId="5A4DFFB9" w14:textId="77777777" w:rsidR="00E64078" w:rsidRPr="00DD6590" w:rsidRDefault="00E64078" w:rsidP="007C1289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72</w:t>
            </w:r>
          </w:p>
        </w:tc>
        <w:tc>
          <w:tcPr>
            <w:tcW w:w="1984" w:type="dxa"/>
            <w:vAlign w:val="center"/>
          </w:tcPr>
          <w:p w14:paraId="7D584C5F" w14:textId="77777777" w:rsidR="00E64078" w:rsidRPr="00DD6590" w:rsidRDefault="00E64078" w:rsidP="007C1289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134" w:type="dxa"/>
            <w:shd w:val="clear" w:color="auto" w:fill="FFD653"/>
            <w:vAlign w:val="center"/>
          </w:tcPr>
          <w:p w14:paraId="3F76D57E" w14:textId="7076AA98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74,36</w:t>
            </w:r>
            <w:r w:rsidR="00F01065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14:paraId="4CE91BB6" w14:textId="77777777" w:rsidR="00E64078" w:rsidRPr="00DD6590" w:rsidRDefault="00E64078" w:rsidP="007C1289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536" w:type="dxa"/>
            <w:vAlign w:val="center"/>
          </w:tcPr>
          <w:p w14:paraId="25D90643" w14:textId="29B41319" w:rsidR="00E64078" w:rsidRPr="00DD6590" w:rsidRDefault="00E64078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 ukazovateľ Počet nových mobilných prostriedkov dráhovej mestskej hromadnej dopravy (električky, trolejbusy) vhodný</w:t>
            </w:r>
            <w:r w:rsidR="005A33E6">
              <w:rPr>
                <w:rFonts w:asciiTheme="minorHAnsi" w:hAnsiTheme="minorHAnsi"/>
                <w:sz w:val="16"/>
                <w:szCs w:val="16"/>
              </w:rPr>
              <w:t>ch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tiež pre cestujúcich s obmedzenou mobilitou sa </w:t>
            </w:r>
            <w:r w:rsidR="004E3A07"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vykazoval </w:t>
            </w:r>
            <w:r w:rsidR="005A33E6">
              <w:rPr>
                <w:rFonts w:asciiTheme="minorHAnsi" w:hAnsiTheme="minorHAnsi"/>
                <w:sz w:val="16"/>
                <w:szCs w:val="16"/>
              </w:rPr>
              <w:t>v</w:t>
            </w:r>
            <w:r w:rsidR="005A33E6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šiestich projektoch. Ich realizáciou sa naplní daný ukazovateľ na 92,31</w:t>
            </w:r>
            <w:r w:rsidR="005A33E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%.</w:t>
            </w:r>
          </w:p>
          <w:p w14:paraId="4176228B" w14:textId="77777777" w:rsidR="00E64078" w:rsidRPr="00DD6590" w:rsidRDefault="00E64078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Na základe vyplnených dotazníkov neboli projektovými manažérmi identifikované ďalšie projekty.</w:t>
            </w:r>
          </w:p>
          <w:p w14:paraId="3777A6F2" w14:textId="77777777" w:rsidR="009E3BD6" w:rsidRPr="00DD6590" w:rsidRDefault="009E3BD6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Odporúčanie:</w:t>
            </w:r>
          </w:p>
          <w:p w14:paraId="11D1F675" w14:textId="4E2CD22D" w:rsidR="009E3BD6" w:rsidRPr="00DD6590" w:rsidRDefault="009E3BD6" w:rsidP="007A778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Odporúčame doplniť aspoň jeden projekt, ktorý by </w:t>
            </w:r>
            <w:r w:rsidR="005A33E6">
              <w:rPr>
                <w:rFonts w:asciiTheme="minorHAnsi" w:hAnsiTheme="minorHAnsi"/>
                <w:sz w:val="16"/>
                <w:szCs w:val="16"/>
              </w:rPr>
              <w:t xml:space="preserve">pomohol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naplniť ukazovateľ na 100</w:t>
            </w:r>
            <w:r w:rsidR="005A33E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  <w:r w:rsidR="00961697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="00961697" w:rsidRPr="00DD6590">
              <w:t xml:space="preserve"> </w:t>
            </w:r>
            <w:r w:rsidR="00961697" w:rsidRPr="00DD6590">
              <w:rPr>
                <w:rFonts w:asciiTheme="minorHAnsi" w:hAnsiTheme="minorHAnsi"/>
                <w:sz w:val="16"/>
                <w:szCs w:val="16"/>
              </w:rPr>
              <w:t>resp. prehodnotiť ukazovateľ v rámci budúcej revízie OPII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</w:tbl>
    <w:p w14:paraId="578FAA1B" w14:textId="77777777" w:rsidR="00E64078" w:rsidRPr="00DD6590" w:rsidRDefault="00E64078">
      <w:pPr>
        <w:spacing w:before="0" w:after="200" w:line="276" w:lineRule="auto"/>
        <w:jc w:val="left"/>
      </w:pPr>
    </w:p>
    <w:p w14:paraId="3178EDDA" w14:textId="1C0E36E2" w:rsidR="007C1289" w:rsidRPr="00DD6590" w:rsidRDefault="007C1289" w:rsidP="00B0035E">
      <w:pPr>
        <w:pStyle w:val="Heading2"/>
      </w:pPr>
      <w:bookmarkStart w:id="16" w:name="_Toc9350271"/>
      <w:r w:rsidRPr="00DD6590">
        <w:t>Vyhodnotenie napĺňania cieľov a výkonnostného rámca pre PO3</w:t>
      </w:r>
      <w:bookmarkEnd w:id="16"/>
    </w:p>
    <w:p w14:paraId="7A84797D" w14:textId="45CCA18F" w:rsidR="004D661F" w:rsidRPr="00DD6590" w:rsidRDefault="004D661F" w:rsidP="004D661F">
      <w:pPr>
        <w:pStyle w:val="Caption"/>
      </w:pPr>
      <w:bookmarkStart w:id="17" w:name="_Toc8805479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B62105">
        <w:rPr>
          <w:noProof/>
        </w:rPr>
        <w:t>8</w:t>
      </w:r>
      <w:r w:rsidRPr="00DD6590">
        <w:fldChar w:fldCharType="end"/>
      </w:r>
      <w:r w:rsidRPr="00DD6590">
        <w:t xml:space="preserve">  Vyhodnotenie výkonnostného rámca </w:t>
      </w:r>
      <w:bookmarkEnd w:id="17"/>
    </w:p>
    <w:tbl>
      <w:tblPr>
        <w:tblStyle w:val="TableGrid"/>
        <w:tblW w:w="5265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21"/>
        <w:gridCol w:w="3148"/>
        <w:gridCol w:w="1708"/>
        <w:gridCol w:w="1708"/>
        <w:gridCol w:w="6568"/>
      </w:tblGrid>
      <w:tr w:rsidR="007C1289" w:rsidRPr="00DD6590" w14:paraId="6ED3375E" w14:textId="77777777" w:rsidTr="00566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549" w:type="pct"/>
            <w:shd w:val="clear" w:color="auto" w:fill="DBDCDE" w:themeFill="text2" w:themeFillTint="33"/>
            <w:vAlign w:val="center"/>
          </w:tcPr>
          <w:p w14:paraId="07499665" w14:textId="77777777" w:rsidR="007C1289" w:rsidRPr="00DD6590" w:rsidRDefault="007C1289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067" w:type="pct"/>
            <w:shd w:val="clear" w:color="auto" w:fill="DBDCDE" w:themeFill="text2" w:themeFillTint="33"/>
            <w:vAlign w:val="center"/>
          </w:tcPr>
          <w:p w14:paraId="2D1B5E22" w14:textId="77777777" w:rsidR="007C1289" w:rsidRPr="00DD6590" w:rsidRDefault="007C1289" w:rsidP="00527BCC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579" w:type="pct"/>
            <w:shd w:val="clear" w:color="auto" w:fill="DBDCDE" w:themeFill="text2" w:themeFillTint="33"/>
            <w:vAlign w:val="center"/>
          </w:tcPr>
          <w:p w14:paraId="0DF71619" w14:textId="77777777" w:rsidR="007C1289" w:rsidRPr="00DD6590" w:rsidRDefault="007C1289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</w:p>
          <w:p w14:paraId="5B176518" w14:textId="77777777" w:rsidR="007C1289" w:rsidRPr="00DD6590" w:rsidRDefault="007C1289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579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2B8E2369" w14:textId="77777777" w:rsidR="007C1289" w:rsidRPr="00DD6590" w:rsidRDefault="007C1289" w:rsidP="00527BCC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2226" w:type="pct"/>
            <w:shd w:val="clear" w:color="auto" w:fill="DBDCDE" w:themeFill="text2" w:themeFillTint="33"/>
            <w:vAlign w:val="center"/>
          </w:tcPr>
          <w:p w14:paraId="06F136E2" w14:textId="77777777" w:rsidR="007C1289" w:rsidRPr="00DD6590" w:rsidRDefault="007C1289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7C1289" w:rsidRPr="00DD6590" w14:paraId="33E96ABA" w14:textId="77777777" w:rsidTr="00566556">
        <w:trPr>
          <w:trHeight w:val="454"/>
        </w:trPr>
        <w:tc>
          <w:tcPr>
            <w:tcW w:w="549" w:type="pct"/>
            <w:vAlign w:val="center"/>
          </w:tcPr>
          <w:p w14:paraId="380004FD" w14:textId="77777777" w:rsidR="007C1289" w:rsidRPr="00DD6590" w:rsidRDefault="007C1289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ukazovateľ</w:t>
            </w:r>
          </w:p>
        </w:tc>
        <w:tc>
          <w:tcPr>
            <w:tcW w:w="1067" w:type="pct"/>
            <w:vAlign w:val="center"/>
          </w:tcPr>
          <w:p w14:paraId="73CC30DA" w14:textId="77777777" w:rsidR="007C1289" w:rsidRPr="00DD6590" w:rsidRDefault="007C1289" w:rsidP="00527BCC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579" w:type="pct"/>
            <w:vAlign w:val="center"/>
          </w:tcPr>
          <w:p w14:paraId="7B7B1E51" w14:textId="77777777" w:rsidR="007C1289" w:rsidRPr="00DD6590" w:rsidRDefault="007C128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379 235 295 EUR</w:t>
            </w:r>
          </w:p>
        </w:tc>
        <w:tc>
          <w:tcPr>
            <w:tcW w:w="579" w:type="pct"/>
            <w:shd w:val="clear" w:color="auto" w:fill="FFD653"/>
            <w:vAlign w:val="center"/>
          </w:tcPr>
          <w:p w14:paraId="3D4704D5" w14:textId="7C4D6D30" w:rsidR="007C1289" w:rsidRPr="00DD6590" w:rsidRDefault="0017585F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48,62</w:t>
            </w:r>
            <w:r w:rsidR="005A33E6">
              <w:rPr>
                <w:sz w:val="16"/>
                <w:szCs w:val="16"/>
              </w:rPr>
              <w:t xml:space="preserve"> </w:t>
            </w:r>
            <w:r w:rsidR="007C1289" w:rsidRPr="00DD6590">
              <w:rPr>
                <w:sz w:val="16"/>
                <w:szCs w:val="16"/>
              </w:rPr>
              <w:t xml:space="preserve">% kontrahované, </w:t>
            </w:r>
            <w:r w:rsidR="005F3082" w:rsidRPr="00DD6590">
              <w:rPr>
                <w:sz w:val="16"/>
                <w:szCs w:val="16"/>
              </w:rPr>
              <w:t>39,62</w:t>
            </w:r>
            <w:r w:rsidR="00E20C64">
              <w:rPr>
                <w:sz w:val="16"/>
                <w:szCs w:val="16"/>
              </w:rPr>
              <w:t> </w:t>
            </w:r>
            <w:r w:rsidR="007C1289" w:rsidRPr="00DD6590">
              <w:rPr>
                <w:sz w:val="16"/>
                <w:szCs w:val="16"/>
              </w:rPr>
              <w:t>% čerpané</w:t>
            </w:r>
          </w:p>
        </w:tc>
        <w:tc>
          <w:tcPr>
            <w:tcW w:w="2226" w:type="pct"/>
            <w:vAlign w:val="center"/>
          </w:tcPr>
          <w:p w14:paraId="7353A897" w14:textId="199EEEA4" w:rsidR="00404077" w:rsidRPr="00DD6590" w:rsidRDefault="007C1289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 súčasnosti je v rámci prebiehajúcich projektov </w:t>
            </w:r>
            <w:r w:rsidRPr="00DD6590">
              <w:rPr>
                <w:b/>
                <w:sz w:val="16"/>
                <w:szCs w:val="16"/>
              </w:rPr>
              <w:t>kontrahovaných 1</w:t>
            </w:r>
            <w:r w:rsidR="00B91705" w:rsidRPr="00DD6590">
              <w:rPr>
                <w:b/>
                <w:sz w:val="16"/>
                <w:szCs w:val="16"/>
              </w:rPr>
              <w:t>84</w:t>
            </w:r>
            <w:r w:rsidRPr="00DD6590">
              <w:rPr>
                <w:b/>
                <w:sz w:val="16"/>
                <w:szCs w:val="16"/>
              </w:rPr>
              <w:t xml:space="preserve"> mil. EUR, z toho 156 mil. z EÚ zdrojov</w:t>
            </w:r>
            <w:r w:rsidRPr="00DD6590">
              <w:rPr>
                <w:sz w:val="16"/>
                <w:szCs w:val="16"/>
              </w:rPr>
              <w:t>. Na základe dotazníka vyplneného projektovými manažérmi je plánovaný dostatočný počet projektov,</w:t>
            </w:r>
            <w:r w:rsidR="005A33E6">
              <w:rPr>
                <w:sz w:val="16"/>
                <w:szCs w:val="16"/>
              </w:rPr>
              <w:t xml:space="preserve"> pričom</w:t>
            </w:r>
            <w:r w:rsidRPr="00DD6590">
              <w:rPr>
                <w:sz w:val="16"/>
                <w:szCs w:val="16"/>
              </w:rPr>
              <w:t xml:space="preserve"> </w:t>
            </w:r>
            <w:r w:rsidR="00B91705" w:rsidRPr="00DD6590">
              <w:rPr>
                <w:sz w:val="16"/>
                <w:szCs w:val="16"/>
              </w:rPr>
              <w:t>ich odhadovaná hodnota je 215 mil. EUR</w:t>
            </w:r>
            <w:r w:rsidRPr="00DD6590">
              <w:rPr>
                <w:sz w:val="16"/>
                <w:szCs w:val="16"/>
              </w:rPr>
              <w:t xml:space="preserve">. </w:t>
            </w:r>
          </w:p>
          <w:p w14:paraId="1EFB90A9" w14:textId="026FD082" w:rsidR="007C1289" w:rsidRPr="00DD6590" w:rsidRDefault="007C1289" w:rsidP="005A33E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Pozn.: </w:t>
            </w:r>
            <w:r w:rsidR="005A33E6">
              <w:rPr>
                <w:sz w:val="16"/>
                <w:szCs w:val="16"/>
              </w:rPr>
              <w:t>Na</w:t>
            </w:r>
            <w:r w:rsidR="005A33E6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dosiahnutie hodnoty plánovanej v roku 2023 je</w:t>
            </w:r>
            <w:r w:rsidR="00961697" w:rsidRPr="00DD6590">
              <w:rPr>
                <w:sz w:val="16"/>
                <w:szCs w:val="16"/>
              </w:rPr>
              <w:t xml:space="preserve"> ešte</w:t>
            </w:r>
            <w:r w:rsidRPr="00DD6590">
              <w:rPr>
                <w:sz w:val="16"/>
                <w:szCs w:val="16"/>
              </w:rPr>
              <w:t xml:space="preserve"> potrebné zazmluvniť</w:t>
            </w:r>
            <w:r w:rsidR="00961697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projekty</w:t>
            </w:r>
            <w:r w:rsidR="007A543C" w:rsidRPr="00DD6590">
              <w:rPr>
                <w:sz w:val="16"/>
                <w:szCs w:val="16"/>
              </w:rPr>
              <w:t xml:space="preserve"> a vyčerpať finančné prostriedky</w:t>
            </w:r>
            <w:r w:rsidRPr="00DD6590">
              <w:rPr>
                <w:sz w:val="16"/>
                <w:szCs w:val="16"/>
              </w:rPr>
              <w:t xml:space="preserve"> v PO3 v hodnote </w:t>
            </w:r>
            <w:r w:rsidR="00961697" w:rsidRPr="00DD6590">
              <w:rPr>
                <w:sz w:val="16"/>
                <w:szCs w:val="16"/>
              </w:rPr>
              <w:t xml:space="preserve">195 </w:t>
            </w:r>
            <w:r w:rsidRPr="00DD6590">
              <w:rPr>
                <w:sz w:val="16"/>
                <w:szCs w:val="16"/>
              </w:rPr>
              <w:t>mil. EUR.</w:t>
            </w:r>
            <w:r w:rsidR="00961697" w:rsidRPr="00DD6590">
              <w:rPr>
                <w:sz w:val="16"/>
                <w:szCs w:val="16"/>
              </w:rPr>
              <w:t xml:space="preserve"> </w:t>
            </w:r>
            <w:r w:rsidR="005A33E6">
              <w:rPr>
                <w:sz w:val="16"/>
                <w:szCs w:val="16"/>
              </w:rPr>
              <w:t>T</w:t>
            </w:r>
            <w:r w:rsidR="00961697" w:rsidRPr="00DD6590">
              <w:rPr>
                <w:sz w:val="16"/>
                <w:szCs w:val="16"/>
              </w:rPr>
              <w:t>iež je potrebné dohliadnuť na úspešné ukončenie implementácie projektov do konca časovej oprávnenosti programového obdobia.</w:t>
            </w:r>
          </w:p>
        </w:tc>
      </w:tr>
      <w:tr w:rsidR="007C1289" w:rsidRPr="00DD6590" w14:paraId="12879D08" w14:textId="77777777" w:rsidTr="00566556">
        <w:trPr>
          <w:trHeight w:val="454"/>
        </w:trPr>
        <w:tc>
          <w:tcPr>
            <w:tcW w:w="549" w:type="pct"/>
            <w:vAlign w:val="center"/>
          </w:tcPr>
          <w:p w14:paraId="1CB0386A" w14:textId="77777777" w:rsidR="007C1289" w:rsidRPr="00DD6590" w:rsidRDefault="007C1289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067" w:type="pct"/>
            <w:vAlign w:val="center"/>
          </w:tcPr>
          <w:p w14:paraId="2F7101FE" w14:textId="77777777" w:rsidR="007C1289" w:rsidRPr="00DD6590" w:rsidRDefault="007C1289" w:rsidP="00527BCC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Celková dĺžka nových alebo zmodernizovaných tratí pre električky alebo metro </w:t>
            </w:r>
          </w:p>
        </w:tc>
        <w:tc>
          <w:tcPr>
            <w:tcW w:w="579" w:type="pct"/>
            <w:vAlign w:val="center"/>
          </w:tcPr>
          <w:p w14:paraId="1D662BB1" w14:textId="77777777" w:rsidR="007C1289" w:rsidRPr="00DD6590" w:rsidRDefault="007C128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18,5 km</w:t>
            </w:r>
          </w:p>
        </w:tc>
        <w:tc>
          <w:tcPr>
            <w:tcW w:w="579" w:type="pct"/>
            <w:shd w:val="clear" w:color="auto" w:fill="FFD653"/>
            <w:vAlign w:val="center"/>
          </w:tcPr>
          <w:p w14:paraId="73A6E48A" w14:textId="1B966D29" w:rsidR="007C1289" w:rsidRPr="00DD6590" w:rsidRDefault="007C1289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42,7</w:t>
            </w:r>
            <w:r w:rsidR="005A33E6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2226" w:type="pct"/>
            <w:vAlign w:val="center"/>
          </w:tcPr>
          <w:p w14:paraId="649A67A9" w14:textId="647F601F" w:rsidR="007C1289" w:rsidRPr="00DD6590" w:rsidRDefault="007C1289" w:rsidP="005A33E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Výstupový ukazovateľ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Celková dĺžka nových alebo zmodernizovaných tratí pre električky alebo metro sa </w:t>
            </w:r>
            <w:r w:rsidR="004E3A0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vykazuje </w:t>
            </w:r>
            <w:r w:rsidR="005A33E6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v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jednom projekte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.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Na základe dotazníka boli projektovými manažérmi identifikované </w:t>
            </w:r>
            <w:r w:rsidR="00C34CE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dva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plánované projekty, ktorých realizáciou by sa podar</w:t>
            </w:r>
            <w:r w:rsidR="00C34CE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ilo naplniť daný ukazovateľ na 99</w:t>
            </w:r>
            <w:r w:rsidR="005A33E6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="00C34CE7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73</w:t>
            </w:r>
            <w:r w:rsidR="005A33E6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%. </w:t>
            </w:r>
          </w:p>
        </w:tc>
      </w:tr>
      <w:bookmarkEnd w:id="1"/>
    </w:tbl>
    <w:p w14:paraId="131325D9" w14:textId="599FE68D" w:rsidR="002167D2" w:rsidRPr="00DD6590" w:rsidRDefault="002167D2" w:rsidP="002167D2"/>
    <w:sectPr w:rsidR="002167D2" w:rsidRPr="00DD6590" w:rsidSect="009B63AB">
      <w:pgSz w:w="16838" w:h="11906" w:orient="landscape" w:code="9"/>
      <w:pgMar w:top="1411" w:right="1411" w:bottom="1411" w:left="1411" w:header="677" w:footer="562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D4AF" w14:textId="77777777" w:rsidR="00AA20A8" w:rsidRDefault="00AA20A8" w:rsidP="00C702C7">
      <w:r>
        <w:separator/>
      </w:r>
    </w:p>
  </w:endnote>
  <w:endnote w:type="continuationSeparator" w:id="0">
    <w:p w14:paraId="48BD6A56" w14:textId="77777777" w:rsidR="00AA20A8" w:rsidRDefault="00AA20A8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3870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BE5A7" w14:textId="30D98EE7" w:rsidR="0008370C" w:rsidRDefault="000837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10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9B4A9D3" w14:textId="77777777" w:rsidR="00AA20A8" w:rsidRPr="00335CF3" w:rsidRDefault="00AA20A8" w:rsidP="00D21B5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138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6433FD" w14:textId="3F254A7D" w:rsidR="0008370C" w:rsidRDefault="000837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1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C27993" w14:textId="77777777" w:rsidR="00AA20A8" w:rsidRDefault="00AA20A8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B7C5" w14:textId="77777777" w:rsidR="00AA20A8" w:rsidRDefault="00AA20A8" w:rsidP="00C702C7">
      <w:r>
        <w:separator/>
      </w:r>
    </w:p>
  </w:footnote>
  <w:footnote w:type="continuationSeparator" w:id="0">
    <w:p w14:paraId="09316071" w14:textId="77777777" w:rsidR="00AA20A8" w:rsidRDefault="00AA20A8" w:rsidP="00C702C7">
      <w:r>
        <w:continuationSeparator/>
      </w:r>
    </w:p>
  </w:footnote>
  <w:footnote w:id="1">
    <w:p w14:paraId="755575B8" w14:textId="77777777" w:rsidR="00AA20A8" w:rsidRPr="001C487B" w:rsidRDefault="00AA20A8" w:rsidP="00EB172B">
      <w:pPr>
        <w:pStyle w:val="FootnoteText"/>
      </w:pPr>
      <w:r w:rsidRPr="001C487B">
        <w:rPr>
          <w:rStyle w:val="FootnoteReference"/>
        </w:rPr>
        <w:footnoteRef/>
      </w:r>
      <w:r w:rsidRPr="001C487B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3B1FA407" w14:textId="77777777" w:rsidR="00AA20A8" w:rsidRPr="001C487B" w:rsidRDefault="00AA20A8" w:rsidP="00465882">
      <w:pPr>
        <w:pStyle w:val="FootnoteText"/>
        <w:spacing w:before="0" w:line="240" w:lineRule="auto"/>
        <w:contextualSpacing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Zdroj: Údaje čerpané z Monitorovacích správ dostupných v ITMS k 31. 1. 2019 a z informácií k projektom poskytnutým objednávateľom.</w:t>
      </w:r>
    </w:p>
  </w:footnote>
  <w:footnote w:id="3">
    <w:p w14:paraId="47E4852C" w14:textId="77777777" w:rsidR="00AA20A8" w:rsidRPr="001C487B" w:rsidRDefault="00AA20A8" w:rsidP="00465882">
      <w:pPr>
        <w:pStyle w:val="FootnoteText"/>
        <w:spacing w:before="0" w:line="240" w:lineRule="auto"/>
        <w:contextualSpacing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Od začiatku projektu do 31. 12. 2018.</w:t>
      </w:r>
    </w:p>
  </w:footnote>
  <w:footnote w:id="4">
    <w:p w14:paraId="24D5C0A7" w14:textId="77777777" w:rsidR="00AA20A8" w:rsidRPr="001C487B" w:rsidRDefault="00AA20A8" w:rsidP="00465882">
      <w:pPr>
        <w:pStyle w:val="FootnoteText"/>
        <w:spacing w:before="0" w:line="240" w:lineRule="auto"/>
        <w:contextualSpacing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Percentuálny podiel a stav vecného plnenia podľa odhadu projektových manažérov.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69C5C" w14:textId="1BB55A04" w:rsidR="00AA20A8" w:rsidRPr="009B63AB" w:rsidRDefault="00AA20A8" w:rsidP="009B63AB">
    <w:pPr>
      <w:pStyle w:val="Header"/>
      <w:rPr>
        <w:b w:val="0"/>
        <w:sz w:val="16"/>
        <w:lang w:val="sk-SK"/>
      </w:rPr>
    </w:pPr>
    <w:r w:rsidRPr="009B63AB">
      <w:rPr>
        <w:b w:val="0"/>
        <w:sz w:val="16"/>
        <w:lang w:val="sk-SK"/>
      </w:rPr>
      <w:t>Príloha č.</w:t>
    </w:r>
    <w:r w:rsidR="00EC6FA1">
      <w:rPr>
        <w:b w:val="0"/>
        <w:sz w:val="16"/>
        <w:lang w:val="sk-SK"/>
      </w:rPr>
      <w:t xml:space="preserve"> 6</w:t>
    </w:r>
    <w:r w:rsidRPr="009B63AB">
      <w:rPr>
        <w:b w:val="0"/>
        <w:sz w:val="16"/>
        <w:lang w:val="sk-SK"/>
      </w:rPr>
      <w:t xml:space="preserve"> Výsledky analýzy prioritnej osi 3 </w:t>
    </w:r>
    <w:r w:rsidR="00E20C64" w:rsidRPr="00D76E8D">
      <w:rPr>
        <w:sz w:val="16"/>
        <w:szCs w:val="16"/>
      </w:rPr>
      <w:t>–</w:t>
    </w:r>
    <w:r w:rsidR="00E20C64">
      <w:rPr>
        <w:sz w:val="16"/>
        <w:szCs w:val="16"/>
      </w:rPr>
      <w:t xml:space="preserve"> </w:t>
    </w:r>
    <w:r w:rsidRPr="009B63AB">
      <w:rPr>
        <w:b w:val="0"/>
        <w:sz w:val="16"/>
        <w:lang w:val="sk-SK"/>
      </w:rPr>
      <w:t>Verejná osobná doprava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D23D" w14:textId="0C2E95F2" w:rsidR="00AA20A8" w:rsidRPr="009B63AB" w:rsidRDefault="00AA20A8" w:rsidP="009B63AB">
    <w:pPr>
      <w:pStyle w:val="Header"/>
      <w:rPr>
        <w:b w:val="0"/>
        <w:sz w:val="16"/>
        <w:lang w:val="sk-SK"/>
      </w:rPr>
    </w:pPr>
    <w:r w:rsidRPr="009B63AB">
      <w:rPr>
        <w:b w:val="0"/>
        <w:sz w:val="16"/>
        <w:lang w:val="sk-SK"/>
      </w:rPr>
      <w:t>Príloha č.</w:t>
    </w:r>
    <w:r>
      <w:rPr>
        <w:b w:val="0"/>
        <w:sz w:val="16"/>
        <w:lang w:val="sk-SK"/>
      </w:rPr>
      <w:t xml:space="preserve"> 3</w:t>
    </w:r>
    <w:r w:rsidRPr="009B63AB">
      <w:rPr>
        <w:b w:val="0"/>
        <w:sz w:val="16"/>
        <w:lang w:val="sk-SK"/>
      </w:rPr>
      <w:t xml:space="preserve"> Výsledky analýzy prioritnej osi 3 </w:t>
    </w:r>
    <w:r w:rsidR="00E20C64" w:rsidRPr="00D76E8D">
      <w:rPr>
        <w:sz w:val="16"/>
        <w:szCs w:val="16"/>
      </w:rPr>
      <w:t>–</w:t>
    </w:r>
    <w:r w:rsidR="00E20C64">
      <w:rPr>
        <w:sz w:val="16"/>
        <w:szCs w:val="16"/>
      </w:rPr>
      <w:t xml:space="preserve"> </w:t>
    </w:r>
    <w:r w:rsidRPr="009B63AB">
      <w:rPr>
        <w:b w:val="0"/>
        <w:sz w:val="16"/>
        <w:lang w:val="sk-SK"/>
      </w:rPr>
      <w:t>Verejná osobná doprava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516C4"/>
    <w:rsid w:val="000517C0"/>
    <w:rsid w:val="00052768"/>
    <w:rsid w:val="00052EA7"/>
    <w:rsid w:val="00053D7B"/>
    <w:rsid w:val="0005400F"/>
    <w:rsid w:val="00055C2E"/>
    <w:rsid w:val="000576C3"/>
    <w:rsid w:val="00057C98"/>
    <w:rsid w:val="000604BF"/>
    <w:rsid w:val="00060885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8A3"/>
    <w:rsid w:val="000810F6"/>
    <w:rsid w:val="00081C31"/>
    <w:rsid w:val="0008370C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9BD"/>
    <w:rsid w:val="000A3D42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438F"/>
    <w:rsid w:val="000B4403"/>
    <w:rsid w:val="000B493A"/>
    <w:rsid w:val="000B5F92"/>
    <w:rsid w:val="000B60AC"/>
    <w:rsid w:val="000B6C05"/>
    <w:rsid w:val="000B6D74"/>
    <w:rsid w:val="000C1BB4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5A99"/>
    <w:rsid w:val="000D67AE"/>
    <w:rsid w:val="000E2C94"/>
    <w:rsid w:val="000E4AA4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337"/>
    <w:rsid w:val="00167200"/>
    <w:rsid w:val="001708B9"/>
    <w:rsid w:val="00171273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45CF"/>
    <w:rsid w:val="001A4DEE"/>
    <w:rsid w:val="001A582C"/>
    <w:rsid w:val="001A65CF"/>
    <w:rsid w:val="001B0F94"/>
    <w:rsid w:val="001B21F8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6822"/>
    <w:rsid w:val="001D6F81"/>
    <w:rsid w:val="001D7490"/>
    <w:rsid w:val="001E016B"/>
    <w:rsid w:val="001E125E"/>
    <w:rsid w:val="001E293A"/>
    <w:rsid w:val="001E4462"/>
    <w:rsid w:val="001E450C"/>
    <w:rsid w:val="001E6E19"/>
    <w:rsid w:val="001E7D3E"/>
    <w:rsid w:val="001F0AC6"/>
    <w:rsid w:val="001F1079"/>
    <w:rsid w:val="001F38BE"/>
    <w:rsid w:val="001F4B59"/>
    <w:rsid w:val="001F61B8"/>
    <w:rsid w:val="001F6839"/>
    <w:rsid w:val="002019FC"/>
    <w:rsid w:val="00202F6F"/>
    <w:rsid w:val="00204CBA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CD"/>
    <w:rsid w:val="002962BF"/>
    <w:rsid w:val="00297214"/>
    <w:rsid w:val="002A0E97"/>
    <w:rsid w:val="002A13EF"/>
    <w:rsid w:val="002A2AE2"/>
    <w:rsid w:val="002A4002"/>
    <w:rsid w:val="002B13EC"/>
    <w:rsid w:val="002B1B99"/>
    <w:rsid w:val="002B2376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5A0"/>
    <w:rsid w:val="002E3538"/>
    <w:rsid w:val="002E3BAE"/>
    <w:rsid w:val="002E55B0"/>
    <w:rsid w:val="002E7099"/>
    <w:rsid w:val="002E79C6"/>
    <w:rsid w:val="002F0388"/>
    <w:rsid w:val="002F2771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4DCC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5A01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3006A"/>
    <w:rsid w:val="004312D5"/>
    <w:rsid w:val="004314E1"/>
    <w:rsid w:val="00431E74"/>
    <w:rsid w:val="00432002"/>
    <w:rsid w:val="00434B3C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290D"/>
    <w:rsid w:val="004F2CEE"/>
    <w:rsid w:val="004F3CBB"/>
    <w:rsid w:val="004F47B4"/>
    <w:rsid w:val="004F4A4B"/>
    <w:rsid w:val="004F5380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C52"/>
    <w:rsid w:val="00563C6F"/>
    <w:rsid w:val="00564F21"/>
    <w:rsid w:val="00566556"/>
    <w:rsid w:val="00566C4C"/>
    <w:rsid w:val="005676F0"/>
    <w:rsid w:val="00570C44"/>
    <w:rsid w:val="00573556"/>
    <w:rsid w:val="00573D2F"/>
    <w:rsid w:val="0057510A"/>
    <w:rsid w:val="0057637C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3E6"/>
    <w:rsid w:val="005A35AB"/>
    <w:rsid w:val="005A45C7"/>
    <w:rsid w:val="005A4733"/>
    <w:rsid w:val="005A4C04"/>
    <w:rsid w:val="005A4DB1"/>
    <w:rsid w:val="005A4FDE"/>
    <w:rsid w:val="005A6464"/>
    <w:rsid w:val="005A6E7A"/>
    <w:rsid w:val="005B0592"/>
    <w:rsid w:val="005B0EA1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525A"/>
    <w:rsid w:val="005F54F5"/>
    <w:rsid w:val="005F5563"/>
    <w:rsid w:val="005F5A7D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5889"/>
    <w:rsid w:val="00657E9F"/>
    <w:rsid w:val="006609D8"/>
    <w:rsid w:val="00660C0C"/>
    <w:rsid w:val="00661EAF"/>
    <w:rsid w:val="00662DAD"/>
    <w:rsid w:val="0066395C"/>
    <w:rsid w:val="00665515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F76"/>
    <w:rsid w:val="006D6A17"/>
    <w:rsid w:val="006D77C7"/>
    <w:rsid w:val="006D7902"/>
    <w:rsid w:val="006E0085"/>
    <w:rsid w:val="006E34F5"/>
    <w:rsid w:val="006E6FAC"/>
    <w:rsid w:val="006F0DBC"/>
    <w:rsid w:val="006F65CA"/>
    <w:rsid w:val="006F6F8B"/>
    <w:rsid w:val="006F72B6"/>
    <w:rsid w:val="007013A8"/>
    <w:rsid w:val="00701494"/>
    <w:rsid w:val="00702E31"/>
    <w:rsid w:val="00705766"/>
    <w:rsid w:val="0070591E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50AB"/>
    <w:rsid w:val="007553AA"/>
    <w:rsid w:val="0076022E"/>
    <w:rsid w:val="007640E7"/>
    <w:rsid w:val="007653DA"/>
    <w:rsid w:val="0076614E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9D5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3086"/>
    <w:rsid w:val="0081335F"/>
    <w:rsid w:val="00813DBC"/>
    <w:rsid w:val="00813F7A"/>
    <w:rsid w:val="0081481E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30F5"/>
    <w:rsid w:val="008631CE"/>
    <w:rsid w:val="00863209"/>
    <w:rsid w:val="00863DEC"/>
    <w:rsid w:val="0086409B"/>
    <w:rsid w:val="0086443E"/>
    <w:rsid w:val="0086541B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082"/>
    <w:rsid w:val="008C638F"/>
    <w:rsid w:val="008C6F86"/>
    <w:rsid w:val="008C7B07"/>
    <w:rsid w:val="008D1146"/>
    <w:rsid w:val="008D1403"/>
    <w:rsid w:val="008D1BBA"/>
    <w:rsid w:val="008D1CBD"/>
    <w:rsid w:val="008D2A44"/>
    <w:rsid w:val="008D2E5B"/>
    <w:rsid w:val="008D3AA6"/>
    <w:rsid w:val="008D3D9D"/>
    <w:rsid w:val="008D5CCB"/>
    <w:rsid w:val="008D772A"/>
    <w:rsid w:val="008E1E5B"/>
    <w:rsid w:val="008E2BE9"/>
    <w:rsid w:val="008E3123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44A5"/>
    <w:rsid w:val="009A5B1A"/>
    <w:rsid w:val="009A7585"/>
    <w:rsid w:val="009A758F"/>
    <w:rsid w:val="009B058D"/>
    <w:rsid w:val="009B139F"/>
    <w:rsid w:val="009B1A70"/>
    <w:rsid w:val="009B2B48"/>
    <w:rsid w:val="009B2D95"/>
    <w:rsid w:val="009B4048"/>
    <w:rsid w:val="009B57C3"/>
    <w:rsid w:val="009B588C"/>
    <w:rsid w:val="009B5EF0"/>
    <w:rsid w:val="009B60B8"/>
    <w:rsid w:val="009B63AB"/>
    <w:rsid w:val="009B7940"/>
    <w:rsid w:val="009C2AFC"/>
    <w:rsid w:val="009C3447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5122"/>
    <w:rsid w:val="009F1507"/>
    <w:rsid w:val="009F40A1"/>
    <w:rsid w:val="009F420E"/>
    <w:rsid w:val="00A01182"/>
    <w:rsid w:val="00A02087"/>
    <w:rsid w:val="00A04195"/>
    <w:rsid w:val="00A0456E"/>
    <w:rsid w:val="00A05548"/>
    <w:rsid w:val="00A063EE"/>
    <w:rsid w:val="00A11DDF"/>
    <w:rsid w:val="00A161A4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3338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425C"/>
    <w:rsid w:val="00A944FA"/>
    <w:rsid w:val="00A947AC"/>
    <w:rsid w:val="00A97CA0"/>
    <w:rsid w:val="00A97EDE"/>
    <w:rsid w:val="00AA0521"/>
    <w:rsid w:val="00AA20A8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15B7"/>
    <w:rsid w:val="00B53183"/>
    <w:rsid w:val="00B5356B"/>
    <w:rsid w:val="00B539F7"/>
    <w:rsid w:val="00B53B6A"/>
    <w:rsid w:val="00B544D6"/>
    <w:rsid w:val="00B56812"/>
    <w:rsid w:val="00B57491"/>
    <w:rsid w:val="00B617CD"/>
    <w:rsid w:val="00B62105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43CD"/>
    <w:rsid w:val="00B955FF"/>
    <w:rsid w:val="00B962CB"/>
    <w:rsid w:val="00B9789C"/>
    <w:rsid w:val="00B97A47"/>
    <w:rsid w:val="00BA04C9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4C10"/>
    <w:rsid w:val="00BB6CB3"/>
    <w:rsid w:val="00BC0047"/>
    <w:rsid w:val="00BC0348"/>
    <w:rsid w:val="00BC0E09"/>
    <w:rsid w:val="00BC1978"/>
    <w:rsid w:val="00BC266F"/>
    <w:rsid w:val="00BC3585"/>
    <w:rsid w:val="00BC43FE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B79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404B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BFA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B"/>
    <w:rsid w:val="00D01239"/>
    <w:rsid w:val="00D02FDA"/>
    <w:rsid w:val="00D11120"/>
    <w:rsid w:val="00D13397"/>
    <w:rsid w:val="00D16095"/>
    <w:rsid w:val="00D20AD8"/>
    <w:rsid w:val="00D21B5F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50A5B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4410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5A1B"/>
    <w:rsid w:val="00DD6590"/>
    <w:rsid w:val="00DD715C"/>
    <w:rsid w:val="00DE111C"/>
    <w:rsid w:val="00DE18BC"/>
    <w:rsid w:val="00DE3A92"/>
    <w:rsid w:val="00DE5E02"/>
    <w:rsid w:val="00DE7898"/>
    <w:rsid w:val="00DF1DFC"/>
    <w:rsid w:val="00DF396F"/>
    <w:rsid w:val="00DF3B35"/>
    <w:rsid w:val="00DF41FD"/>
    <w:rsid w:val="00DF4B62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0C64"/>
    <w:rsid w:val="00E23B3D"/>
    <w:rsid w:val="00E2493C"/>
    <w:rsid w:val="00E26113"/>
    <w:rsid w:val="00E266A4"/>
    <w:rsid w:val="00E271AE"/>
    <w:rsid w:val="00E35306"/>
    <w:rsid w:val="00E35619"/>
    <w:rsid w:val="00E35847"/>
    <w:rsid w:val="00E35D1B"/>
    <w:rsid w:val="00E36C7A"/>
    <w:rsid w:val="00E37C6C"/>
    <w:rsid w:val="00E406E2"/>
    <w:rsid w:val="00E41D21"/>
    <w:rsid w:val="00E4340A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6FA1"/>
    <w:rsid w:val="00EC7D17"/>
    <w:rsid w:val="00ED508D"/>
    <w:rsid w:val="00ED50D9"/>
    <w:rsid w:val="00ED5A75"/>
    <w:rsid w:val="00ED7C26"/>
    <w:rsid w:val="00EE0535"/>
    <w:rsid w:val="00EE05FF"/>
    <w:rsid w:val="00EE08F4"/>
    <w:rsid w:val="00EE16D4"/>
    <w:rsid w:val="00EE1CD8"/>
    <w:rsid w:val="00EE2C87"/>
    <w:rsid w:val="00EE5CDC"/>
    <w:rsid w:val="00EE61A2"/>
    <w:rsid w:val="00EE6DE6"/>
    <w:rsid w:val="00EF0925"/>
    <w:rsid w:val="00EF2CF0"/>
    <w:rsid w:val="00EF4086"/>
    <w:rsid w:val="00EF71AC"/>
    <w:rsid w:val="00F01065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3EC6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7103E"/>
    <w:rsid w:val="00F71D35"/>
    <w:rsid w:val="00F7435C"/>
    <w:rsid w:val="00F7744A"/>
    <w:rsid w:val="00F84690"/>
    <w:rsid w:val="00F846E1"/>
    <w:rsid w:val="00F87517"/>
    <w:rsid w:val="00F9119D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7464574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autoRedefine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B63AB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Revision">
    <w:name w:val="Revision"/>
    <w:hidden/>
    <w:uiPriority w:val="99"/>
    <w:semiHidden/>
    <w:rsid w:val="00F01065"/>
    <w:pPr>
      <w:spacing w:after="0" w:line="240" w:lineRule="auto"/>
    </w:pPr>
    <w:rPr>
      <w:sz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FA578-5430-4F0C-9DAD-44A39CBB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3176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Proposal_A4_3col</vt:lpstr>
    </vt:vector>
  </TitlesOfParts>
  <Company/>
  <LinksUpToDate>false</LinksUpToDate>
  <CharactersWithSpaces>21242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Piscova, Eva</cp:lastModifiedBy>
  <cp:revision>7</cp:revision>
  <cp:lastPrinted>2019-06-28T09:52:00Z</cp:lastPrinted>
  <dcterms:created xsi:type="dcterms:W3CDTF">2019-06-05T14:09:00Z</dcterms:created>
  <dcterms:modified xsi:type="dcterms:W3CDTF">2019-06-28T09:53:00Z</dcterms:modified>
</cp:coreProperties>
</file>